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A4B" w:rsidRDefault="00080DBF">
      <w:pPr>
        <w:pStyle w:val="Title"/>
        <w:ind w:left="0" w:hanging="2"/>
      </w:pPr>
      <w:r>
        <w:t>BIRLA INSTITUTE OF TECHNOLOGY &amp; SCIENCE, PILANI</w:t>
      </w:r>
    </w:p>
    <w:p w:rsidR="00281A4B" w:rsidRDefault="00080DBF">
      <w:pPr>
        <w:pStyle w:val="Title"/>
        <w:ind w:left="0" w:hanging="2"/>
      </w:pPr>
      <w:r>
        <w:t>HYDERABAD CAMPUS</w:t>
      </w:r>
    </w:p>
    <w:p w:rsidR="00281A4B" w:rsidRDefault="00080DBF">
      <w:pPr>
        <w:ind w:left="0" w:hanging="2"/>
        <w:jc w:val="center"/>
      </w:pPr>
      <w:r>
        <w:rPr>
          <w:b/>
        </w:rPr>
        <w:t>SECOND SEMESTER 2021-2022</w:t>
      </w:r>
    </w:p>
    <w:p w:rsidR="00281A4B" w:rsidRDefault="00080DBF">
      <w:pPr>
        <w:ind w:left="0" w:hanging="2"/>
        <w:jc w:val="center"/>
      </w:pPr>
      <w:r>
        <w:rPr>
          <w:b/>
        </w:rPr>
        <w:t xml:space="preserve">COURSE HANDOUT </w:t>
      </w:r>
    </w:p>
    <w:p w:rsidR="00281A4B" w:rsidRDefault="00790B58">
      <w:pPr>
        <w:ind w:left="0" w:hanging="2"/>
        <w:jc w:val="right"/>
        <w:rPr>
          <w:sz w:val="22"/>
          <w:szCs w:val="22"/>
        </w:rPr>
      </w:pPr>
      <w:r>
        <w:t>Date: 15</w:t>
      </w:r>
      <w:r w:rsidR="00080DBF">
        <w:t>-01-2022</w:t>
      </w:r>
    </w:p>
    <w:p w:rsidR="00281A4B" w:rsidRDefault="00281A4B">
      <w:pPr>
        <w:ind w:left="0" w:hanging="2"/>
        <w:rPr>
          <w:sz w:val="22"/>
          <w:szCs w:val="22"/>
        </w:rPr>
      </w:pPr>
    </w:p>
    <w:p w:rsidR="00281A4B" w:rsidRDefault="00080DB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Course No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PHY F343,          </w:t>
      </w:r>
    </w:p>
    <w:p w:rsidR="00281A4B" w:rsidRDefault="00080DB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Course Title 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Nuclear and Particle Physics</w:t>
      </w:r>
    </w:p>
    <w:p w:rsidR="00281A4B" w:rsidRDefault="00080DB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>Instructor-in-</w:t>
      </w:r>
      <w:proofErr w:type="gramStart"/>
      <w:r>
        <w:rPr>
          <w:sz w:val="22"/>
          <w:szCs w:val="22"/>
        </w:rPr>
        <w:t>Charge :</w:t>
      </w:r>
      <w:proofErr w:type="gramEnd"/>
      <w:r>
        <w:rPr>
          <w:sz w:val="22"/>
          <w:szCs w:val="22"/>
        </w:rPr>
        <w:t xml:space="preserve">    Prof. Rahul Nigam (Chamber:A204)</w:t>
      </w:r>
    </w:p>
    <w:p w:rsidR="00281A4B" w:rsidRDefault="00080DB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Instructors: </w:t>
      </w:r>
      <w:proofErr w:type="spellStart"/>
      <w:r>
        <w:rPr>
          <w:sz w:val="22"/>
          <w:szCs w:val="22"/>
        </w:rPr>
        <w:t>Sarmistha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Banik</w:t>
      </w:r>
      <w:proofErr w:type="spellEnd"/>
      <w:r>
        <w:rPr>
          <w:sz w:val="22"/>
          <w:szCs w:val="22"/>
        </w:rPr>
        <w:t>, Rahul Nigam</w:t>
      </w:r>
    </w:p>
    <w:p w:rsidR="00281A4B" w:rsidRDefault="00281A4B">
      <w:pPr>
        <w:ind w:left="0" w:hanging="2"/>
        <w:rPr>
          <w:sz w:val="22"/>
          <w:szCs w:val="22"/>
        </w:rPr>
      </w:pPr>
    </w:p>
    <w:p w:rsidR="00281A4B" w:rsidRDefault="00080DBF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Scope and Objectives of the course</w:t>
      </w:r>
    </w:p>
    <w:p w:rsidR="00281A4B" w:rsidRDefault="00080DBF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>The course is designed to stress the general underlying ideas of theoretical as well as experimental Nuclear and Partic</w:t>
      </w:r>
      <w:r>
        <w:rPr>
          <w:sz w:val="22"/>
          <w:szCs w:val="22"/>
        </w:rPr>
        <w:t xml:space="preserve">le physics. Quantum Mechanics I &amp; II are </w:t>
      </w:r>
      <w:r>
        <w:rPr>
          <w:sz w:val="22"/>
          <w:szCs w:val="22"/>
        </w:rPr>
        <w:t>prerequisites</w:t>
      </w:r>
      <w:r>
        <w:rPr>
          <w:sz w:val="22"/>
          <w:szCs w:val="22"/>
        </w:rPr>
        <w:t xml:space="preserve"> for this course. The course includes traditional nuclear physics at elementary level, but covers the new trends of elementary particle physics so that the students could pursue advanced courses/active </w:t>
      </w:r>
      <w:r>
        <w:rPr>
          <w:sz w:val="22"/>
          <w:szCs w:val="22"/>
        </w:rPr>
        <w:t xml:space="preserve">research either in Nuclear or Particle Physics later on. </w:t>
      </w:r>
    </w:p>
    <w:p w:rsidR="00281A4B" w:rsidRDefault="00281A4B">
      <w:pPr>
        <w:ind w:left="0" w:hanging="2"/>
        <w:jc w:val="both"/>
        <w:rPr>
          <w:sz w:val="22"/>
          <w:szCs w:val="22"/>
        </w:rPr>
      </w:pPr>
    </w:p>
    <w:p w:rsidR="00281A4B" w:rsidRDefault="00080DBF">
      <w:pPr>
        <w:numPr>
          <w:ilvl w:val="0"/>
          <w:numId w:val="1"/>
        </w:num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Text Book</w:t>
      </w:r>
    </w:p>
    <w:p w:rsidR="00281A4B" w:rsidRDefault="00281A4B">
      <w:pPr>
        <w:ind w:left="0" w:hanging="2"/>
        <w:jc w:val="both"/>
        <w:rPr>
          <w:sz w:val="22"/>
          <w:szCs w:val="22"/>
        </w:rPr>
      </w:pPr>
    </w:p>
    <w:p w:rsidR="00281A4B" w:rsidRDefault="00080DBF">
      <w:pPr>
        <w:pStyle w:val="Heading1"/>
        <w:ind w:left="0" w:hanging="2"/>
        <w:rPr>
          <w:b w:val="0"/>
        </w:rPr>
      </w:pPr>
      <w:r>
        <w:rPr>
          <w:b w:val="0"/>
          <w:sz w:val="22"/>
          <w:szCs w:val="22"/>
        </w:rPr>
        <w:t xml:space="preserve"> Introduction to Nuclear &amp; Particle Physics: A. Das and </w:t>
      </w:r>
      <w:proofErr w:type="spellStart"/>
      <w:proofErr w:type="gramStart"/>
      <w:r>
        <w:rPr>
          <w:b w:val="0"/>
          <w:sz w:val="22"/>
          <w:szCs w:val="22"/>
        </w:rPr>
        <w:t>T.Ferbel</w:t>
      </w:r>
      <w:proofErr w:type="spellEnd"/>
      <w:proofErr w:type="gramEnd"/>
      <w:r>
        <w:rPr>
          <w:b w:val="0"/>
          <w:sz w:val="22"/>
          <w:szCs w:val="22"/>
        </w:rPr>
        <w:t>, World Scientific.</w:t>
      </w:r>
    </w:p>
    <w:p w:rsidR="00281A4B" w:rsidRDefault="00281A4B">
      <w:pPr>
        <w:ind w:left="0" w:hanging="2"/>
        <w:rPr>
          <w:sz w:val="22"/>
          <w:szCs w:val="22"/>
        </w:rPr>
      </w:pPr>
    </w:p>
    <w:p w:rsidR="00281A4B" w:rsidRDefault="00080DBF">
      <w:pPr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>
        <w:rPr>
          <w:b/>
          <w:sz w:val="22"/>
          <w:szCs w:val="22"/>
        </w:rPr>
        <w:t>Reference Book</w:t>
      </w:r>
    </w:p>
    <w:p w:rsidR="00281A4B" w:rsidRDefault="00281A4B">
      <w:pPr>
        <w:ind w:left="0" w:hanging="2"/>
        <w:rPr>
          <w:sz w:val="22"/>
          <w:szCs w:val="22"/>
        </w:rPr>
      </w:pPr>
    </w:p>
    <w:p w:rsidR="00281A4B" w:rsidRDefault="00080DBF">
      <w:pPr>
        <w:ind w:left="0" w:hanging="2"/>
        <w:rPr>
          <w:sz w:val="22"/>
          <w:szCs w:val="22"/>
        </w:rPr>
      </w:pPr>
      <w:r>
        <w:rPr>
          <w:sz w:val="23"/>
          <w:szCs w:val="23"/>
        </w:rPr>
        <w:t xml:space="preserve">      Introduction to Elementary Particle Physics:  David </w:t>
      </w:r>
      <w:proofErr w:type="gramStart"/>
      <w:r>
        <w:rPr>
          <w:sz w:val="23"/>
          <w:szCs w:val="23"/>
        </w:rPr>
        <w:t>Griffiths ,</w:t>
      </w:r>
      <w:proofErr w:type="gramEnd"/>
      <w:r>
        <w:rPr>
          <w:sz w:val="23"/>
          <w:szCs w:val="23"/>
        </w:rPr>
        <w:t xml:space="preserve"> 2008   (J</w:t>
      </w:r>
      <w:r>
        <w:rPr>
          <w:sz w:val="23"/>
          <w:szCs w:val="23"/>
        </w:rPr>
        <w:t>ohn Wiley and Sons)</w:t>
      </w:r>
    </w:p>
    <w:p w:rsidR="00281A4B" w:rsidRDefault="00281A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:rsidR="00281A4B" w:rsidRDefault="00080DBF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Course Plan</w:t>
      </w:r>
      <w:r>
        <w:rPr>
          <w:b/>
          <w:sz w:val="20"/>
          <w:szCs w:val="20"/>
        </w:rPr>
        <w:t xml:space="preserve"> </w:t>
      </w:r>
    </w:p>
    <w:p w:rsidR="00281A4B" w:rsidRDefault="00281A4B">
      <w:pPr>
        <w:ind w:left="0" w:hanging="2"/>
        <w:rPr>
          <w:sz w:val="22"/>
          <w:szCs w:val="22"/>
        </w:rPr>
      </w:pPr>
    </w:p>
    <w:tbl>
      <w:tblPr>
        <w:tblStyle w:val="a"/>
        <w:tblW w:w="9510" w:type="dxa"/>
        <w:tblInd w:w="263" w:type="dxa"/>
        <w:tblLayout w:type="fixed"/>
        <w:tblLook w:val="0000" w:firstRow="0" w:lastRow="0" w:firstColumn="0" w:lastColumn="0" w:noHBand="0" w:noVBand="0"/>
      </w:tblPr>
      <w:tblGrid>
        <w:gridCol w:w="1105"/>
        <w:gridCol w:w="2360"/>
        <w:gridCol w:w="4480"/>
        <w:gridCol w:w="1565"/>
      </w:tblGrid>
      <w:tr w:rsidR="00281A4B">
        <w:trPr>
          <w:trHeight w:val="57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Lect. No.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Topics to be covered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Learning Objectives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Chapters of Text Book  </w:t>
            </w:r>
          </w:p>
          <w:p w:rsidR="00281A4B" w:rsidRDefault="00281A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281A4B"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Rutherford’s Scattering of Alpha particles, Cross-section, Nuclear model of atoms.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81A4B"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2-3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 Properties of Nuclei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Labeling of nuclei, Mass, size, spin, dipole moment, stability of nuclei, Nature of Nuclear force.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281A4B"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4-7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Nuclear Models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Liquid drop model(Bethe-</w:t>
            </w:r>
            <w:proofErr w:type="spellStart"/>
            <w:r>
              <w:rPr>
                <w:sz w:val="22"/>
                <w:szCs w:val="22"/>
              </w:rPr>
              <w:t>Weizsacker</w:t>
            </w:r>
            <w:proofErr w:type="spellEnd"/>
            <w:r>
              <w:rPr>
                <w:sz w:val="22"/>
                <w:szCs w:val="22"/>
              </w:rPr>
              <w:t xml:space="preserve"> mass formula), Fermi-Gas model, Shell model, Collective model, </w:t>
            </w:r>
            <w:proofErr w:type="spellStart"/>
            <w:r>
              <w:rPr>
                <w:sz w:val="22"/>
                <w:szCs w:val="22"/>
              </w:rPr>
              <w:t>Superdeformed</w:t>
            </w:r>
            <w:proofErr w:type="spellEnd"/>
            <w:r>
              <w:rPr>
                <w:sz w:val="22"/>
                <w:szCs w:val="22"/>
              </w:rPr>
              <w:t xml:space="preserve"> nuclei.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281A4B"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8-10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Nuclear Radiation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Alpha, Beta, Gamma decay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281A4B"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11-12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Application of Nuclear Physics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Fission, Fusion, Radioactive decay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5, class notes</w:t>
            </w:r>
          </w:p>
        </w:tc>
      </w:tr>
      <w:tr w:rsidR="00281A4B"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 xml:space="preserve">13-15 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Nuclear Force and two body problem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Deuteron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notes</w:t>
            </w:r>
          </w:p>
        </w:tc>
      </w:tr>
      <w:tr w:rsidR="00281A4B"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16-21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Properties and Interactions of Elementary Particles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Forces, Elementary particles, Quantum numbers, Resonances, Violation of Quantum numbers, Interactions of Elementary particles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9, </w:t>
            </w:r>
          </w:p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1.1-1.6(RB1)</w:t>
            </w:r>
          </w:p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1.7-1.8(RB1)</w:t>
            </w:r>
          </w:p>
        </w:tc>
      </w:tr>
      <w:tr w:rsidR="00281A4B">
        <w:trPr>
          <w:trHeight w:val="683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</w:t>
            </w:r>
            <w:r>
              <w:rPr>
                <w:i/>
                <w:sz w:val="22"/>
                <w:szCs w:val="22"/>
              </w:rPr>
              <w:t>22-26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Symmetries and Conservation Laws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3"/>
                <w:szCs w:val="23"/>
              </w:rPr>
              <w:t>Spin &amp; Orbital Angular momentum, Angular momentum addition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class notes</w:t>
            </w:r>
          </w:p>
        </w:tc>
      </w:tr>
      <w:tr w:rsidR="00281A4B"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27-33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Discrete Transformation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Parity, Time reversal, Charge Conjugation, CPT theorem, CP violation, Wu’s experiment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11,12</w:t>
            </w:r>
          </w:p>
        </w:tc>
      </w:tr>
      <w:tr w:rsidR="00281A4B"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34-42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Basic idea of Standard Model of Particle Physics</w:t>
            </w:r>
          </w:p>
        </w:tc>
        <w:tc>
          <w:tcPr>
            <w:tcW w:w="4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Quarks &amp; Leptons, Quark contents of mesons &amp; baryons, color charge, Symmetry breaking, Gauge Bosons, QCD,QGP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spacing w:before="80" w:after="8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</w:tr>
    </w:tbl>
    <w:p w:rsidR="00281A4B" w:rsidRDefault="00281A4B">
      <w:pPr>
        <w:ind w:left="0" w:hanging="2"/>
        <w:rPr>
          <w:sz w:val="22"/>
          <w:szCs w:val="22"/>
        </w:rPr>
      </w:pPr>
    </w:p>
    <w:p w:rsidR="00281A4B" w:rsidRDefault="00281A4B">
      <w:pPr>
        <w:ind w:left="0" w:hanging="2"/>
        <w:rPr>
          <w:sz w:val="22"/>
          <w:szCs w:val="22"/>
        </w:rPr>
      </w:pPr>
    </w:p>
    <w:p w:rsidR="00281A4B" w:rsidRDefault="00080DBF">
      <w:pPr>
        <w:numPr>
          <w:ilvl w:val="0"/>
          <w:numId w:val="1"/>
        </w:num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Evaluation Scheme</w:t>
      </w:r>
    </w:p>
    <w:p w:rsidR="00281A4B" w:rsidRDefault="00281A4B">
      <w:pPr>
        <w:ind w:left="0" w:hanging="2"/>
        <w:rPr>
          <w:sz w:val="22"/>
          <w:szCs w:val="22"/>
        </w:rPr>
      </w:pPr>
    </w:p>
    <w:tbl>
      <w:tblPr>
        <w:tblStyle w:val="a0"/>
        <w:tblW w:w="9372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131"/>
        <w:gridCol w:w="1425"/>
        <w:gridCol w:w="960"/>
        <w:gridCol w:w="2610"/>
        <w:gridCol w:w="1608"/>
      </w:tblGrid>
      <w:tr w:rsidR="00281A4B">
        <w:trPr>
          <w:trHeight w:val="504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Component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pStyle w:val="Heading5"/>
              <w:ind w:left="0" w:hanging="2"/>
              <w:jc w:val="both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</w:t>
            </w: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691197" cy="30480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19280" y="3630140"/>
                                <a:ext cx="853440" cy="299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281A4B" w:rsidRDefault="00080DBF">
                                  <w:pPr>
                                    <w:spacing w:line="240" w:lineRule="auto"/>
                                    <w:ind w:left="0" w:hanging="2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</w:rPr>
                                    <w:t>Duration</w:t>
                                  </w:r>
                                </w:p>
                                <w:p w:rsidR="00281A4B" w:rsidRDefault="00281A4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0</wp:posOffset>
                      </wp:positionV>
                      <wp:extent cx="691197" cy="3048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91197" cy="304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Weightage (%)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&amp; Time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741463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Nature of Component</w:t>
            </w:r>
          </w:p>
        </w:tc>
      </w:tr>
      <w:tr w:rsidR="00281A4B">
        <w:trPr>
          <w:trHeight w:val="252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Mid-</w:t>
            </w:r>
            <w:proofErr w:type="spellStart"/>
            <w:r>
              <w:rPr>
                <w:sz w:val="22"/>
                <w:szCs w:val="22"/>
              </w:rPr>
              <w:t>sem</w:t>
            </w:r>
            <w:proofErr w:type="spellEnd"/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90 </w:t>
            </w:r>
            <w:proofErr w:type="spellStart"/>
            <w:r>
              <w:rPr>
                <w:color w:val="000000"/>
                <w:sz w:val="22"/>
                <w:szCs w:val="22"/>
              </w:rPr>
              <w:t>mins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790B5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t>11/03 9.00am to10.30am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281A4B">
        <w:trPr>
          <w:trHeight w:val="252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30 %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TBA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 Book</w:t>
            </w:r>
          </w:p>
        </w:tc>
      </w:tr>
      <w:tr w:rsidR="00281A4B">
        <w:trPr>
          <w:trHeight w:val="27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Comprehensive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 xml:space="preserve">0 </w:t>
            </w:r>
            <w:proofErr w:type="spellStart"/>
            <w:r>
              <w:rPr>
                <w:color w:val="000000"/>
                <w:sz w:val="22"/>
                <w:szCs w:val="22"/>
              </w:rPr>
              <w:t>mins</w:t>
            </w:r>
            <w:proofErr w:type="spellEnd"/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80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790B58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t>09/05 FN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</w:p>
        </w:tc>
      </w:tr>
      <w:tr w:rsidR="00281A4B">
        <w:trPr>
          <w:trHeight w:val="270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281A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080DBF">
            <w:pPr>
              <w:ind w:left="0" w:hanging="2"/>
              <w:rPr>
                <w:rFonts w:ascii="Times" w:eastAsia="Times" w:hAnsi="Times" w:cs="Times"/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0"/>
                <w:szCs w:val="20"/>
              </w:rPr>
              <w:t>200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281A4B">
            <w:pPr>
              <w:ind w:left="0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1A4B" w:rsidRDefault="00281A4B">
            <w:pPr>
              <w:ind w:left="0" w:hanging="2"/>
              <w:rPr>
                <w:sz w:val="22"/>
                <w:szCs w:val="22"/>
              </w:rPr>
            </w:pPr>
          </w:p>
        </w:tc>
      </w:tr>
    </w:tbl>
    <w:p w:rsidR="00281A4B" w:rsidRDefault="00281A4B">
      <w:pPr>
        <w:ind w:left="0" w:hanging="2"/>
        <w:rPr>
          <w:sz w:val="22"/>
          <w:szCs w:val="22"/>
        </w:rPr>
      </w:pPr>
    </w:p>
    <w:p w:rsidR="00281A4B" w:rsidRDefault="00080DBF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5. </w:t>
      </w:r>
      <w:r>
        <w:rPr>
          <w:b/>
          <w:sz w:val="22"/>
          <w:szCs w:val="22"/>
        </w:rPr>
        <w:tab/>
        <w:t>Chamber Consultation Hours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TBA, or by appointment through email</w:t>
      </w:r>
    </w:p>
    <w:p w:rsidR="00281A4B" w:rsidRDefault="00080DBF">
      <w:pPr>
        <w:ind w:left="0" w:hanging="2"/>
        <w:rPr>
          <w:sz w:val="22"/>
          <w:szCs w:val="22"/>
        </w:rPr>
      </w:pPr>
      <w:r>
        <w:rPr>
          <w:b/>
          <w:sz w:val="22"/>
          <w:szCs w:val="22"/>
        </w:rPr>
        <w:t>6.</w:t>
      </w:r>
      <w:r>
        <w:rPr>
          <w:b/>
          <w:sz w:val="22"/>
          <w:szCs w:val="22"/>
        </w:rPr>
        <w:tab/>
        <w:t xml:space="preserve">Notices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CMS. Google classroom</w:t>
      </w:r>
    </w:p>
    <w:p w:rsidR="00281A4B" w:rsidRDefault="00080DBF">
      <w:pPr>
        <w:ind w:left="0" w:hanging="2"/>
        <w:jc w:val="both"/>
        <w:rPr>
          <w:sz w:val="22"/>
          <w:szCs w:val="22"/>
        </w:rPr>
      </w:pPr>
      <w:r>
        <w:rPr>
          <w:b/>
          <w:sz w:val="22"/>
          <w:szCs w:val="22"/>
        </w:rPr>
        <w:t>7.</w:t>
      </w:r>
      <w:r>
        <w:rPr>
          <w:b/>
          <w:sz w:val="22"/>
          <w:szCs w:val="22"/>
        </w:rPr>
        <w:tab/>
        <w:t>Make-up Policy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Very strict, only for genuine reasons such as hospitalization </w:t>
      </w:r>
    </w:p>
    <w:p w:rsidR="00281A4B" w:rsidRDefault="00080DBF">
      <w:pPr>
        <w:ind w:left="0" w:hanging="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with prior permission. </w:t>
      </w:r>
    </w:p>
    <w:p w:rsidR="00564CC1" w:rsidRDefault="00564CC1">
      <w:pPr>
        <w:ind w:left="0" w:hanging="2"/>
        <w:jc w:val="both"/>
        <w:rPr>
          <w:sz w:val="22"/>
          <w:szCs w:val="22"/>
        </w:rPr>
      </w:pPr>
    </w:p>
    <w:p w:rsidR="00564CC1" w:rsidRPr="00080DBF" w:rsidRDefault="00564CC1" w:rsidP="00564CC1">
      <w:pPr>
        <w:ind w:left="0" w:hanging="2"/>
        <w:jc w:val="both"/>
        <w:rPr>
          <w:rFonts w:eastAsia="Calibri"/>
          <w:sz w:val="21"/>
          <w:szCs w:val="21"/>
        </w:rPr>
      </w:pPr>
      <w:bookmarkStart w:id="0" w:name="_GoBack"/>
      <w:r w:rsidRPr="00080DBF">
        <w:rPr>
          <w:rFonts w:eastAsia="Calibri"/>
          <w:b/>
          <w:sz w:val="21"/>
          <w:szCs w:val="21"/>
        </w:rPr>
        <w:t>Academic Honesty and Integrity Policy:</w:t>
      </w:r>
      <w:r w:rsidRPr="00080DBF">
        <w:rPr>
          <w:rFonts w:eastAsia="Calibri"/>
          <w:sz w:val="21"/>
          <w:szCs w:val="21"/>
        </w:rPr>
        <w:t xml:space="preserve"> Academic honesty and integrity are to be maintained by all the students throughout the semester and no type of academic dishonesty is acceptable. </w:t>
      </w:r>
    </w:p>
    <w:bookmarkEnd w:id="0"/>
    <w:p w:rsidR="00564CC1" w:rsidRDefault="00564CC1">
      <w:pPr>
        <w:ind w:left="0" w:hanging="2"/>
        <w:jc w:val="both"/>
        <w:rPr>
          <w:sz w:val="22"/>
          <w:szCs w:val="22"/>
        </w:rPr>
      </w:pPr>
    </w:p>
    <w:p w:rsidR="00281A4B" w:rsidRDefault="00080DBF">
      <w:pPr>
        <w:ind w:left="0"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Instructor-in-charge</w:t>
      </w:r>
      <w:r>
        <w:rPr>
          <w:sz w:val="22"/>
          <w:szCs w:val="22"/>
        </w:rPr>
        <w:t xml:space="preserve">                                                                                 </w:t>
      </w:r>
    </w:p>
    <w:p w:rsidR="00281A4B" w:rsidRDefault="00080DBF">
      <w:pPr>
        <w:ind w:left="0" w:hanging="2"/>
        <w:jc w:val="center"/>
      </w:pPr>
      <w:r>
        <w:rPr>
          <w:sz w:val="22"/>
          <w:szCs w:val="22"/>
        </w:rPr>
        <w:t xml:space="preserve"> PHY F3</w:t>
      </w:r>
      <w:r>
        <w:rPr>
          <w:sz w:val="22"/>
          <w:szCs w:val="22"/>
        </w:rPr>
        <w:t xml:space="preserve">43       </w:t>
      </w:r>
    </w:p>
    <w:sectPr w:rsidR="00281A4B">
      <w:pgSz w:w="12240" w:h="15840"/>
      <w:pgMar w:top="1440" w:right="1319" w:bottom="1440" w:left="131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E04BC"/>
    <w:multiLevelType w:val="multilevel"/>
    <w:tmpl w:val="9266D45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26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pStyle w:val="Heading5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4B"/>
    <w:rsid w:val="00080DBF"/>
    <w:rsid w:val="00281A4B"/>
    <w:rsid w:val="00564CC1"/>
    <w:rsid w:val="00741463"/>
    <w:rsid w:val="007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4ABE"/>
  <w15:docId w15:val="{760FEC2B-ADA9-41C0-A1FB-D6A9F347D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ind w:left="360"/>
      <w:jc w:val="both"/>
    </w:pPr>
    <w:rPr>
      <w:b/>
      <w:bCs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pPr>
      <w:keepNext/>
      <w:outlineLvl w:val="3"/>
    </w:pPr>
    <w:rPr>
      <w:rFonts w:ascii="Bookman Old Style" w:hAnsi="Bookman Old Style"/>
      <w:b/>
      <w:bCs/>
      <w:sz w:val="20"/>
    </w:rPr>
  </w:style>
  <w:style w:type="paragraph" w:styleId="Heading5">
    <w:name w:val="heading 5"/>
    <w:basedOn w:val="Normal"/>
    <w:next w:val="BodyText"/>
    <w:pPr>
      <w:keepNext/>
      <w:numPr>
        <w:ilvl w:val="4"/>
        <w:numId w:val="1"/>
      </w:numPr>
      <w:suppressAutoHyphens w:val="0"/>
      <w:ind w:left="-1" w:hanging="1"/>
      <w:jc w:val="center"/>
      <w:textAlignment w:val="baseline"/>
      <w:outlineLvl w:val="4"/>
    </w:pPr>
    <w:rPr>
      <w:b/>
      <w:bCs/>
      <w:kern w:val="1"/>
      <w:sz w:val="20"/>
      <w:lang w:eastAsia="zh-CN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styleId="BodyText">
    <w:name w:val="Body Text"/>
    <w:basedOn w:val="Normal"/>
    <w:pPr>
      <w:suppressAutoHyphens w:val="0"/>
      <w:spacing w:after="120"/>
    </w:pPr>
    <w:rPr>
      <w:sz w:val="20"/>
      <w:szCs w:val="20"/>
      <w:lang w:eastAsia="ar-SA"/>
    </w:rPr>
  </w:style>
  <w:style w:type="paragraph" w:styleId="PlainText">
    <w:name w:val="Plain Text"/>
    <w:basedOn w:val="Normal"/>
    <w:pPr>
      <w:suppressAutoHyphens w:val="0"/>
    </w:pPr>
    <w:rPr>
      <w:rFonts w:ascii="Courier New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pPr>
      <w:suppressAutoHyphens w:val="0"/>
      <w:spacing w:line="100" w:lineRule="atLeast"/>
      <w:ind w:left="720"/>
    </w:pPr>
    <w:rPr>
      <w:kern w:val="1"/>
      <w:lang w:val="en-IN" w:eastAsia="hi-IN" w:bidi="hi-IN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en-US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b/>
      <w:bCs/>
      <w:w w:val="100"/>
      <w:kern w:val="1"/>
      <w:position w:val="-1"/>
      <w:szCs w:val="24"/>
      <w:effect w:val="none"/>
      <w:vertAlign w:val="baseline"/>
      <w:cs w:val="0"/>
      <w:em w:val="none"/>
      <w:lang w:eastAsia="zh-CN"/>
    </w:rPr>
  </w:style>
  <w:style w:type="paragraph" w:customStyle="1" w:styleId="Standard">
    <w:name w:val="Standard"/>
    <w:pPr>
      <w:spacing w:line="1" w:lineRule="atLeast"/>
      <w:ind w:leftChars="-1" w:left="-1" w:hangingChars="1" w:hanging="1"/>
      <w:textDirection w:val="btLr"/>
      <w:textAlignment w:val="baseline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coPk3H/mDrcuVy+uZOzroIGYRQ==">AMUW2mWjGyu1l/ObEQMGF8XUS6F3A7ClopontVCllUHgvDwN+jZOAOeg/fHmHsuj91kXJw9qNCGyEcv5YZ3mvF/orlP+u+w4oeyxB77LP07FgrnVr+NWt2w=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Physics-1</dc:creator>
  <cp:lastModifiedBy>BITS</cp:lastModifiedBy>
  <cp:revision>5</cp:revision>
  <dcterms:created xsi:type="dcterms:W3CDTF">2017-11-23T10:21:00Z</dcterms:created>
  <dcterms:modified xsi:type="dcterms:W3CDTF">2022-01-15T06:13:00Z</dcterms:modified>
</cp:coreProperties>
</file>