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DF" w:rsidRPr="00FF04F7" w:rsidRDefault="002158DF" w:rsidP="00FF04F7">
      <w:pPr>
        <w:pStyle w:val="NoSpacing"/>
        <w:jc w:val="center"/>
        <w:rPr>
          <w:b/>
          <w:bCs/>
          <w:i/>
          <w:iCs/>
        </w:rPr>
      </w:pPr>
      <w:r w:rsidRPr="00FF04F7">
        <w:rPr>
          <w:b/>
        </w:rPr>
        <w:t>Birla Institute of Technology and Science, Pilani</w:t>
      </w:r>
    </w:p>
    <w:p w:rsidR="00DC1D29" w:rsidRPr="00FF04F7" w:rsidRDefault="00DC1D29" w:rsidP="00FF04F7">
      <w:pPr>
        <w:pStyle w:val="NoSpacing"/>
        <w:jc w:val="center"/>
        <w:rPr>
          <w:b/>
        </w:rPr>
      </w:pPr>
      <w:r w:rsidRPr="00FF04F7">
        <w:rPr>
          <w:b/>
        </w:rPr>
        <w:t>Hyderabad Campus</w:t>
      </w:r>
    </w:p>
    <w:p w:rsidR="00FF04F7" w:rsidRPr="00FF04F7" w:rsidRDefault="00A668DD" w:rsidP="00FF04F7">
      <w:pPr>
        <w:pStyle w:val="NoSpacing"/>
        <w:jc w:val="center"/>
        <w:rPr>
          <w:b/>
        </w:rPr>
      </w:pPr>
      <w:r>
        <w:rPr>
          <w:b/>
        </w:rPr>
        <w:t>Second Semester 2021-22</w:t>
      </w:r>
    </w:p>
    <w:p w:rsidR="002158DF" w:rsidRDefault="002158DF">
      <w:pPr>
        <w:pStyle w:val="Heading4"/>
        <w:jc w:val="righ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                              </w:t>
      </w:r>
      <w:r>
        <w:t xml:space="preserve">      </w:t>
      </w:r>
      <w:r w:rsidR="00364CA9">
        <w:rPr>
          <w:b w:val="0"/>
          <w:bCs w:val="0"/>
          <w:sz w:val="24"/>
        </w:rPr>
        <w:t xml:space="preserve">Date: </w:t>
      </w:r>
      <w:r w:rsidR="00FB0737">
        <w:rPr>
          <w:b w:val="0"/>
          <w:bCs w:val="0"/>
          <w:sz w:val="24"/>
        </w:rPr>
        <w:t>15</w:t>
      </w:r>
      <w:r w:rsidR="00C87D28">
        <w:rPr>
          <w:b w:val="0"/>
          <w:bCs w:val="0"/>
          <w:sz w:val="24"/>
        </w:rPr>
        <w:t>-01-2022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DF031D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>Course No.:  PHY F344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Course Title: </w:t>
      </w:r>
      <w:r w:rsidR="00DF031D">
        <w:rPr>
          <w:b w:val="0"/>
          <w:bCs w:val="0"/>
        </w:rPr>
        <w:t>Advanced Physics Laboratory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Instructor-in-charge: </w:t>
      </w:r>
      <w:r w:rsidR="004C105B">
        <w:rPr>
          <w:bCs w:val="0"/>
        </w:rPr>
        <w:t>B. Harihara Venkataraman</w:t>
      </w:r>
    </w:p>
    <w:p w:rsidR="002158DF" w:rsidRDefault="002158DF" w:rsidP="00295E06">
      <w:pPr>
        <w:pStyle w:val="Heading1"/>
        <w:jc w:val="both"/>
        <w:rPr>
          <w:b w:val="0"/>
          <w:color w:val="000000"/>
        </w:rPr>
      </w:pPr>
      <w:r>
        <w:rPr>
          <w:b w:val="0"/>
          <w:bCs w:val="0"/>
        </w:rPr>
        <w:t>Instructors:</w:t>
      </w:r>
      <w:r>
        <w:t xml:space="preserve"> </w:t>
      </w:r>
      <w:r w:rsidR="006A6A20">
        <w:t xml:space="preserve">Prof. </w:t>
      </w:r>
      <w:r w:rsidR="004C105B">
        <w:t>Kannan Ramaswamy, Priyanka Mitra, Nilofar Naaz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2158DF" w:rsidP="00E5745C">
      <w:pPr>
        <w:pStyle w:val="Heading1"/>
        <w:numPr>
          <w:ilvl w:val="0"/>
          <w:numId w:val="1"/>
        </w:numPr>
        <w:ind w:left="360"/>
        <w:jc w:val="both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Scope and Objective of the course</w:t>
      </w:r>
      <w:r w:rsidR="00015E6C">
        <w:rPr>
          <w:b w:val="0"/>
          <w:bCs w:val="0"/>
          <w:u w:val="single"/>
        </w:rPr>
        <w:t>:</w:t>
      </w:r>
    </w:p>
    <w:p w:rsidR="00EC76AF" w:rsidRDefault="00EC76AF" w:rsidP="00EC76AF">
      <w:pPr>
        <w:pStyle w:val="Heading1"/>
        <w:ind w:left="360"/>
        <w:jc w:val="both"/>
        <w:rPr>
          <w:b w:val="0"/>
          <w:bCs w:val="0"/>
        </w:rPr>
      </w:pPr>
      <w:r>
        <w:rPr>
          <w:b w:val="0"/>
          <w:bCs w:val="0"/>
        </w:rPr>
        <w:t>The aim o</w:t>
      </w:r>
      <w:r w:rsidR="006C427C">
        <w:rPr>
          <w:b w:val="0"/>
          <w:bCs w:val="0"/>
        </w:rPr>
        <w:t xml:space="preserve">f the course is to introduce </w:t>
      </w:r>
      <w:r>
        <w:rPr>
          <w:b w:val="0"/>
          <w:bCs w:val="0"/>
        </w:rPr>
        <w:t xml:space="preserve">students </w:t>
      </w:r>
      <w:r w:rsidR="006C427C">
        <w:rPr>
          <w:b w:val="0"/>
          <w:bCs w:val="0"/>
        </w:rPr>
        <w:t>to some selected experimental techniques pertaining to</w:t>
      </w:r>
      <w:r>
        <w:rPr>
          <w:b w:val="0"/>
          <w:bCs w:val="0"/>
        </w:rPr>
        <w:t xml:space="preserve"> Compulsory Discipline Courses</w:t>
      </w:r>
      <w:r w:rsidR="006C427C">
        <w:rPr>
          <w:b w:val="0"/>
          <w:bCs w:val="0"/>
        </w:rPr>
        <w:t xml:space="preserve"> such as Solid State Physics and Atomic and Molecular Physics</w:t>
      </w:r>
      <w:r>
        <w:rPr>
          <w:b w:val="0"/>
          <w:bCs w:val="0"/>
        </w:rPr>
        <w:t xml:space="preserve">. The </w:t>
      </w:r>
      <w:r w:rsidR="00683B16">
        <w:rPr>
          <w:b w:val="0"/>
          <w:bCs w:val="0"/>
        </w:rPr>
        <w:t>main objective is to</w:t>
      </w:r>
      <w:r>
        <w:rPr>
          <w:b w:val="0"/>
          <w:bCs w:val="0"/>
        </w:rPr>
        <w:t xml:space="preserve"> supplement textbook learning with experimental demonstration</w:t>
      </w:r>
      <w:r w:rsidR="00683B16">
        <w:rPr>
          <w:b w:val="0"/>
          <w:bCs w:val="0"/>
        </w:rPr>
        <w:t>s</w:t>
      </w:r>
      <w:r>
        <w:rPr>
          <w:b w:val="0"/>
          <w:bCs w:val="0"/>
        </w:rPr>
        <w:t>.</w:t>
      </w:r>
    </w:p>
    <w:p w:rsidR="00B201E6" w:rsidRPr="00B201E6" w:rsidRDefault="00B201E6" w:rsidP="00B201E6"/>
    <w:p w:rsidR="00B201E6" w:rsidRDefault="00B201E6" w:rsidP="00E07E4D">
      <w:pPr>
        <w:ind w:left="426" w:hanging="426"/>
        <w:jc w:val="both"/>
      </w:pPr>
      <w:r>
        <w:t>2.   Text Book: There is no text book for this course. The study materials will be provided by the instructors.</w:t>
      </w:r>
      <w:r w:rsidR="00035B34">
        <w:t xml:space="preserve"> The following websites have online demonstrations of some of the standard physics experiments at the undergraduate level.</w:t>
      </w:r>
    </w:p>
    <w:p w:rsidR="00035B34" w:rsidRDefault="00035B34" w:rsidP="00E07E4D">
      <w:pPr>
        <w:ind w:left="426" w:hanging="426"/>
        <w:jc w:val="both"/>
      </w:pPr>
    </w:p>
    <w:p w:rsidR="00035B34" w:rsidRDefault="00035B34" w:rsidP="00035B34">
      <w:pPr>
        <w:ind w:left="360"/>
        <w:jc w:val="both"/>
      </w:pPr>
      <w:r w:rsidRPr="00167578">
        <w:t>https://polyhedronphysics.com/</w:t>
      </w:r>
      <w:r w:rsidRPr="00167578">
        <w:cr/>
        <w:t>https://www.vlab.co.in/broad-area-physical-sciences</w:t>
      </w:r>
      <w:r w:rsidRPr="00167578">
        <w:cr/>
        <w:t>http://vlab.amrita.edu/index.php?sub=1&amp;brch=189</w:t>
      </w:r>
    </w:p>
    <w:p w:rsidR="00035B34" w:rsidRDefault="0075738F" w:rsidP="00035B34">
      <w:pPr>
        <w:ind w:left="360"/>
        <w:jc w:val="both"/>
      </w:pPr>
      <w:hyperlink r:id="rId8" w:history="1">
        <w:r w:rsidR="00035B34" w:rsidRPr="008B2FE4">
          <w:rPr>
            <w:rStyle w:val="Hyperlink"/>
          </w:rPr>
          <w:t>https://phet.colorado.edu/en/simulations/filter?subjects=physics&amp;sort=alpha&amp;view=grid</w:t>
        </w:r>
      </w:hyperlink>
    </w:p>
    <w:p w:rsidR="00035B34" w:rsidRDefault="0075738F" w:rsidP="00035B34">
      <w:pPr>
        <w:ind w:left="360"/>
        <w:jc w:val="both"/>
      </w:pPr>
      <w:hyperlink r:id="rId9" w:anchor="sims" w:history="1">
        <w:r w:rsidR="00035B34" w:rsidRPr="008B2FE4">
          <w:rPr>
            <w:rStyle w:val="Hyperlink"/>
          </w:rPr>
          <w:t>https://www.physport.org/recommendations/Entry.cfm?ID=119927#sims</w:t>
        </w:r>
      </w:hyperlink>
    </w:p>
    <w:p w:rsidR="00035B34" w:rsidRDefault="00035B34" w:rsidP="00035B34">
      <w:pPr>
        <w:ind w:left="360"/>
        <w:jc w:val="both"/>
      </w:pPr>
      <w:r w:rsidRPr="00167578">
        <w:t>https://www.physport.org/recommendations/Entry.cfm?ID=119927#sims</w:t>
      </w:r>
    </w:p>
    <w:p w:rsidR="002158DF" w:rsidRDefault="002158DF" w:rsidP="00975D0D">
      <w:pPr>
        <w:pStyle w:val="Heading1"/>
        <w:jc w:val="both"/>
        <w:rPr>
          <w:b w:val="0"/>
          <w:bCs w:val="0"/>
        </w:rPr>
      </w:pPr>
    </w:p>
    <w:p w:rsidR="001028E4" w:rsidRDefault="001028E4" w:rsidP="001028E4">
      <w:r w:rsidRPr="00683B16">
        <w:rPr>
          <w:b/>
        </w:rPr>
        <w:t>Learning Outcomes</w:t>
      </w:r>
      <w:r>
        <w:t>:</w:t>
      </w:r>
    </w:p>
    <w:p w:rsidR="00683B16" w:rsidRDefault="00683B16" w:rsidP="001028E4"/>
    <w:p w:rsidR="001028E4" w:rsidRDefault="006C427C" w:rsidP="00975D0D">
      <w:pPr>
        <w:pStyle w:val="ListParagraph"/>
        <w:numPr>
          <w:ilvl w:val="0"/>
          <w:numId w:val="10"/>
        </w:numPr>
        <w:ind w:right="-716"/>
      </w:pPr>
      <w:r>
        <w:t>Ability to analyze data obtained using standard and well known experimental techniques</w:t>
      </w:r>
      <w:r w:rsidR="00683B16">
        <w:t>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explain experimental data analytically using well known theoretical formulations.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perform thorough error analysis.</w:t>
      </w:r>
    </w:p>
    <w:p w:rsidR="00683B16" w:rsidRPr="001028E4" w:rsidRDefault="00683B16" w:rsidP="0022213A">
      <w:pPr>
        <w:pStyle w:val="ListParagraph"/>
        <w:numPr>
          <w:ilvl w:val="0"/>
          <w:numId w:val="10"/>
        </w:numPr>
      </w:pPr>
      <w:r>
        <w:t xml:space="preserve">Ability to make written technical reports. </w:t>
      </w:r>
    </w:p>
    <w:p w:rsidR="002158DF" w:rsidRDefault="0039691A" w:rsidP="0039691A">
      <w:pPr>
        <w:pStyle w:val="Heading1"/>
        <w:jc w:val="both"/>
        <w:rPr>
          <w:bCs w:val="0"/>
        </w:rPr>
      </w:pPr>
      <w:r w:rsidRPr="0039691A">
        <w:rPr>
          <w:bCs w:val="0"/>
        </w:rPr>
        <w:t>Instructors Role:</w:t>
      </w:r>
    </w:p>
    <w:p w:rsidR="00975D0D" w:rsidRPr="00975D0D" w:rsidRDefault="00975D0D" w:rsidP="00975D0D"/>
    <w:p w:rsidR="0039691A" w:rsidRDefault="00361046" w:rsidP="00F03653">
      <w:pPr>
        <w:pStyle w:val="ListParagraph"/>
        <w:numPr>
          <w:ilvl w:val="0"/>
          <w:numId w:val="11"/>
        </w:numPr>
      </w:pPr>
      <w:r>
        <w:t>Give introductory lecture about experimental techniques.</w:t>
      </w:r>
    </w:p>
    <w:p w:rsidR="00361046" w:rsidRDefault="00F03653" w:rsidP="00F03653">
      <w:pPr>
        <w:pStyle w:val="ListParagraph"/>
        <w:numPr>
          <w:ilvl w:val="0"/>
          <w:numId w:val="11"/>
        </w:numPr>
      </w:pPr>
      <w:r>
        <w:t>Suggest material systems that can be taken up for a detailed understanding of a given experimental technique.</w:t>
      </w:r>
    </w:p>
    <w:p w:rsidR="00F03653" w:rsidRDefault="00F03653" w:rsidP="00F03653">
      <w:pPr>
        <w:pStyle w:val="ListParagraph"/>
        <w:numPr>
          <w:ilvl w:val="0"/>
          <w:numId w:val="11"/>
        </w:numPr>
      </w:pPr>
      <w:r>
        <w:t>Provide experimental data for analysis.</w:t>
      </w:r>
    </w:p>
    <w:p w:rsidR="00513C97" w:rsidRDefault="00513C97" w:rsidP="00F03653">
      <w:pPr>
        <w:pStyle w:val="ListParagraph"/>
        <w:numPr>
          <w:ilvl w:val="0"/>
          <w:numId w:val="11"/>
        </w:numPr>
      </w:pPr>
      <w:r>
        <w:t>Provide formative assessments about student’s progress.</w:t>
      </w:r>
    </w:p>
    <w:p w:rsidR="00692E39" w:rsidRDefault="00692E39" w:rsidP="00F03653">
      <w:pPr>
        <w:rPr>
          <w:b/>
        </w:rPr>
      </w:pPr>
    </w:p>
    <w:p w:rsidR="00975D0D" w:rsidRDefault="00975D0D" w:rsidP="00F03653">
      <w:pPr>
        <w:rPr>
          <w:b/>
        </w:rPr>
      </w:pPr>
    </w:p>
    <w:p w:rsidR="00975D0D" w:rsidRDefault="00975D0D" w:rsidP="00F03653">
      <w:pPr>
        <w:rPr>
          <w:b/>
        </w:rPr>
      </w:pPr>
    </w:p>
    <w:p w:rsidR="00975D0D" w:rsidRDefault="00975D0D" w:rsidP="00F03653">
      <w:pPr>
        <w:rPr>
          <w:b/>
        </w:rPr>
      </w:pPr>
    </w:p>
    <w:p w:rsidR="00F03653" w:rsidRDefault="00F03653" w:rsidP="00F03653">
      <w:pPr>
        <w:rPr>
          <w:b/>
        </w:rPr>
      </w:pPr>
      <w:r w:rsidRPr="00F03653">
        <w:rPr>
          <w:b/>
        </w:rPr>
        <w:t>Student’s Role:</w:t>
      </w:r>
    </w:p>
    <w:p w:rsidR="00DE16F1" w:rsidRDefault="00DE16F1" w:rsidP="00F03653">
      <w:pPr>
        <w:rPr>
          <w:b/>
        </w:rPr>
      </w:pP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Understand the fundamental physical principles behind the experimental techniques.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 xml:space="preserve">Understand the applicability of an experimental technique by analyzing the given data in detail </w:t>
      </w:r>
      <w:r w:rsidR="006366AA">
        <w:t>for the suggested systems and interpreting the data using well known equations.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Communicate their understanding about the experimental techniques</w:t>
      </w:r>
      <w:r w:rsidR="004B5B11">
        <w:t xml:space="preserve"> through written report</w:t>
      </w:r>
      <w:r w:rsidR="00625861">
        <w:t xml:space="preserve"> </w:t>
      </w:r>
      <w:r>
        <w:t>and oral presentations.</w:t>
      </w:r>
    </w:p>
    <w:p w:rsidR="00513C97" w:rsidRDefault="00CE59DD" w:rsidP="00513C97">
      <w:r>
        <w:rPr>
          <w:b/>
        </w:rPr>
        <w:t>What happens on a day to day basis in the laboratory sessions?</w:t>
      </w:r>
    </w:p>
    <w:p w:rsidR="00513C97" w:rsidRDefault="00513C97" w:rsidP="00513C97"/>
    <w:p w:rsidR="00513C97" w:rsidRDefault="00513C97" w:rsidP="00CE59DD">
      <w:pPr>
        <w:pStyle w:val="ListParagraph"/>
        <w:numPr>
          <w:ilvl w:val="0"/>
          <w:numId w:val="13"/>
        </w:numPr>
      </w:pPr>
      <w:r>
        <w:t>Every lab is for a total of 6 hours per week and is divided into two sessions of 3 hours.</w:t>
      </w:r>
    </w:p>
    <w:p w:rsidR="00CE59DD" w:rsidRDefault="006366AA" w:rsidP="001A37D0">
      <w:pPr>
        <w:pStyle w:val="ListParagraph"/>
        <w:numPr>
          <w:ilvl w:val="0"/>
          <w:numId w:val="13"/>
        </w:numPr>
      </w:pPr>
      <w:r>
        <w:t xml:space="preserve">The instructors will </w:t>
      </w:r>
      <w:r w:rsidR="001A37D0">
        <w:t>give a presentation for about 30 to 45</w:t>
      </w:r>
      <w:r>
        <w:t xml:space="preserve"> minutes </w:t>
      </w:r>
      <w:r w:rsidR="00CE59DD">
        <w:t>about each experimental technique that will be a part of this course.</w:t>
      </w:r>
      <w:r w:rsidR="00E92B30">
        <w:t xml:space="preserve"> The students will be provided with resource materials to understand relevant theory.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 xml:space="preserve">The instructor will give the data that needs to be analyzed by the students. 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 xml:space="preserve">In the second session, each student will submit a detailed written report based on the </w:t>
      </w:r>
      <w:r w:rsidR="00B9197E">
        <w:t>analyzed</w:t>
      </w:r>
      <w:r w:rsidR="00B832E9">
        <w:t xml:space="preserve"> data</w:t>
      </w:r>
      <w:r>
        <w:t>.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>This process will continue for all the experiments.</w:t>
      </w:r>
    </w:p>
    <w:p w:rsidR="00BC5FD9" w:rsidRDefault="00BC5FD9" w:rsidP="00BC5FD9">
      <w:pPr>
        <w:rPr>
          <w:b/>
        </w:rPr>
      </w:pPr>
      <w:r w:rsidRPr="00BC5FD9">
        <w:rPr>
          <w:b/>
        </w:rPr>
        <w:t>How does evaluation for this course happen?</w:t>
      </w:r>
    </w:p>
    <w:p w:rsidR="00DE16F1" w:rsidRDefault="00DE16F1" w:rsidP="00BC5FD9">
      <w:pPr>
        <w:rPr>
          <w:b/>
        </w:rPr>
      </w:pPr>
    </w:p>
    <w:p w:rsidR="00BC5FD9" w:rsidRDefault="00BC5FD9" w:rsidP="004355E6">
      <w:pPr>
        <w:pStyle w:val="ListParagraph"/>
        <w:numPr>
          <w:ilvl w:val="0"/>
          <w:numId w:val="14"/>
        </w:numPr>
      </w:pPr>
      <w:r>
        <w:t>Wr</w:t>
      </w:r>
      <w:r w:rsidR="004355E6">
        <w:t xml:space="preserve">itten </w:t>
      </w:r>
      <w:r w:rsidR="00B832E9">
        <w:t>report</w:t>
      </w:r>
      <w:r w:rsidR="004355E6">
        <w:t xml:space="preserve"> of </w:t>
      </w:r>
      <w:r>
        <w:t>experim</w:t>
      </w:r>
      <w:r w:rsidR="00B832E9">
        <w:t>ents will carry a weightage of 6</w:t>
      </w:r>
      <w:r>
        <w:t>0%.</w:t>
      </w:r>
    </w:p>
    <w:p w:rsidR="00BC5FD9" w:rsidRDefault="005D3E2A" w:rsidP="004355E6">
      <w:pPr>
        <w:pStyle w:val="ListParagraph"/>
        <w:numPr>
          <w:ilvl w:val="0"/>
          <w:numId w:val="14"/>
        </w:numPr>
      </w:pPr>
      <w:r>
        <w:t>Every student is expected to participate in ac</w:t>
      </w:r>
      <w:r w:rsidR="006439DC">
        <w:t>tive discussions after the</w:t>
      </w:r>
      <w:r>
        <w:t xml:space="preserve"> demonstration of an experiment is completed. </w:t>
      </w:r>
      <w:r w:rsidR="00176ABE">
        <w:t>This will carry a weightage of 1</w:t>
      </w:r>
      <w:r>
        <w:t>0%.</w:t>
      </w:r>
    </w:p>
    <w:p w:rsidR="00176ABE" w:rsidRPr="0024533B" w:rsidRDefault="0024533B" w:rsidP="0024533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will be a final written examination</w:t>
      </w:r>
      <w:r w:rsidR="00E1634D">
        <w:rPr>
          <w:rFonts w:ascii="Garamond" w:hAnsi="Garamond"/>
          <w:sz w:val="24"/>
          <w:szCs w:val="24"/>
        </w:rPr>
        <w:t>/seminar</w:t>
      </w:r>
      <w:r>
        <w:rPr>
          <w:rFonts w:ascii="Garamond" w:hAnsi="Garamond"/>
          <w:sz w:val="24"/>
          <w:szCs w:val="24"/>
        </w:rPr>
        <w:t xml:space="preserve"> to test the understanding of theoretical ideas and experimental methods which carries a weightage of 30%</w:t>
      </w:r>
    </w:p>
    <w:p w:rsidR="004355E6" w:rsidRDefault="00176ABE" w:rsidP="004355E6">
      <w:pPr>
        <w:rPr>
          <w:b/>
        </w:rPr>
      </w:pPr>
      <w:r>
        <w:rPr>
          <w:b/>
        </w:rPr>
        <w:t>Evaluation based on w</w:t>
      </w:r>
      <w:r w:rsidR="004355E6" w:rsidRPr="004355E6">
        <w:rPr>
          <w:b/>
        </w:rPr>
        <w:t xml:space="preserve">ritten </w:t>
      </w:r>
      <w:r>
        <w:rPr>
          <w:b/>
        </w:rPr>
        <w:t>l</w:t>
      </w:r>
      <w:r w:rsidR="005D3E2A">
        <w:rPr>
          <w:b/>
        </w:rPr>
        <w:t xml:space="preserve">aboratory </w:t>
      </w:r>
      <w:r w:rsidR="004355E6" w:rsidRPr="004355E6">
        <w:rPr>
          <w:b/>
        </w:rPr>
        <w:t>report:</w:t>
      </w:r>
    </w:p>
    <w:p w:rsidR="00C860DB" w:rsidRDefault="00C860DB" w:rsidP="004355E6">
      <w:pPr>
        <w:rPr>
          <w:b/>
        </w:rPr>
      </w:pP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 xml:space="preserve">Clarity and </w:t>
      </w:r>
      <w:r w:rsidR="009B3692">
        <w:t>or</w:t>
      </w:r>
      <w:r w:rsidR="00E03A9E">
        <w:t>iginality of the write up.</w:t>
      </w: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>Analysis of the data</w:t>
      </w:r>
      <w:r w:rsidR="00E03A9E">
        <w:t xml:space="preserve"> including error analysis.</w:t>
      </w:r>
    </w:p>
    <w:p w:rsidR="00E1634D" w:rsidRDefault="00035B34" w:rsidP="00E1634D">
      <w:pPr>
        <w:pStyle w:val="ListParagraph"/>
        <w:numPr>
          <w:ilvl w:val="0"/>
          <w:numId w:val="15"/>
        </w:numPr>
      </w:pPr>
      <w:r>
        <w:t>Neatness of the g</w:t>
      </w:r>
      <w:r w:rsidR="00412C47">
        <w:t>raphical representation</w:t>
      </w:r>
      <w:r w:rsidR="00BF17A1">
        <w:t>.</w:t>
      </w:r>
    </w:p>
    <w:p w:rsidR="003D31FB" w:rsidRPr="00FD4806" w:rsidRDefault="00E1634D" w:rsidP="003D31FB">
      <w:pPr>
        <w:jc w:val="both"/>
        <w:rPr>
          <w:b/>
        </w:rPr>
      </w:pPr>
      <w:r w:rsidRPr="00FD4806">
        <w:rPr>
          <w:b/>
          <w:u w:val="single"/>
        </w:rPr>
        <w:t>Content</w:t>
      </w:r>
      <w:r w:rsidR="003D31FB" w:rsidRPr="00FD4806">
        <w:rPr>
          <w:b/>
          <w:u w:val="single"/>
        </w:rPr>
        <w:t xml:space="preserve"> for each experiment</w:t>
      </w:r>
      <w:r w:rsidRPr="00FD4806">
        <w:rPr>
          <w:b/>
          <w:u w:val="single"/>
        </w:rPr>
        <w:t xml:space="preserve"> in the written report</w:t>
      </w:r>
      <w:r w:rsidR="003D31FB" w:rsidRPr="00FD4806">
        <w:rPr>
          <w:b/>
          <w:u w:val="single"/>
        </w:rPr>
        <w:t>:</w:t>
      </w:r>
    </w:p>
    <w:p w:rsidR="003D31FB" w:rsidRPr="004F36BA" w:rsidRDefault="003D31FB" w:rsidP="003D31FB">
      <w:pPr>
        <w:jc w:val="both"/>
        <w:rPr>
          <w:b/>
        </w:rPr>
      </w:pPr>
    </w:p>
    <w:tbl>
      <w:tblPr>
        <w:tblW w:w="7866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7276"/>
      </w:tblGrid>
      <w:tr w:rsidR="00E1634D" w:rsidRPr="004F36BA" w:rsidTr="00E1634D">
        <w:tc>
          <w:tcPr>
            <w:tcW w:w="590" w:type="dxa"/>
          </w:tcPr>
          <w:p w:rsidR="00E1634D" w:rsidRPr="004F36BA" w:rsidRDefault="00E1634D" w:rsidP="00BE1F90">
            <w:pPr>
              <w:jc w:val="center"/>
              <w:rPr>
                <w:b/>
              </w:rPr>
            </w:pPr>
            <w:r w:rsidRPr="004F36BA">
              <w:rPr>
                <w:b/>
              </w:rPr>
              <w:t>No.</w:t>
            </w:r>
          </w:p>
        </w:tc>
        <w:tc>
          <w:tcPr>
            <w:tcW w:w="7276" w:type="dxa"/>
          </w:tcPr>
          <w:p w:rsidR="00E1634D" w:rsidRPr="004F36BA" w:rsidRDefault="00E1634D" w:rsidP="00BE1F90">
            <w:pPr>
              <w:jc w:val="center"/>
              <w:rPr>
                <w:b/>
              </w:rPr>
            </w:pPr>
            <w:r w:rsidRPr="004F36BA">
              <w:rPr>
                <w:b/>
              </w:rPr>
              <w:t>Component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1</w:t>
            </w:r>
          </w:p>
        </w:tc>
        <w:tc>
          <w:tcPr>
            <w:tcW w:w="7276" w:type="dxa"/>
          </w:tcPr>
          <w:p w:rsidR="00E1634D" w:rsidRPr="00992714" w:rsidRDefault="00E1634D" w:rsidP="00BE1F90">
            <w:pPr>
              <w:jc w:val="both"/>
            </w:pPr>
            <w:r w:rsidRPr="00992714">
              <w:t>Aim / Objective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2</w:t>
            </w:r>
          </w:p>
        </w:tc>
        <w:tc>
          <w:tcPr>
            <w:tcW w:w="7276" w:type="dxa"/>
          </w:tcPr>
          <w:p w:rsidR="00E1634D" w:rsidRPr="00992714" w:rsidRDefault="00E1634D" w:rsidP="00E1634D">
            <w:pPr>
              <w:jc w:val="both"/>
            </w:pPr>
            <w:r w:rsidRPr="00992714">
              <w:t>Introduction: Physics of the phenomenon &amp; About the Instrument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3</w:t>
            </w:r>
          </w:p>
        </w:tc>
        <w:tc>
          <w:tcPr>
            <w:tcW w:w="7276" w:type="dxa"/>
          </w:tcPr>
          <w:p w:rsidR="00E1634D" w:rsidRPr="00992714" w:rsidRDefault="00E1634D" w:rsidP="00BE1F90">
            <w:pPr>
              <w:jc w:val="both"/>
            </w:pPr>
            <w:r w:rsidRPr="00992714">
              <w:t>Experimental method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4</w:t>
            </w:r>
          </w:p>
        </w:tc>
        <w:tc>
          <w:tcPr>
            <w:tcW w:w="7276" w:type="dxa"/>
          </w:tcPr>
          <w:p w:rsidR="00E1634D" w:rsidRPr="00992714" w:rsidRDefault="00E1634D" w:rsidP="00BE1F90">
            <w:pPr>
              <w:jc w:val="both"/>
            </w:pPr>
            <w:r w:rsidRPr="00992714">
              <w:t>Data Collection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5</w:t>
            </w:r>
          </w:p>
        </w:tc>
        <w:tc>
          <w:tcPr>
            <w:tcW w:w="7276" w:type="dxa"/>
          </w:tcPr>
          <w:p w:rsidR="00E1634D" w:rsidRPr="00992714" w:rsidRDefault="00E1634D" w:rsidP="00E1634D">
            <w:pPr>
              <w:jc w:val="both"/>
            </w:pPr>
            <w:r w:rsidRPr="00992714">
              <w:t>Analysis &amp; Result: Curve fitting, Calculation &amp; Error estimation</w:t>
            </w:r>
          </w:p>
          <w:p w:rsidR="00E1634D" w:rsidRPr="00992714" w:rsidRDefault="00E1634D" w:rsidP="003D31FB">
            <w:pPr>
              <w:numPr>
                <w:ilvl w:val="0"/>
                <w:numId w:val="18"/>
              </w:numPr>
              <w:ind w:left="0"/>
              <w:jc w:val="both"/>
            </w:pPr>
            <w:r w:rsidRPr="00992714">
              <w:t>Plotting, labeling the axes and units</w:t>
            </w:r>
          </w:p>
        </w:tc>
      </w:tr>
      <w:tr w:rsidR="00E1634D" w:rsidRPr="004F36BA" w:rsidTr="00E1634D">
        <w:tc>
          <w:tcPr>
            <w:tcW w:w="590" w:type="dxa"/>
          </w:tcPr>
          <w:p w:rsidR="00E1634D" w:rsidRPr="00992714" w:rsidRDefault="00E1634D" w:rsidP="00BE1F90">
            <w:pPr>
              <w:jc w:val="center"/>
            </w:pPr>
            <w:r w:rsidRPr="00992714">
              <w:t>6</w:t>
            </w:r>
          </w:p>
        </w:tc>
        <w:tc>
          <w:tcPr>
            <w:tcW w:w="7276" w:type="dxa"/>
          </w:tcPr>
          <w:p w:rsidR="00E1634D" w:rsidRPr="00992714" w:rsidRDefault="00E1634D" w:rsidP="00BE1F90">
            <w:pPr>
              <w:jc w:val="both"/>
            </w:pPr>
            <w:r w:rsidRPr="00992714">
              <w:t>Explanation for the agreement or disagreement of the result with theory</w:t>
            </w:r>
          </w:p>
        </w:tc>
      </w:tr>
    </w:tbl>
    <w:p w:rsidR="003D31FB" w:rsidRDefault="003D31FB" w:rsidP="003D31FB"/>
    <w:p w:rsidR="00BF17A1" w:rsidRDefault="00BF17A1" w:rsidP="00BF17A1">
      <w:pPr>
        <w:pStyle w:val="ListParagraph"/>
      </w:pPr>
    </w:p>
    <w:p w:rsidR="0077084B" w:rsidRPr="00FD4806" w:rsidRDefault="00035B34" w:rsidP="00174CBC">
      <w:pPr>
        <w:pStyle w:val="ListParagraph"/>
        <w:ind w:left="284"/>
        <w:rPr>
          <w:rFonts w:ascii="Garamond" w:hAnsi="Garamond"/>
          <w:b/>
          <w:sz w:val="28"/>
          <w:szCs w:val="28"/>
        </w:rPr>
      </w:pPr>
      <w:r w:rsidRPr="00FD4806">
        <w:rPr>
          <w:rFonts w:ascii="Garamond" w:hAnsi="Garamond"/>
          <w:b/>
          <w:sz w:val="28"/>
          <w:szCs w:val="28"/>
        </w:rPr>
        <w:lastRenderedPageBreak/>
        <w:t>Summary of the Evaluation Components: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3402"/>
        <w:gridCol w:w="3685"/>
        <w:gridCol w:w="1560"/>
      </w:tblGrid>
      <w:tr w:rsidR="0077084B" w:rsidTr="00913565">
        <w:tc>
          <w:tcPr>
            <w:tcW w:w="3402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Evaluation Component</w:t>
            </w:r>
          </w:p>
        </w:tc>
        <w:tc>
          <w:tcPr>
            <w:tcW w:w="3685" w:type="dxa"/>
          </w:tcPr>
          <w:p w:rsidR="0077084B" w:rsidRPr="0077084B" w:rsidRDefault="005D3E2A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Duration</w:t>
            </w:r>
          </w:p>
        </w:tc>
        <w:tc>
          <w:tcPr>
            <w:tcW w:w="1560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Weightage</w:t>
            </w:r>
          </w:p>
        </w:tc>
      </w:tr>
      <w:tr w:rsidR="0077084B" w:rsidTr="00913565">
        <w:tc>
          <w:tcPr>
            <w:tcW w:w="3402" w:type="dxa"/>
          </w:tcPr>
          <w:p w:rsidR="0077084B" w:rsidRPr="0077084B" w:rsidRDefault="0077084B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Laboratory Report</w:t>
            </w:r>
          </w:p>
        </w:tc>
        <w:tc>
          <w:tcPr>
            <w:tcW w:w="3685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77084B">
              <w:rPr>
                <w:rFonts w:ascii="Garamond" w:hAnsi="Garamond"/>
                <w:sz w:val="24"/>
                <w:szCs w:val="24"/>
              </w:rPr>
              <w:t>Within 7 days from the date of the experiment</w:t>
            </w:r>
            <w:r w:rsidR="005D3E2A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60%</w:t>
            </w:r>
          </w:p>
        </w:tc>
      </w:tr>
      <w:tr w:rsidR="0077084B" w:rsidTr="00913565">
        <w:tc>
          <w:tcPr>
            <w:tcW w:w="3402" w:type="dxa"/>
          </w:tcPr>
          <w:p w:rsidR="0077084B" w:rsidRPr="00184680" w:rsidRDefault="00184680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Discussion/Viva-Voce</w:t>
            </w:r>
          </w:p>
        </w:tc>
        <w:tc>
          <w:tcPr>
            <w:tcW w:w="3685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30 to 40 minutes of discussion after every experiment.</w:t>
            </w:r>
          </w:p>
        </w:tc>
        <w:tc>
          <w:tcPr>
            <w:tcW w:w="1560" w:type="dxa"/>
          </w:tcPr>
          <w:p w:rsidR="0077084B" w:rsidRPr="00184680" w:rsidRDefault="00601801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84680" w:rsidRPr="00184680">
              <w:rPr>
                <w:rFonts w:ascii="Garamond" w:hAnsi="Garamond"/>
                <w:sz w:val="24"/>
                <w:szCs w:val="24"/>
              </w:rPr>
              <w:t>0%</w:t>
            </w:r>
          </w:p>
        </w:tc>
      </w:tr>
      <w:tr w:rsidR="0077084B" w:rsidTr="00913565">
        <w:tc>
          <w:tcPr>
            <w:tcW w:w="3402" w:type="dxa"/>
          </w:tcPr>
          <w:p w:rsidR="0077084B" w:rsidRPr="00582774" w:rsidRDefault="00913565" w:rsidP="00EB533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Written </w:t>
            </w:r>
            <w:r w:rsidR="00601801">
              <w:rPr>
                <w:rFonts w:ascii="Garamond" w:hAnsi="Garamond"/>
                <w:sz w:val="24"/>
                <w:szCs w:val="24"/>
              </w:rPr>
              <w:t>Examination</w:t>
            </w:r>
            <w:r w:rsidR="0088142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1634D">
              <w:rPr>
                <w:rFonts w:ascii="Garamond" w:hAnsi="Garamond"/>
                <w:sz w:val="24"/>
                <w:szCs w:val="24"/>
              </w:rPr>
              <w:t>/</w:t>
            </w:r>
            <w:r w:rsidR="0088142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1634D">
              <w:rPr>
                <w:rFonts w:ascii="Garamond" w:hAnsi="Garamond"/>
                <w:sz w:val="24"/>
                <w:szCs w:val="24"/>
              </w:rPr>
              <w:t>Seminar</w:t>
            </w:r>
            <w:r w:rsidR="004F5C06">
              <w:rPr>
                <w:rFonts w:ascii="Garamond" w:hAnsi="Garamond"/>
                <w:sz w:val="24"/>
                <w:szCs w:val="24"/>
              </w:rPr>
              <w:t xml:space="preserve"> at the end of this lab course</w:t>
            </w:r>
          </w:p>
        </w:tc>
        <w:tc>
          <w:tcPr>
            <w:tcW w:w="3685" w:type="dxa"/>
          </w:tcPr>
          <w:p w:rsidR="0077084B" w:rsidRPr="00184680" w:rsidRDefault="00601801" w:rsidP="000A3652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 minutes</w:t>
            </w:r>
            <w:r w:rsidR="00E1634D">
              <w:rPr>
                <w:rFonts w:ascii="Garamond" w:hAnsi="Garamond"/>
                <w:sz w:val="24"/>
                <w:szCs w:val="24"/>
              </w:rPr>
              <w:t xml:space="preserve"> for exam</w:t>
            </w:r>
            <w:r w:rsidR="005E37F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1634D">
              <w:rPr>
                <w:rFonts w:ascii="Garamond" w:hAnsi="Garamond"/>
                <w:sz w:val="24"/>
                <w:szCs w:val="24"/>
              </w:rPr>
              <w:t>/</w:t>
            </w:r>
            <w:r w:rsidR="00913565"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E1634D">
              <w:rPr>
                <w:rFonts w:ascii="Garamond" w:hAnsi="Garamond"/>
                <w:sz w:val="24"/>
                <w:szCs w:val="24"/>
              </w:rPr>
              <w:t>20 minutes seminar for each group</w:t>
            </w:r>
          </w:p>
        </w:tc>
        <w:tc>
          <w:tcPr>
            <w:tcW w:w="1560" w:type="dxa"/>
          </w:tcPr>
          <w:p w:rsidR="0077084B" w:rsidRPr="00184680" w:rsidRDefault="00601801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84680" w:rsidRPr="00184680">
              <w:rPr>
                <w:rFonts w:ascii="Garamond" w:hAnsi="Garamond"/>
                <w:sz w:val="24"/>
                <w:szCs w:val="24"/>
              </w:rPr>
              <w:t>0%</w:t>
            </w:r>
          </w:p>
        </w:tc>
      </w:tr>
    </w:tbl>
    <w:tbl>
      <w:tblPr>
        <w:tblStyle w:val="TableGrid"/>
        <w:tblpPr w:leftFromText="180" w:rightFromText="180" w:vertAnchor="text" w:horzAnchor="margin" w:tblpY="521"/>
        <w:tblW w:w="9067" w:type="dxa"/>
        <w:tblLook w:val="04A0" w:firstRow="1" w:lastRow="0" w:firstColumn="1" w:lastColumn="0" w:noHBand="0" w:noVBand="1"/>
      </w:tblPr>
      <w:tblGrid>
        <w:gridCol w:w="1129"/>
        <w:gridCol w:w="3969"/>
        <w:gridCol w:w="3969"/>
      </w:tblGrid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S.No.</w:t>
            </w:r>
          </w:p>
        </w:tc>
        <w:tc>
          <w:tcPr>
            <w:tcW w:w="396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Experiment</w:t>
            </w:r>
          </w:p>
        </w:tc>
        <w:tc>
          <w:tcPr>
            <w:tcW w:w="396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Learning Objectives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Differential Scanning Calorimetry (Polymer)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examine glass transition and melting point in polymer materials.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</w:p>
        </w:tc>
        <w:tc>
          <w:tcPr>
            <w:tcW w:w="3969" w:type="dxa"/>
          </w:tcPr>
          <w:p w:rsidR="002A23D4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Differential Scanning Calorimetry (Glass)</w:t>
            </w:r>
          </w:p>
        </w:tc>
        <w:tc>
          <w:tcPr>
            <w:tcW w:w="3969" w:type="dxa"/>
          </w:tcPr>
          <w:p w:rsidR="002A23D4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examine glass transition, crystallization and  melting point in  glassy materials.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diffraction (Bulk)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derive the crystal structure of a given material which is in bulk form (eg. Powder or single crystal.)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4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diffraction (Thin – film)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derive the crystal structure of a given material in the form of thin-films.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Atomic Force Microscope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forces at the atomic scale can be used to make images of surfaces of molecules.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6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Scanning Electron Microscope (Image)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secondary emissions from a given material can be used to form the image of the surface of a material.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Scanning Electron Microscope (EDAX)</w:t>
            </w:r>
          </w:p>
        </w:tc>
        <w:tc>
          <w:tcPr>
            <w:tcW w:w="3969" w:type="dxa"/>
          </w:tcPr>
          <w:p w:rsidR="002A23D4" w:rsidRPr="00E04AAE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energy dispersive X-ray spectroscopy for elemental analysis of materials.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8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Photoelectron Spectroscopy</w:t>
            </w:r>
          </w:p>
        </w:tc>
        <w:tc>
          <w:tcPr>
            <w:tcW w:w="3969" w:type="dxa"/>
          </w:tcPr>
          <w:p w:rsidR="002A23D4" w:rsidRPr="005F702F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study the surface oxidation states of elements in a material.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9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UV - Visible- IR-Spectroscopy (Transmission mode)</w:t>
            </w:r>
          </w:p>
        </w:tc>
        <w:tc>
          <w:tcPr>
            <w:tcW w:w="3969" w:type="dxa"/>
          </w:tcPr>
          <w:p w:rsidR="002A23D4" w:rsidRPr="00E04AAE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phenomenon like surface plasmon resonance where light is absorbed at particular wavelengths by Noble metal nanoparticles such as Gold.</w:t>
            </w:r>
          </w:p>
        </w:tc>
      </w:tr>
      <w:tr w:rsidR="002A23D4" w:rsidTr="002A23D4">
        <w:tc>
          <w:tcPr>
            <w:tcW w:w="1129" w:type="dxa"/>
          </w:tcPr>
          <w:p w:rsidR="002A23D4" w:rsidRDefault="002A23D4" w:rsidP="002A23D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10</w:t>
            </w:r>
          </w:p>
        </w:tc>
        <w:tc>
          <w:tcPr>
            <w:tcW w:w="3969" w:type="dxa"/>
          </w:tcPr>
          <w:p w:rsidR="002A23D4" w:rsidRPr="006E0B58" w:rsidRDefault="002A23D4" w:rsidP="002A23D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UV - Visible- IR-Spectroscopy (Reflection mode)</w:t>
            </w:r>
          </w:p>
        </w:tc>
        <w:tc>
          <w:tcPr>
            <w:tcW w:w="3969" w:type="dxa"/>
          </w:tcPr>
          <w:p w:rsidR="002A23D4" w:rsidRPr="00E04AAE" w:rsidRDefault="002A23D4" w:rsidP="002A23D4">
            <w:pPr>
              <w:pStyle w:val="Heading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understand extinction spectrum of materials and derive parameters like bandgap. Students will understand the </w:t>
            </w:r>
            <w:r>
              <w:rPr>
                <w:b w:val="0"/>
                <w:bCs w:val="0"/>
              </w:rPr>
              <w:lastRenderedPageBreak/>
              <w:t>idea of integrating sphere in this experiment.</w:t>
            </w:r>
          </w:p>
        </w:tc>
      </w:tr>
    </w:tbl>
    <w:p w:rsidR="00E903D6" w:rsidRPr="006D2CCD" w:rsidRDefault="005C3B6D" w:rsidP="006D2CCD">
      <w:pPr>
        <w:pStyle w:val="ListParagraph"/>
        <w:jc w:val="center"/>
        <w:rPr>
          <w:rFonts w:ascii="Garamond" w:hAnsi="Garamond"/>
          <w:b/>
        </w:rPr>
      </w:pPr>
      <w:r w:rsidRPr="009D0175">
        <w:rPr>
          <w:rFonts w:ascii="Garamond" w:hAnsi="Garamond"/>
          <w:b/>
        </w:rPr>
        <w:lastRenderedPageBreak/>
        <w:t xml:space="preserve"> </w:t>
      </w:r>
    </w:p>
    <w:p w:rsidR="00A72DAF" w:rsidRDefault="002158DF" w:rsidP="00965685">
      <w:pPr>
        <w:spacing w:line="360" w:lineRule="auto"/>
        <w:ind w:left="284" w:hanging="284"/>
        <w:jc w:val="both"/>
      </w:pPr>
      <w:r>
        <w:t>6</w:t>
      </w:r>
      <w:r w:rsidR="00965685">
        <w:t xml:space="preserve">.  </w:t>
      </w:r>
      <w:r w:rsidRPr="00736446">
        <w:rPr>
          <w:b/>
          <w:u w:val="single"/>
        </w:rPr>
        <w:t>Make-up policy</w:t>
      </w:r>
      <w:r w:rsidRPr="00A72DAF">
        <w:t xml:space="preserve">: </w:t>
      </w:r>
      <w:r w:rsidR="004355E6">
        <w:t xml:space="preserve">It will be given only if a student misses the laboratory session due to </w:t>
      </w:r>
      <w:r w:rsidR="00A72DAF" w:rsidRPr="00A72DAF">
        <w:rPr>
          <w:b/>
          <w:bCs/>
        </w:rPr>
        <w:t xml:space="preserve">  </w:t>
      </w:r>
      <w:r w:rsidR="0027153F">
        <w:rPr>
          <w:bCs/>
        </w:rPr>
        <w:t>d</w:t>
      </w:r>
      <w:r w:rsidR="00A72DAF" w:rsidRPr="00A72DAF">
        <w:rPr>
          <w:bCs/>
        </w:rPr>
        <w:t>ebilitating ill</w:t>
      </w:r>
      <w:r w:rsidR="004355E6">
        <w:t>ness and other extraordinary situations. The student must produce valid documents to support the reason for their absence.</w:t>
      </w:r>
    </w:p>
    <w:p w:rsidR="000A3652" w:rsidRDefault="000A3652" w:rsidP="0027153F">
      <w:pPr>
        <w:spacing w:line="360" w:lineRule="auto"/>
        <w:jc w:val="both"/>
      </w:pPr>
    </w:p>
    <w:p w:rsidR="000A3652" w:rsidRPr="0027153F" w:rsidRDefault="000A3652" w:rsidP="00965685">
      <w:pPr>
        <w:spacing w:line="360" w:lineRule="auto"/>
        <w:ind w:left="284" w:hanging="284"/>
        <w:jc w:val="both"/>
      </w:pPr>
      <w:r>
        <w:t xml:space="preserve">7. </w:t>
      </w:r>
      <w:r w:rsidRPr="00736446">
        <w:rPr>
          <w:b/>
        </w:rPr>
        <w:t>Academic Honesty and Integrity Policy</w:t>
      </w:r>
      <w:r>
        <w:t>:</w:t>
      </w:r>
      <w:r w:rsidR="00736446">
        <w:t xml:space="preserve"> </w:t>
      </w:r>
      <w:r w:rsidR="00736446" w:rsidRPr="00736446">
        <w:rPr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:rsidR="0077084B" w:rsidRDefault="00A72DAF" w:rsidP="00A72DAF">
      <w:pPr>
        <w:spacing w:line="360" w:lineRule="auto"/>
        <w:rPr>
          <w:b/>
          <w:bCs/>
        </w:rPr>
      </w:pPr>
      <w:r w:rsidRPr="00A72DAF">
        <w:rPr>
          <w:b/>
          <w:bCs/>
        </w:rPr>
        <w:t xml:space="preserve">                 </w:t>
      </w:r>
    </w:p>
    <w:p w:rsidR="0027153F" w:rsidRPr="0027153F" w:rsidRDefault="00A72DAF" w:rsidP="00C87D28">
      <w:pPr>
        <w:spacing w:line="360" w:lineRule="auto"/>
        <w:jc w:val="right"/>
        <w:rPr>
          <w:b/>
          <w:bCs/>
        </w:rPr>
      </w:pPr>
      <w:r w:rsidRPr="00A72DAF">
        <w:rPr>
          <w:b/>
          <w:bCs/>
        </w:rPr>
        <w:t xml:space="preserve">    </w:t>
      </w:r>
      <w:r w:rsidR="0027153F">
        <w:rPr>
          <w:b/>
          <w:bCs/>
        </w:rPr>
        <w:t xml:space="preserve">                                                                                                     </w:t>
      </w:r>
      <w:r w:rsidR="005B7010">
        <w:rPr>
          <w:b/>
          <w:bCs/>
        </w:rPr>
        <w:t xml:space="preserve"> </w:t>
      </w:r>
      <w:r w:rsidR="0027153F">
        <w:rPr>
          <w:b/>
          <w:bCs/>
        </w:rPr>
        <w:t>Instructors</w:t>
      </w:r>
    </w:p>
    <w:p w:rsidR="002158DF" w:rsidRDefault="0027153F" w:rsidP="00C87D28">
      <w:pPr>
        <w:ind w:left="360"/>
        <w:jc w:val="right"/>
      </w:pPr>
      <w:r>
        <w:t xml:space="preserve">                                                                                     </w:t>
      </w:r>
      <w:r w:rsidR="00035B34">
        <w:t xml:space="preserve">                </w:t>
      </w:r>
      <w:r>
        <w:t>P</w:t>
      </w:r>
      <w:bookmarkStart w:id="0" w:name="_GoBack"/>
      <w:bookmarkEnd w:id="0"/>
      <w:r>
        <w:t>HY F344</w:t>
      </w:r>
    </w:p>
    <w:sectPr w:rsidR="002158DF" w:rsidSect="00FF04F7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8F" w:rsidRPr="0006284C" w:rsidRDefault="0075738F" w:rsidP="0006284C">
      <w:pPr>
        <w:pStyle w:val="Heading1"/>
        <w:rPr>
          <w:b w:val="0"/>
          <w:bCs w:val="0"/>
        </w:rPr>
      </w:pPr>
      <w:r>
        <w:separator/>
      </w:r>
    </w:p>
  </w:endnote>
  <w:endnote w:type="continuationSeparator" w:id="0">
    <w:p w:rsidR="0075738F" w:rsidRPr="0006284C" w:rsidRDefault="0075738F" w:rsidP="0006284C">
      <w:pPr>
        <w:pStyle w:val="Heading1"/>
        <w:rPr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8F" w:rsidRPr="0006284C" w:rsidRDefault="0075738F" w:rsidP="0006284C">
      <w:pPr>
        <w:pStyle w:val="Heading1"/>
        <w:rPr>
          <w:b w:val="0"/>
          <w:bCs w:val="0"/>
        </w:rPr>
      </w:pPr>
      <w:r>
        <w:separator/>
      </w:r>
    </w:p>
  </w:footnote>
  <w:footnote w:type="continuationSeparator" w:id="0">
    <w:p w:rsidR="0075738F" w:rsidRPr="0006284C" w:rsidRDefault="0075738F" w:rsidP="0006284C">
      <w:pPr>
        <w:pStyle w:val="Heading1"/>
        <w:rPr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27A"/>
    <w:multiLevelType w:val="hybridMultilevel"/>
    <w:tmpl w:val="B620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4B97"/>
    <w:multiLevelType w:val="hybridMultilevel"/>
    <w:tmpl w:val="E7EE5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63CFA"/>
    <w:multiLevelType w:val="hybridMultilevel"/>
    <w:tmpl w:val="1F06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2209"/>
    <w:multiLevelType w:val="hybridMultilevel"/>
    <w:tmpl w:val="56D81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4D33"/>
    <w:multiLevelType w:val="hybridMultilevel"/>
    <w:tmpl w:val="693CB63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3C479E"/>
    <w:multiLevelType w:val="hybridMultilevel"/>
    <w:tmpl w:val="52B6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E49CD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A0D30"/>
    <w:multiLevelType w:val="hybridMultilevel"/>
    <w:tmpl w:val="4236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60585"/>
    <w:multiLevelType w:val="hybridMultilevel"/>
    <w:tmpl w:val="E89C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A5FA1"/>
    <w:multiLevelType w:val="hybridMultilevel"/>
    <w:tmpl w:val="920429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DB4DB0"/>
    <w:multiLevelType w:val="hybridMultilevel"/>
    <w:tmpl w:val="4DCA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E55B4"/>
    <w:multiLevelType w:val="hybridMultilevel"/>
    <w:tmpl w:val="68A0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9491E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34F5"/>
    <w:multiLevelType w:val="hybridMultilevel"/>
    <w:tmpl w:val="A2D6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D59AF"/>
    <w:multiLevelType w:val="hybridMultilevel"/>
    <w:tmpl w:val="AA260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26872"/>
    <w:multiLevelType w:val="hybridMultilevel"/>
    <w:tmpl w:val="9926D5E4"/>
    <w:lvl w:ilvl="0" w:tplc="2ED026D2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750"/>
        </w:tabs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10"/>
        </w:tabs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0"/>
        </w:tabs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70"/>
        </w:tabs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180"/>
      </w:pPr>
    </w:lvl>
  </w:abstractNum>
  <w:abstractNum w:abstractNumId="16" w15:restartNumberingAfterBreak="0">
    <w:nsid w:val="67A61A36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41E87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2"/>
  </w:num>
  <w:num w:numId="5">
    <w:abstractNumId w:val="16"/>
  </w:num>
  <w:num w:numId="6">
    <w:abstractNumId w:val="0"/>
  </w:num>
  <w:num w:numId="7">
    <w:abstractNumId w:val="17"/>
  </w:num>
  <w:num w:numId="8">
    <w:abstractNumId w:val="6"/>
  </w:num>
  <w:num w:numId="9">
    <w:abstractNumId w:val="15"/>
  </w:num>
  <w:num w:numId="10">
    <w:abstractNumId w:val="13"/>
  </w:num>
  <w:num w:numId="11">
    <w:abstractNumId w:val="14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8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MDQwtDA1MjK2tDBS0lEKTi0uzszPAykwqgUA2ew00ywAAAA="/>
  </w:docVars>
  <w:rsids>
    <w:rsidRoot w:val="00DB1A17"/>
    <w:rsid w:val="0001333D"/>
    <w:rsid w:val="00014EE1"/>
    <w:rsid w:val="00015E6C"/>
    <w:rsid w:val="0002552E"/>
    <w:rsid w:val="00035B34"/>
    <w:rsid w:val="00036EC3"/>
    <w:rsid w:val="0006284C"/>
    <w:rsid w:val="00086190"/>
    <w:rsid w:val="000A3652"/>
    <w:rsid w:val="000A5656"/>
    <w:rsid w:val="000B2033"/>
    <w:rsid w:val="000B5F3E"/>
    <w:rsid w:val="000D3108"/>
    <w:rsid w:val="001028E4"/>
    <w:rsid w:val="00105906"/>
    <w:rsid w:val="0011341B"/>
    <w:rsid w:val="00115F3E"/>
    <w:rsid w:val="00167578"/>
    <w:rsid w:val="00174CBC"/>
    <w:rsid w:val="00176ABE"/>
    <w:rsid w:val="001824EE"/>
    <w:rsid w:val="00184680"/>
    <w:rsid w:val="001A37D0"/>
    <w:rsid w:val="001B307A"/>
    <w:rsid w:val="001B3175"/>
    <w:rsid w:val="001B7DB5"/>
    <w:rsid w:val="001D42D0"/>
    <w:rsid w:val="001F3EBB"/>
    <w:rsid w:val="00206B7E"/>
    <w:rsid w:val="002158DF"/>
    <w:rsid w:val="00224469"/>
    <w:rsid w:val="00236972"/>
    <w:rsid w:val="0024533B"/>
    <w:rsid w:val="00270063"/>
    <w:rsid w:val="0027093D"/>
    <w:rsid w:val="0027153F"/>
    <w:rsid w:val="00280278"/>
    <w:rsid w:val="00295E06"/>
    <w:rsid w:val="002A23D4"/>
    <w:rsid w:val="002A2F73"/>
    <w:rsid w:val="002E168E"/>
    <w:rsid w:val="002E7AB2"/>
    <w:rsid w:val="002F1609"/>
    <w:rsid w:val="002F388C"/>
    <w:rsid w:val="0030194E"/>
    <w:rsid w:val="00303436"/>
    <w:rsid w:val="003168C5"/>
    <w:rsid w:val="0032440F"/>
    <w:rsid w:val="0033279D"/>
    <w:rsid w:val="003525BC"/>
    <w:rsid w:val="0035323A"/>
    <w:rsid w:val="00361046"/>
    <w:rsid w:val="00364CA9"/>
    <w:rsid w:val="00364FA6"/>
    <w:rsid w:val="00383044"/>
    <w:rsid w:val="0039691A"/>
    <w:rsid w:val="003D31FB"/>
    <w:rsid w:val="003F0B55"/>
    <w:rsid w:val="003F3E59"/>
    <w:rsid w:val="00412C47"/>
    <w:rsid w:val="00433CA6"/>
    <w:rsid w:val="004355E6"/>
    <w:rsid w:val="0043798C"/>
    <w:rsid w:val="00487120"/>
    <w:rsid w:val="00494022"/>
    <w:rsid w:val="004B5B11"/>
    <w:rsid w:val="004C105B"/>
    <w:rsid w:val="004C6985"/>
    <w:rsid w:val="004E2E97"/>
    <w:rsid w:val="004F050C"/>
    <w:rsid w:val="004F5C06"/>
    <w:rsid w:val="00513C97"/>
    <w:rsid w:val="00531ADB"/>
    <w:rsid w:val="00542A83"/>
    <w:rsid w:val="00582774"/>
    <w:rsid w:val="00591AC1"/>
    <w:rsid w:val="005B5B50"/>
    <w:rsid w:val="005B7010"/>
    <w:rsid w:val="005C3B6D"/>
    <w:rsid w:val="005D3E2A"/>
    <w:rsid w:val="005D6C8E"/>
    <w:rsid w:val="005E37FB"/>
    <w:rsid w:val="005F152C"/>
    <w:rsid w:val="005F281A"/>
    <w:rsid w:val="005F702F"/>
    <w:rsid w:val="00601801"/>
    <w:rsid w:val="00625861"/>
    <w:rsid w:val="00627B9A"/>
    <w:rsid w:val="00631B6B"/>
    <w:rsid w:val="006366AA"/>
    <w:rsid w:val="00641308"/>
    <w:rsid w:val="006439DC"/>
    <w:rsid w:val="00675026"/>
    <w:rsid w:val="00683B16"/>
    <w:rsid w:val="00686F4A"/>
    <w:rsid w:val="00692E39"/>
    <w:rsid w:val="006A6A20"/>
    <w:rsid w:val="006B6910"/>
    <w:rsid w:val="006C427C"/>
    <w:rsid w:val="006C46A8"/>
    <w:rsid w:val="006C4C72"/>
    <w:rsid w:val="006D199E"/>
    <w:rsid w:val="006D2CCD"/>
    <w:rsid w:val="006E0B40"/>
    <w:rsid w:val="006E0B58"/>
    <w:rsid w:val="006E3647"/>
    <w:rsid w:val="006E637A"/>
    <w:rsid w:val="007207A8"/>
    <w:rsid w:val="00736366"/>
    <w:rsid w:val="00736446"/>
    <w:rsid w:val="007369ED"/>
    <w:rsid w:val="0075738F"/>
    <w:rsid w:val="00757DF5"/>
    <w:rsid w:val="0077084B"/>
    <w:rsid w:val="007A7433"/>
    <w:rsid w:val="007B1337"/>
    <w:rsid w:val="007E101E"/>
    <w:rsid w:val="0080522A"/>
    <w:rsid w:val="00841713"/>
    <w:rsid w:val="00844E17"/>
    <w:rsid w:val="00846E70"/>
    <w:rsid w:val="00855624"/>
    <w:rsid w:val="0088142F"/>
    <w:rsid w:val="008832F9"/>
    <w:rsid w:val="008A5A41"/>
    <w:rsid w:val="008B50D1"/>
    <w:rsid w:val="008C19D7"/>
    <w:rsid w:val="008D32AF"/>
    <w:rsid w:val="00913565"/>
    <w:rsid w:val="00935830"/>
    <w:rsid w:val="00945FE0"/>
    <w:rsid w:val="00962D7E"/>
    <w:rsid w:val="00963AA8"/>
    <w:rsid w:val="00965685"/>
    <w:rsid w:val="00975D0D"/>
    <w:rsid w:val="00992714"/>
    <w:rsid w:val="009B3692"/>
    <w:rsid w:val="009D0175"/>
    <w:rsid w:val="009D50CF"/>
    <w:rsid w:val="00A17A78"/>
    <w:rsid w:val="00A6301D"/>
    <w:rsid w:val="00A668DD"/>
    <w:rsid w:val="00A72DAF"/>
    <w:rsid w:val="00A835FD"/>
    <w:rsid w:val="00A94931"/>
    <w:rsid w:val="00AE3D54"/>
    <w:rsid w:val="00B0544F"/>
    <w:rsid w:val="00B201E6"/>
    <w:rsid w:val="00B269E0"/>
    <w:rsid w:val="00B34635"/>
    <w:rsid w:val="00B36919"/>
    <w:rsid w:val="00B505C9"/>
    <w:rsid w:val="00B832E9"/>
    <w:rsid w:val="00B9197E"/>
    <w:rsid w:val="00BC5FD9"/>
    <w:rsid w:val="00BF17A1"/>
    <w:rsid w:val="00C23C97"/>
    <w:rsid w:val="00C44FCF"/>
    <w:rsid w:val="00C66263"/>
    <w:rsid w:val="00C8538F"/>
    <w:rsid w:val="00C860DB"/>
    <w:rsid w:val="00C87D28"/>
    <w:rsid w:val="00C95334"/>
    <w:rsid w:val="00CE59DD"/>
    <w:rsid w:val="00CF2C64"/>
    <w:rsid w:val="00CF30B0"/>
    <w:rsid w:val="00D06417"/>
    <w:rsid w:val="00D17D9C"/>
    <w:rsid w:val="00D7364E"/>
    <w:rsid w:val="00D83F80"/>
    <w:rsid w:val="00DB19E9"/>
    <w:rsid w:val="00DB1A17"/>
    <w:rsid w:val="00DB72CF"/>
    <w:rsid w:val="00DC1D29"/>
    <w:rsid w:val="00DD7D1E"/>
    <w:rsid w:val="00DE0A87"/>
    <w:rsid w:val="00DE16F1"/>
    <w:rsid w:val="00DE480E"/>
    <w:rsid w:val="00DF031D"/>
    <w:rsid w:val="00DF3812"/>
    <w:rsid w:val="00E03A9E"/>
    <w:rsid w:val="00E04AAE"/>
    <w:rsid w:val="00E07D01"/>
    <w:rsid w:val="00E07E4D"/>
    <w:rsid w:val="00E1634D"/>
    <w:rsid w:val="00E27D78"/>
    <w:rsid w:val="00E31FA0"/>
    <w:rsid w:val="00E5745C"/>
    <w:rsid w:val="00E65822"/>
    <w:rsid w:val="00E903D6"/>
    <w:rsid w:val="00E92B30"/>
    <w:rsid w:val="00EB533F"/>
    <w:rsid w:val="00EC76AF"/>
    <w:rsid w:val="00F03653"/>
    <w:rsid w:val="00F61356"/>
    <w:rsid w:val="00F67D6C"/>
    <w:rsid w:val="00FB0737"/>
    <w:rsid w:val="00FC15AC"/>
    <w:rsid w:val="00FD0BEC"/>
    <w:rsid w:val="00FD4806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1C52E"/>
  <w15:docId w15:val="{A4214EEC-A4C3-4ADA-83C2-4A69B6C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62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284C"/>
    <w:rPr>
      <w:sz w:val="24"/>
      <w:szCs w:val="24"/>
    </w:rPr>
  </w:style>
  <w:style w:type="paragraph" w:styleId="Footer">
    <w:name w:val="footer"/>
    <w:basedOn w:val="Normal"/>
    <w:link w:val="FooterChar"/>
    <w:rsid w:val="00062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284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C76AF"/>
    <w:rPr>
      <w:b/>
      <w:bCs/>
      <w:sz w:val="24"/>
      <w:szCs w:val="24"/>
    </w:rPr>
  </w:style>
  <w:style w:type="paragraph" w:styleId="NoSpacing">
    <w:name w:val="No Spacing"/>
    <w:uiPriority w:val="1"/>
    <w:qFormat/>
    <w:rsid w:val="00FF04F7"/>
    <w:rPr>
      <w:sz w:val="24"/>
      <w:szCs w:val="24"/>
    </w:rPr>
  </w:style>
  <w:style w:type="character" w:styleId="Hyperlink">
    <w:name w:val="Hyperlink"/>
    <w:basedOn w:val="DefaultParagraphFont"/>
    <w:unhideWhenUsed/>
    <w:rsid w:val="00167578"/>
    <w:rPr>
      <w:color w:val="0000FF" w:themeColor="hyperlink"/>
      <w:u w:val="single"/>
    </w:rPr>
  </w:style>
  <w:style w:type="table" w:styleId="TableGrid">
    <w:name w:val="Table Grid"/>
    <w:basedOn w:val="TableNormal"/>
    <w:rsid w:val="0077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s/filter?subjects=physics&amp;sort=alpha&amp;view=gr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ysport.org/recommendations/Entry.cfm?ID=119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2DFDB-22EB-4C9A-99E0-406D701B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IMAHO</vt:lpstr>
    </vt:vector>
  </TitlesOfParts>
  <Company>Ravansoft Corporation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IMAHO</dc:title>
  <dc:creator>Mehrotra</dc:creator>
  <cp:lastModifiedBy>BITS</cp:lastModifiedBy>
  <cp:revision>78</cp:revision>
  <cp:lastPrinted>2012-12-20T07:02:00Z</cp:lastPrinted>
  <dcterms:created xsi:type="dcterms:W3CDTF">2020-12-09T11:36:00Z</dcterms:created>
  <dcterms:modified xsi:type="dcterms:W3CDTF">2022-01-15T06:13:00Z</dcterms:modified>
</cp:coreProperties>
</file>