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14900" cy="1019175"/>
            <wp:effectExtent b="0" l="0" r="0" t="0"/>
            <wp:docPr descr="Logo_Horizontal_longVersion" id="3" name="image1.jpg"/>
            <a:graphic>
              <a:graphicData uri="http://schemas.openxmlformats.org/drawingml/2006/picture">
                <pic:pic>
                  <pic:nvPicPr>
                    <pic:cNvPr descr="Logo_Horizontal_longVersion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 – GRADUATE STUDIES AND RESEARCH DIVISION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BIRLA INSTITUTE OF TECHNOLOGY AND SCIENCE, PILANI-HYDERABAD CAMPUS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FIRST SEMESTER 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Course Handout Part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12/08/2021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addition to part-I (General Handout for all courses appended to the time table) this portion gives further specific details regarding the course.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Course No.</w:t>
      </w:r>
      <w:r w:rsidDel="00000000" w:rsidR="00000000" w:rsidRPr="00000000">
        <w:rPr>
          <w:rtl w:val="0"/>
        </w:rPr>
        <w:tab/>
        <w:tab/>
        <w:tab/>
        <w:t xml:space="preserve">: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CE G567</w:t>
      </w:r>
    </w:p>
    <w:p w:rsidR="00000000" w:rsidDel="00000000" w:rsidP="00000000" w:rsidRDefault="00000000" w:rsidRPr="00000000" w14:paraId="0000000A">
      <w:pPr>
        <w:pStyle w:val="Heading2"/>
        <w:rPr>
          <w:b w:val="1"/>
          <w:i w:val="0"/>
        </w:rPr>
      </w:pPr>
      <w:r w:rsidDel="00000000" w:rsidR="00000000" w:rsidRPr="00000000">
        <w:rPr>
          <w:rtl w:val="0"/>
        </w:rPr>
        <w:t xml:space="preserve">Course Title</w:t>
      </w:r>
      <w:r w:rsidDel="00000000" w:rsidR="00000000" w:rsidRPr="00000000">
        <w:rPr>
          <w:i w:val="0"/>
          <w:rtl w:val="0"/>
        </w:rPr>
        <w:tab/>
        <w:tab/>
        <w:tab/>
        <w:t xml:space="preserve">: Highway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i w:val="0"/>
        </w:rPr>
      </w:pPr>
      <w:r w:rsidDel="00000000" w:rsidR="00000000" w:rsidRPr="00000000">
        <w:rPr>
          <w:rtl w:val="0"/>
        </w:rPr>
        <w:t xml:space="preserve">Instructor-in-Charge</w:t>
      </w:r>
      <w:r w:rsidDel="00000000" w:rsidR="00000000" w:rsidRPr="00000000">
        <w:rPr>
          <w:i w:val="0"/>
          <w:rtl w:val="0"/>
        </w:rPr>
        <w:tab/>
        <w:tab/>
        <w:t xml:space="preserve">: Sridhar Raju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and Objective of the Course: 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Highway functional classification; design controls and criteria: turning paths, traffic characteristics, highway capacity aspects, access control, safety, environment; sight distances; horizontal and vertical alignments; geometric design for expressways, at-grade intersections rotaries and mini roundabouts, importance of channelization and design of channelizing islands, intersection layouts; grade separated interchanges: types, layouts, suitability, advantages and limitations of different types of interchanges, performance based design, geometric design consistency; pedestrian-oriented development, livable streets, bicycle and pedestrian planning; on street and off street parking layouts and design; layouts of truck terminals and bus bays; introduction to geometric design software. plan and profile preparation using drafting and visualization software such as AutoCAD, Micro-station. Alignment design using MXROAD, AutoCAD Civil 3D, open road; checking swept path of turning vehicles: AutoTrack, AutoTurn; Highway design manuals.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720"/>
        <w:jc w:val="both"/>
        <w:rPr/>
      </w:pPr>
      <w:r w:rsidDel="00000000" w:rsidR="00000000" w:rsidRPr="00000000">
        <w:rPr>
          <w:rtl w:val="0"/>
        </w:rPr>
        <w:t xml:space="preserve">T1. </w:t>
        <w:tab/>
        <w:t xml:space="preserve">AASHTO, “A Policy on Geometric Design of Highways and Streets”, AASHTO Press, Washington DC, 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Edition, 2018  </w:t>
      </w:r>
    </w:p>
    <w:p w:rsidR="00000000" w:rsidDel="00000000" w:rsidP="00000000" w:rsidRDefault="00000000" w:rsidRPr="00000000" w14:paraId="00000012">
      <w:pPr>
        <w:ind w:left="720" w:hanging="720"/>
        <w:jc w:val="both"/>
        <w:rPr/>
      </w:pPr>
      <w:r w:rsidDel="00000000" w:rsidR="00000000" w:rsidRPr="00000000">
        <w:rPr>
          <w:rtl w:val="0"/>
        </w:rPr>
        <w:t xml:space="preserve">T2. </w:t>
        <w:tab/>
        <w:t xml:space="preserve">Kadiyali L R and Lal N B, “Principles and Practices of Highway Engineering”, Khanna Publishers, Delhi. 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Edition, First Reprint, 2018</w:t>
      </w:r>
    </w:p>
    <w:p w:rsidR="00000000" w:rsidDel="00000000" w:rsidP="00000000" w:rsidRDefault="00000000" w:rsidRPr="00000000" w14:paraId="00000013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books</w:t>
      </w:r>
    </w:p>
    <w:p w:rsidR="00000000" w:rsidDel="00000000" w:rsidP="00000000" w:rsidRDefault="00000000" w:rsidRPr="00000000" w14:paraId="00000014">
      <w:pPr>
        <w:ind w:left="720" w:hanging="720"/>
        <w:jc w:val="both"/>
        <w:rPr/>
      </w:pPr>
      <w:r w:rsidDel="00000000" w:rsidR="00000000" w:rsidRPr="00000000">
        <w:rPr>
          <w:rtl w:val="0"/>
        </w:rPr>
        <w:t xml:space="preserve">R1. </w:t>
        <w:tab/>
      </w:r>
      <w:r w:rsidDel="00000000" w:rsidR="00000000" w:rsidRPr="00000000">
        <w:rPr>
          <w:color w:val="000000"/>
          <w:highlight w:val="white"/>
          <w:rtl w:val="0"/>
        </w:rPr>
        <w:t xml:space="preserve">Khanna, S.K, Justo, A and Veeraragavan, A, ‘Highway Engineering’, Nem Chand &amp; Bros. Revised Tenth Edition,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7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R2.</w:t>
        <w:tab/>
      </w:r>
      <w:r w:rsidDel="00000000" w:rsidR="00000000" w:rsidRPr="00000000">
        <w:rPr>
          <w:color w:val="000000"/>
          <w:rtl w:val="0"/>
        </w:rPr>
        <w:t xml:space="preserve">Papacoastas, C. S. and Prevedouros, “Transportation Engineering and Planning”, Third Edition, Third impression; Pearson Education, 2018</w:t>
      </w:r>
    </w:p>
    <w:p w:rsidR="00000000" w:rsidDel="00000000" w:rsidP="00000000" w:rsidRDefault="00000000" w:rsidRPr="00000000" w14:paraId="00000016">
      <w:pPr>
        <w:ind w:left="72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R3.</w:t>
        <w:tab/>
        <w:t xml:space="preserve">C. Jotin Khisty and B Kent Lall, “Transportation Engineering – An Introduction”, Pearson India Education Services Pv. Ltd., Third Edition, First Impression, 2017</w:t>
      </w:r>
    </w:p>
    <w:p w:rsidR="00000000" w:rsidDel="00000000" w:rsidP="00000000" w:rsidRDefault="00000000" w:rsidRPr="00000000" w14:paraId="00000017">
      <w:pPr>
        <w:ind w:left="72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R4.</w:t>
        <w:tab/>
        <w:t xml:space="preserve">Micholas J Garber and Lester A Hoel, “Traffic and Highway Engineering”M/s Cengage Learning, 5</w:t>
      </w:r>
      <w:r w:rsidDel="00000000" w:rsidR="00000000" w:rsidRPr="00000000">
        <w:rPr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rtl w:val="0"/>
        </w:rPr>
        <w:t xml:space="preserve"> Mindtap Edition, 2015</w:t>
      </w:r>
    </w:p>
    <w:p w:rsidR="00000000" w:rsidDel="00000000" w:rsidP="00000000" w:rsidRDefault="00000000" w:rsidRPr="00000000" w14:paraId="00000018">
      <w:pPr>
        <w:ind w:left="720" w:hanging="720"/>
        <w:jc w:val="both"/>
        <w:rPr/>
      </w:pPr>
      <w:r w:rsidDel="00000000" w:rsidR="00000000" w:rsidRPr="00000000">
        <w:rPr>
          <w:rtl w:val="0"/>
        </w:rPr>
        <w:t xml:space="preserve">R3.</w:t>
        <w:tab/>
        <w:t xml:space="preserve">Selected IRC codes like IRC 73-1980, IRC SP 73-2007, IRC SP99-2014, IRC SP65 – 1976, IRC 106 – 1990, IRC 86-1983, IRC 84-2014 and any other code as per the need</w:t>
      </w:r>
    </w:p>
    <w:p w:rsidR="00000000" w:rsidDel="00000000" w:rsidP="00000000" w:rsidRDefault="00000000" w:rsidRPr="00000000" w14:paraId="00000019">
      <w:pPr>
        <w:ind w:left="720" w:hanging="720"/>
        <w:jc w:val="both"/>
        <w:rPr/>
      </w:pPr>
      <w:r w:rsidDel="00000000" w:rsidR="00000000" w:rsidRPr="00000000">
        <w:rPr>
          <w:rtl w:val="0"/>
        </w:rPr>
        <w:t xml:space="preserve">R4.</w:t>
        <w:tab/>
        <w:t xml:space="preserve">Open Roads Software Manual</w:t>
      </w:r>
    </w:p>
    <w:p w:rsidR="00000000" w:rsidDel="00000000" w:rsidP="00000000" w:rsidRDefault="00000000" w:rsidRPr="00000000" w14:paraId="0000001A">
      <w:pPr>
        <w:pStyle w:val="Heading1"/>
        <w:shd w:fill="ffffff" w:val="clear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R5. </w:t>
        <w:tab/>
        <w:t xml:space="preserve">IRC SP 099: Manual of Specification and Standards for Expressways</w:t>
      </w:r>
    </w:p>
    <w:p w:rsidR="00000000" w:rsidDel="00000000" w:rsidP="00000000" w:rsidRDefault="00000000" w:rsidRPr="00000000" w14:paraId="0000001B">
      <w:pPr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Plan: Lectures</w:t>
      </w:r>
    </w:p>
    <w:tbl>
      <w:tblPr>
        <w:tblStyle w:val="Table1"/>
        <w:tblW w:w="9279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85"/>
        <w:gridCol w:w="2340"/>
        <w:gridCol w:w="4324"/>
        <w:gridCol w:w="1530"/>
        <w:tblGridChange w:id="0">
          <w:tblGrid>
            <w:gridCol w:w="1085"/>
            <w:gridCol w:w="2340"/>
            <w:gridCol w:w="4324"/>
            <w:gridCol w:w="1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Lecture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Learning objectives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Topics to be covered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Chapter in the Text Book</w:t>
            </w:r>
          </w:p>
        </w:tc>
      </w:tr>
      <w:tr>
        <w:trPr>
          <w:cantSplit w:val="0"/>
          <w:trHeight w:val="10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Functions of highways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 to highway geometric design, need and objectives, scope, highway functional classification, functional system characteristics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1/ T1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controls and criteria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vehicles, minimum turning path, driver 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2/ T1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Traffic characteristics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Volume, directional distribution, traffic composition, speed, highway capacity, levels of 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2/T1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Sight distance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Stopping sight distance, intermediate sight distance and issues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3/ T1</w:t>
            </w:r>
          </w:p>
        </w:tc>
      </w:tr>
      <w:tr>
        <w:trPr>
          <w:cantSplit w:val="0"/>
          <w:trHeight w:val="8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12-16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Horizontal alignment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Superelevation and its design considerations, methods of attaining superelevation in practice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3/ T1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17-21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Transition curves design controls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Transition curve, off-tracking and widening of roads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3/T1</w:t>
            </w:r>
          </w:p>
        </w:tc>
      </w:tr>
      <w:tr>
        <w:trPr>
          <w:cantSplit w:val="0"/>
          <w:trHeight w:val="9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22-26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Vertical alignment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Critical length of grades, climbing lanes, design controls of vertical curves: crest and sag curves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3/T1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27-28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Combination of horizontal and vertical curves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controls, alignment coordination, erosion control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3/T1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Cross section elements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Cross slope, lane widths, shoulders, horizontal clearance, kerbs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4/T1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31-34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 grade intersections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Types, design of roundabouts (including the rotaries and mini roundabouts) and channelizing islands, use of vehicle turning templates for the design of intersections 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9/ T1, R5</w:t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35-36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Grade separations and interchanges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Types, overpass and underpass; geometric design considerations for grade separated interchanges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9/ T1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37-39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Geometric Standards for expressways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Features of expressways, geometric design standards and safety aspects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8/ T1, R5</w:t>
            </w:r>
          </w:p>
        </w:tc>
      </w:tr>
      <w:tr>
        <w:trPr>
          <w:cantSplit w:val="0"/>
          <w:trHeight w:val="136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40-41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Facilities for developing pedestrian ways and bicycle lanes with special emphasis on geometric standards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Walking speed, walkway capacity, pedestrian precincts, liveable streets, bicycle planning and design features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Chapter 2/T1</w:t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42-43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Parking, truck terminals and bus bays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On street and off street parking layouts and design; layouts of truck terminals and bus bays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 sources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Scheme:</w:t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6.0" w:type="dxa"/>
        <w:jc w:val="left"/>
        <w:tblInd w:w="593.0" w:type="dxa"/>
        <w:tblLayout w:type="fixed"/>
        <w:tblLook w:val="0000"/>
      </w:tblPr>
      <w:tblGrid>
        <w:gridCol w:w="900"/>
        <w:gridCol w:w="1740"/>
        <w:gridCol w:w="1380"/>
        <w:gridCol w:w="1410"/>
        <w:gridCol w:w="2461"/>
        <w:gridCol w:w="1195"/>
        <w:tblGridChange w:id="0">
          <w:tblGrid>
            <w:gridCol w:w="900"/>
            <w:gridCol w:w="1740"/>
            <w:gridCol w:w="1380"/>
            <w:gridCol w:w="1410"/>
            <w:gridCol w:w="2461"/>
            <w:gridCol w:w="1195"/>
          </w:tblGrid>
        </w:tblGridChange>
      </w:tblGrid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224" w:right="223" w:firstLine="38.0000000000000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383" w:right="195" w:hanging="18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 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58" w:right="209" w:hanging="34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Weightage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5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&amp;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1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Midsem Test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be announced in the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</w:t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1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 Exam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be announced in the class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</w:t>
            </w:r>
          </w:p>
        </w:tc>
      </w:tr>
      <w:tr>
        <w:trPr>
          <w:cantSplit w:val="0"/>
          <w:trHeight w:val="11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Roads Project and Presentations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be announced in the class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Quizzes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C">
            <w:pPr>
              <w:ind w:left="251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E">
            <w:pPr>
              <w:ind w:left="25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be announced in the class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</w:t>
            </w:r>
          </w:p>
        </w:tc>
      </w:tr>
    </w:tbl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Consultation hour: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Every Tuesdays’: 4 PM to 5 PM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720" w:right="121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Notices concerning this course will be displayed on CMS and Department Notice Board. If Google Classroom is followed, it shall be informed in advance accordingly.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Make-up Policy: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 permission for all make ups are a must. For medical emergencies, requests have to be forwarded by the Chief Warden to the satisfaction of 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720" w:right="119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honesty and academic integrity Policy: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honesty and integrity are to be maintained by all the students throughout the semester and no type of academic dishonesty is acceptable.</w:t>
      </w:r>
    </w:p>
    <w:p w:rsidR="00000000" w:rsidDel="00000000" w:rsidP="00000000" w:rsidRDefault="00000000" w:rsidRPr="00000000" w14:paraId="0000008A">
      <w:pPr>
        <w:tabs>
          <w:tab w:val="left" w:pos="720"/>
        </w:tabs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INSTRUCTOR-IN-CHARGE</w:t>
      </w:r>
    </w:p>
    <w:p w:rsidR="00000000" w:rsidDel="00000000" w:rsidP="00000000" w:rsidRDefault="00000000" w:rsidRPr="00000000" w14:paraId="0000008D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CE G567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54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647825" cy="600075"/>
          <wp:effectExtent b="0" l="0" r="0" t="0"/>
          <wp:docPr descr="Tagline_colored" id="4" name="image2.jpg"/>
          <a:graphic>
            <a:graphicData uri="http://schemas.openxmlformats.org/drawingml/2006/picture">
              <pic:pic>
                <pic:nvPicPr>
                  <pic:cNvPr descr="Tagline_colore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</w:pPr>
    <w:rPr>
      <w:i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u w:val="single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i w:val="1"/>
      <w:iCs w:val="1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pPr>
      <w:jc w:val="both"/>
    </w:pPr>
  </w:style>
  <w:style w:type="paragraph" w:styleId="BodyTextIndent">
    <w:name w:val="Body Text Indent"/>
    <w:basedOn w:val="Normal"/>
    <w:semiHidden w:val="1"/>
    <w:pPr>
      <w:ind w:left="900" w:hanging="540"/>
      <w:jc w:val="both"/>
    </w:pPr>
  </w:style>
  <w:style w:type="paragraph" w:styleId="BodyText2">
    <w:name w:val="Body Text 2"/>
    <w:basedOn w:val="Normal"/>
    <w:semiHidden w:val="1"/>
    <w:pPr>
      <w:jc w:val="both"/>
    </w:pPr>
    <w:rPr>
      <w:sz w:val="20"/>
    </w:rPr>
  </w:style>
  <w:style w:type="paragraph" w:styleId="BodyTextIndent2">
    <w:name w:val="Body Text Indent 2"/>
    <w:basedOn w:val="Normal"/>
    <w:semiHidden w:val="1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B2F0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EB2F06"/>
    <w:rPr>
      <w:rFonts w:ascii="Tahoma" w:cs="Tahoma" w:hAnsi="Tahoma"/>
      <w:sz w:val="16"/>
      <w:szCs w:val="16"/>
      <w:lang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EB2F06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EB2F06"/>
    <w:rPr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EB2F06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EB2F06"/>
    <w:rPr>
      <w:sz w:val="24"/>
      <w:szCs w:val="24"/>
      <w:lang w:eastAsia="en-US" w:val="en-US"/>
    </w:rPr>
  </w:style>
  <w:style w:type="paragraph" w:styleId="DefaultStyle" w:customStyle="1">
    <w:name w:val="Default Style"/>
    <w:rsid w:val="00517D22"/>
    <w:pPr>
      <w:widowControl w:val="0"/>
      <w:suppressAutoHyphens w:val="1"/>
      <w:spacing w:after="200" w:line="276" w:lineRule="auto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IN"/>
    </w:rPr>
  </w:style>
  <w:style w:type="paragraph" w:styleId="TableContents" w:customStyle="1">
    <w:name w:val="Table Contents"/>
    <w:basedOn w:val="DefaultStyle"/>
    <w:rsid w:val="00517D22"/>
    <w:pPr>
      <w:suppressLineNumbers w:val="1"/>
    </w:pPr>
  </w:style>
  <w:style w:type="paragraph" w:styleId="NoSpacing">
    <w:name w:val="No Spacing"/>
    <w:uiPriority w:val="1"/>
    <w:qFormat w:val="1"/>
    <w:rsid w:val="00232033"/>
    <w:rPr>
      <w:sz w:val="24"/>
      <w:szCs w:val="24"/>
    </w:rPr>
  </w:style>
  <w:style w:type="table" w:styleId="TableGrid">
    <w:name w:val="Table Grid"/>
    <w:basedOn w:val="TableNormal"/>
    <w:uiPriority w:val="39"/>
    <w:rsid w:val="00F162CE"/>
    <w:rPr>
      <w:rFonts w:asciiTheme="minorHAnsi" w:cstheme="minorBidi" w:eastAsiaTheme="minorHAnsi" w:hAnsiTheme="minorHAnsi"/>
      <w:sz w:val="22"/>
      <w:szCs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" w:customStyle="1">
    <w:name w:val="Table Normal1"/>
    <w:uiPriority w:val="2"/>
    <w:semiHidden w:val="1"/>
    <w:unhideWhenUsed w:val="1"/>
    <w:qFormat w:val="1"/>
    <w:rsid w:val="00F162CE"/>
    <w:pPr>
      <w:widowControl w:val="0"/>
    </w:pPr>
    <w:rPr>
      <w:rFonts w:asciiTheme="minorHAnsi" w:cstheme="minorBidi" w:eastAsiaTheme="minorHAnsi" w:hAnsiTheme="minorHAnsi"/>
      <w:sz w:val="22"/>
      <w:szCs w:val="22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F162CE"/>
    <w:pPr>
      <w:widowControl w:val="0"/>
    </w:pPr>
    <w:rPr>
      <w:rFonts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BD14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pDZdhUVWQdnof43zjz3cKYlxA==">AMUW2mV9Sgwb/X3A6ijyKArJ6eipUdxZVnPTCRHa+GD4YeG4XXOYAFDCTZIK7N4EZeOhJrlvJY6q9zgABXDu42oMhsFzUlSyub9O7hQTmzZ3PJ7iY98dUAlg2zXS7t9RoIpd2ObsGPc9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2020-08-11T13:34:00Z</dcterms:created>
  <dc:creator>A Vasan</dc:creator>
</cp:coreProperties>
</file>