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7A2" w:rsidRDefault="00816ED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eastAsia="en-IN" w:bidi="ar-SA"/>
        </w:rPr>
        <w:drawing>
          <wp:inline distT="0" distB="0" distL="114300" distR="114300">
            <wp:extent cx="4925060" cy="1019175"/>
            <wp:effectExtent l="0" t="0" r="0" b="0"/>
            <wp:docPr id="1026"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5060" cy="1019175"/>
                    </a:xfrm>
                    <a:prstGeom prst="rect">
                      <a:avLst/>
                    </a:prstGeom>
                    <a:ln/>
                  </pic:spPr>
                </pic:pic>
              </a:graphicData>
            </a:graphic>
          </wp:inline>
        </w:drawing>
      </w:r>
    </w:p>
    <w:p w:rsidR="008B27A2" w:rsidRDefault="00C653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FIRST SEMESTER 2022-2023</w:t>
      </w:r>
    </w:p>
    <w:p w:rsidR="008B27A2" w:rsidRDefault="00816ED8" w:rsidP="00C653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HANDOUT PART II)</w:t>
      </w:r>
    </w:p>
    <w:p w:rsidR="008B27A2" w:rsidRDefault="00816ED8">
      <w:pPr>
        <w:pBdr>
          <w:top w:val="nil"/>
          <w:left w:val="nil"/>
          <w:bottom w:val="nil"/>
          <w:right w:val="nil"/>
          <w:between w:val="nil"/>
        </w:pBdr>
        <w:spacing w:after="0" w:line="240" w:lineRule="auto"/>
        <w:ind w:left="0"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Date: </w:t>
      </w:r>
      <w:r w:rsidR="00315DCC">
        <w:rPr>
          <w:rFonts w:ascii="Times New Roman" w:eastAsia="Times New Roman" w:hAnsi="Times New Roman" w:cs="Times New Roman"/>
          <w:b/>
          <w:color w:val="000000"/>
          <w:sz w:val="24"/>
          <w:szCs w:val="24"/>
        </w:rPr>
        <w:t>31</w:t>
      </w:r>
      <w:r>
        <w:rPr>
          <w:rFonts w:ascii="Times New Roman" w:eastAsia="Times New Roman" w:hAnsi="Times New Roman" w:cs="Times New Roman"/>
          <w:b/>
          <w:color w:val="000000"/>
          <w:sz w:val="24"/>
          <w:szCs w:val="24"/>
        </w:rPr>
        <w:t>/08/202</w:t>
      </w:r>
      <w:r w:rsidR="00315DCC">
        <w:rPr>
          <w:rFonts w:ascii="Times New Roman" w:eastAsia="Times New Roman" w:hAnsi="Times New Roman" w:cs="Times New Roman"/>
          <w:b/>
          <w:color w:val="000000"/>
          <w:sz w:val="24"/>
          <w:szCs w:val="24"/>
        </w:rPr>
        <w:t>2</w:t>
      </w:r>
    </w:p>
    <w:p w:rsidR="008B27A2" w:rsidRDefault="00816ED8">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timetable) this portion gives further specific details regarding the course.</w:t>
      </w:r>
    </w:p>
    <w:p w:rsidR="008B27A2" w:rsidRDefault="00816ED8">
      <w:pPr>
        <w:spacing w:after="0"/>
        <w:ind w:left="0" w:hanging="2"/>
        <w:rPr>
          <w:rFonts w:ascii="Times New Roman" w:eastAsia="Times New Roman" w:hAnsi="Times New Roman" w:cs="Times New Roman"/>
        </w:rPr>
      </w:pPr>
      <w:r>
        <w:rPr>
          <w:rFonts w:ascii="Times New Roman" w:eastAsia="Times New Roman" w:hAnsi="Times New Roman" w:cs="Times New Roman"/>
          <w:i/>
        </w:rPr>
        <w:t>Course No</w:t>
      </w:r>
      <w:r>
        <w:rPr>
          <w:rFonts w:ascii="Times New Roman" w:eastAsia="Times New Roman" w:hAnsi="Times New Roman" w:cs="Times New Roman"/>
        </w:rPr>
        <w:tab/>
      </w:r>
      <w:r>
        <w:rPr>
          <w:rFonts w:ascii="Times New Roman" w:eastAsia="Times New Roman" w:hAnsi="Times New Roman" w:cs="Times New Roman"/>
        </w:rPr>
        <w:tab/>
        <w:t>:  CS G553</w:t>
      </w:r>
    </w:p>
    <w:p w:rsidR="008B27A2" w:rsidRDefault="00816ED8">
      <w:pPr>
        <w:spacing w:after="0"/>
        <w:ind w:left="0" w:hanging="2"/>
        <w:rPr>
          <w:rFonts w:ascii="Times New Roman" w:eastAsia="Times New Roman" w:hAnsi="Times New Roman" w:cs="Times New Roman"/>
        </w:rPr>
      </w:pPr>
      <w:r>
        <w:rPr>
          <w:rFonts w:ascii="Times New Roman" w:eastAsia="Times New Roman" w:hAnsi="Times New Roman" w:cs="Times New Roman"/>
          <w:i/>
        </w:rPr>
        <w:t>Course Title</w:t>
      </w:r>
      <w:r>
        <w:rPr>
          <w:rFonts w:ascii="Times New Roman" w:eastAsia="Times New Roman" w:hAnsi="Times New Roman" w:cs="Times New Roman"/>
        </w:rPr>
        <w:tab/>
      </w:r>
      <w:r>
        <w:rPr>
          <w:rFonts w:ascii="Times New Roman" w:eastAsia="Times New Roman" w:hAnsi="Times New Roman" w:cs="Times New Roman"/>
        </w:rPr>
        <w:tab/>
        <w:t>:  Reconfigurable Computing</w:t>
      </w:r>
    </w:p>
    <w:p w:rsidR="008B27A2" w:rsidRDefault="00816ED8">
      <w:pPr>
        <w:spacing w:after="0"/>
        <w:ind w:left="0" w:hanging="2"/>
        <w:rPr>
          <w:rFonts w:ascii="Times New Roman" w:eastAsia="Times New Roman" w:hAnsi="Times New Roman" w:cs="Times New Roman"/>
        </w:rPr>
      </w:pPr>
      <w:r>
        <w:rPr>
          <w:rFonts w:ascii="Times New Roman" w:eastAsia="Times New Roman" w:hAnsi="Times New Roman" w:cs="Times New Roman"/>
          <w:i/>
        </w:rPr>
        <w:t>Instructors/in-charge</w:t>
      </w:r>
      <w:r>
        <w:rPr>
          <w:rFonts w:ascii="Times New Roman" w:eastAsia="Times New Roman" w:hAnsi="Times New Roman" w:cs="Times New Roman"/>
        </w:rPr>
        <w:tab/>
        <w:t>:  CHETAN KUMAR V</w:t>
      </w:r>
    </w:p>
    <w:p w:rsidR="00A12D03" w:rsidRDefault="00A12D03">
      <w:pPr>
        <w:spacing w:after="0"/>
        <w:ind w:left="0" w:hanging="2"/>
        <w:rPr>
          <w:rFonts w:ascii="Times New Roman" w:eastAsia="Times New Roman" w:hAnsi="Times New Roman" w:cs="Times New Roman"/>
        </w:rPr>
      </w:pPr>
    </w:p>
    <w:p w:rsidR="00A12D03" w:rsidRPr="00A12D03" w:rsidRDefault="00A12D03" w:rsidP="00A12D03">
      <w:pPr>
        <w:spacing w:after="0"/>
        <w:ind w:left="0" w:hanging="2"/>
        <w:jc w:val="both"/>
        <w:rPr>
          <w:rFonts w:ascii="Times New Roman" w:eastAsia="Times New Roman" w:hAnsi="Times New Roman" w:cs="Times New Roman"/>
          <w:b/>
        </w:rPr>
      </w:pPr>
      <w:bookmarkStart w:id="0" w:name="_GoBack"/>
      <w:r w:rsidRPr="00A12D03">
        <w:rPr>
          <w:rFonts w:ascii="Times New Roman" w:eastAsia="Times New Roman" w:hAnsi="Times New Roman" w:cs="Times New Roman"/>
          <w:b/>
        </w:rPr>
        <w:t xml:space="preserve">Course </w:t>
      </w:r>
      <w:proofErr w:type="gramStart"/>
      <w:r w:rsidRPr="00A12D03">
        <w:rPr>
          <w:rFonts w:ascii="Times New Roman" w:eastAsia="Times New Roman" w:hAnsi="Times New Roman" w:cs="Times New Roman"/>
          <w:b/>
        </w:rPr>
        <w:t xml:space="preserve">Description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sidRPr="00A12D03">
        <w:rPr>
          <w:rFonts w:ascii="Times New Roman" w:eastAsia="Times New Roman" w:hAnsi="Times New Roman" w:cs="Times New Roman"/>
          <w:color w:val="000000"/>
        </w:rPr>
        <w:t>Overview of Programmable Logics. FPGA fabric architectures. Logic Elements and Switch Networks. Design and Synthesis of Combinational and Sequential Elements. Placement and Routing. Pipelining and other Design Methodologies. Fine-grained and Coarse-Grained FPGAs. Static and Dynamic Reconfiguration. Partitioning. Hardware/Software Portioning and Partial Evaluation. Systolic Architectures</w:t>
      </w:r>
    </w:p>
    <w:bookmarkEnd w:id="0"/>
    <w:p w:rsidR="00A12D03" w:rsidRDefault="00A12D03">
      <w:pPr>
        <w:spacing w:after="0"/>
        <w:ind w:left="0" w:hanging="2"/>
        <w:rPr>
          <w:rFonts w:ascii="Times New Roman" w:eastAsia="Times New Roman" w:hAnsi="Times New Roman" w:cs="Times New Roman"/>
        </w:rPr>
      </w:pPr>
    </w:p>
    <w:p w:rsidR="008B27A2" w:rsidRDefault="00816ED8">
      <w:pPr>
        <w:pStyle w:val="Heading2"/>
        <w:numPr>
          <w:ilvl w:val="0"/>
          <w:numId w:val="6"/>
        </w:numPr>
        <w:pBdr>
          <w:bottom w:val="dotted" w:sz="6" w:space="0" w:color="99AABB"/>
        </w:pBdr>
        <w:tabs>
          <w:tab w:val="left" w:pos="270"/>
        </w:tabs>
        <w:ind w:left="0" w:hanging="2"/>
        <w:rPr>
          <w:rFonts w:ascii="Times New Roman" w:hAnsi="Times New Roman"/>
          <w:color w:val="000000"/>
          <w:sz w:val="22"/>
          <w:szCs w:val="22"/>
        </w:rPr>
      </w:pPr>
      <w:r>
        <w:rPr>
          <w:rFonts w:ascii="Times New Roman" w:hAnsi="Times New Roman"/>
          <w:color w:val="000000"/>
          <w:sz w:val="22"/>
          <w:szCs w:val="22"/>
        </w:rPr>
        <w:t>Scope and Objective</w:t>
      </w:r>
    </w:p>
    <w:p w:rsidR="008B27A2" w:rsidRDefault="00816ED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Reconfigurable (adaptive) computing is a novel yet important research field investigating the capability of hardware to adapt to changing computational requirements such as emerging standards, late design changes, and even to changing processing requirements arising at run-time. Reconfigurable computing thus benefits from a) the programmability of software similar to the Von Neumann computer and b) the speed and efficiency of parallel hardware execution. </w:t>
      </w:r>
    </w:p>
    <w:p w:rsidR="008B27A2" w:rsidRDefault="00816ED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The purpose of the course reconfigurable computing is to instruct students about the possibilities and rapidly growing interest in adaptive hardware and corresponding design techniques by providing them the necessary knowledge for understanding and designing reconfigurable hardware systems and studying applications benefiting from dynamic hardware reconfiguration.</w:t>
      </w:r>
    </w:p>
    <w:p w:rsidR="008B27A2" w:rsidRDefault="00816ED8">
      <w:pPr>
        <w:pStyle w:val="Heading2"/>
        <w:numPr>
          <w:ilvl w:val="0"/>
          <w:numId w:val="6"/>
        </w:numPr>
        <w:pBdr>
          <w:bottom w:val="dotted" w:sz="6" w:space="0" w:color="99AABB"/>
        </w:pBdr>
        <w:tabs>
          <w:tab w:val="left" w:pos="270"/>
        </w:tabs>
        <w:ind w:left="0" w:hanging="2"/>
        <w:jc w:val="both"/>
        <w:rPr>
          <w:rFonts w:ascii="Times New Roman" w:hAnsi="Times New Roman"/>
          <w:color w:val="000000"/>
          <w:sz w:val="22"/>
          <w:szCs w:val="22"/>
        </w:rPr>
      </w:pPr>
      <w:r>
        <w:rPr>
          <w:rFonts w:ascii="Times New Roman" w:hAnsi="Times New Roman"/>
          <w:color w:val="000000"/>
          <w:sz w:val="22"/>
          <w:szCs w:val="22"/>
        </w:rPr>
        <w:t>Contents</w:t>
      </w:r>
    </w:p>
    <w:p w:rsidR="008B27A2" w:rsidRDefault="00816ED8">
      <w:pPr>
        <w:pBdr>
          <w:top w:val="nil"/>
          <w:left w:val="nil"/>
          <w:bottom w:val="nil"/>
          <w:right w:val="nil"/>
          <w:between w:val="nil"/>
        </w:pBdr>
        <w:spacing w:before="280" w:after="28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The course covers the following subjects:</w:t>
      </w:r>
    </w:p>
    <w:p w:rsidR="008B27A2" w:rsidRDefault="00816ED8">
      <w:pPr>
        <w:numPr>
          <w:ilvl w:val="0"/>
          <w:numId w:val="3"/>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color w:val="000000"/>
        </w:rPr>
        <w:t>Reconfigurable computing systems (Fine and coarse grained architectures and technology)</w:t>
      </w:r>
    </w:p>
    <w:p w:rsidR="008B27A2" w:rsidRDefault="00816ED8">
      <w:pPr>
        <w:numPr>
          <w:ilvl w:val="0"/>
          <w:numId w:val="3"/>
        </w:num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and implementation (Algorithms and steps to implement algorithms to FPGAs) </w:t>
      </w:r>
    </w:p>
    <w:p w:rsidR="008B27A2" w:rsidRDefault="00816ED8">
      <w:pPr>
        <w:numPr>
          <w:ilvl w:val="0"/>
          <w:numId w:val="3"/>
        </w:num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Temporal partitioning (Techniques to reconfigure systems over time) </w:t>
      </w:r>
    </w:p>
    <w:p w:rsidR="008B27A2" w:rsidRDefault="00816ED8">
      <w:pPr>
        <w:numPr>
          <w:ilvl w:val="0"/>
          <w:numId w:val="3"/>
        </w:num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Temporal placement (Techniques and algorithms to exploit the possibility of partial and dynamic hardware reconfiguration) </w:t>
      </w:r>
    </w:p>
    <w:p w:rsidR="008B27A2" w:rsidRDefault="00816ED8">
      <w:pPr>
        <w:numPr>
          <w:ilvl w:val="0"/>
          <w:numId w:val="3"/>
        </w:num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On-line communication (State-of-the-art techniques about how modules can communicate data at run-time)</w:t>
      </w:r>
    </w:p>
    <w:p w:rsidR="008B27A2" w:rsidRDefault="00816ED8">
      <w:pPr>
        <w:numPr>
          <w:ilvl w:val="0"/>
          <w:numId w:val="3"/>
        </w:num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Applications (applications benefiting from dynamic hardware reconfiguration and verification using Xilinx System Design tools and Boards). </w:t>
      </w:r>
    </w:p>
    <w:p w:rsidR="008B27A2" w:rsidRDefault="00816ED8">
      <w:pPr>
        <w:pStyle w:val="Heading2"/>
        <w:numPr>
          <w:ilvl w:val="0"/>
          <w:numId w:val="6"/>
        </w:numPr>
        <w:pBdr>
          <w:bottom w:val="dotted" w:sz="6" w:space="0" w:color="99AABB"/>
        </w:pBdr>
        <w:tabs>
          <w:tab w:val="left" w:pos="0"/>
          <w:tab w:val="left" w:pos="270"/>
        </w:tabs>
        <w:ind w:left="0" w:hanging="2"/>
        <w:jc w:val="both"/>
        <w:rPr>
          <w:rFonts w:ascii="Times New Roman" w:hAnsi="Times New Roman"/>
          <w:color w:val="000000"/>
          <w:sz w:val="22"/>
          <w:szCs w:val="22"/>
        </w:rPr>
      </w:pPr>
      <w:r>
        <w:rPr>
          <w:rFonts w:ascii="Times New Roman" w:hAnsi="Times New Roman"/>
          <w:color w:val="000000"/>
          <w:sz w:val="22"/>
          <w:szCs w:val="22"/>
        </w:rPr>
        <w:t>Background</w:t>
      </w:r>
    </w:p>
    <w:p w:rsidR="008B27A2" w:rsidRDefault="00816ED8">
      <w:pPr>
        <w:pBdr>
          <w:top w:val="nil"/>
          <w:left w:val="nil"/>
          <w:bottom w:val="nil"/>
          <w:right w:val="nil"/>
          <w:between w:val="nil"/>
        </w:pBdr>
        <w:spacing w:before="280" w:after="280"/>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Background for the course is a basic knowledge in the following areas: digital design, optimization algorithms, and computer architecture.</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Text Book</w:t>
      </w:r>
    </w:p>
    <w:p w:rsidR="008B27A2" w:rsidRDefault="00816ED8">
      <w:pPr>
        <w:tabs>
          <w:tab w:val="left" w:pos="360"/>
        </w:tabs>
        <w:ind w:left="0" w:hanging="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Wolf Wayne,</w:t>
      </w:r>
      <w:r>
        <w:rPr>
          <w:rFonts w:ascii="Times New Roman" w:eastAsia="Times New Roman" w:hAnsi="Times New Roman" w:cs="Times New Roman"/>
          <w:i/>
        </w:rPr>
        <w:t xml:space="preserve"> FPGA Based System Design</w:t>
      </w:r>
      <w:r>
        <w:rPr>
          <w:rFonts w:ascii="Times New Roman" w:eastAsia="Times New Roman" w:hAnsi="Times New Roman" w:cs="Times New Roman"/>
        </w:rPr>
        <w:t>, Pearson Edu, 2004.</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lastRenderedPageBreak/>
        <w:t>Reference Book</w:t>
      </w:r>
    </w:p>
    <w:p w:rsidR="008B27A2" w:rsidRDefault="00816ED8">
      <w:pPr>
        <w:numPr>
          <w:ilvl w:val="0"/>
          <w:numId w:val="4"/>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Scott Hauck, André </w:t>
      </w:r>
      <w:proofErr w:type="spellStart"/>
      <w:r>
        <w:rPr>
          <w:rFonts w:ascii="Times New Roman" w:eastAsia="Times New Roman" w:hAnsi="Times New Roman" w:cs="Times New Roman"/>
        </w:rPr>
        <w:t>DeHon</w:t>
      </w:r>
      <w:proofErr w:type="spellEnd"/>
      <w:r>
        <w:rPr>
          <w:rFonts w:ascii="Times New Roman" w:eastAsia="Times New Roman" w:hAnsi="Times New Roman" w:cs="Times New Roman"/>
        </w:rPr>
        <w:t>, Reconfigurable Computing - The Theory and Practice of FPGA Based Computation, The Morgan Kaufmann Series in Systems on Silicon, 2007.</w:t>
      </w:r>
    </w:p>
    <w:p w:rsidR="008B27A2" w:rsidRDefault="00816ED8">
      <w:pPr>
        <w:numPr>
          <w:ilvl w:val="0"/>
          <w:numId w:val="4"/>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Bobda</w:t>
      </w:r>
      <w:proofErr w:type="spellEnd"/>
      <w:r>
        <w:rPr>
          <w:rFonts w:ascii="Times New Roman" w:eastAsia="Times New Roman" w:hAnsi="Times New Roman" w:cs="Times New Roman"/>
        </w:rPr>
        <w:t>, Introduction to Reconfigurable Computing: Architectures, Algorithms, and Applications, Springer, 2007.</w:t>
      </w:r>
    </w:p>
    <w:p w:rsidR="008B27A2" w:rsidRDefault="00816ED8">
      <w:pPr>
        <w:numPr>
          <w:ilvl w:val="0"/>
          <w:numId w:val="4"/>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R </w:t>
      </w:r>
      <w:proofErr w:type="spellStart"/>
      <w:r>
        <w:rPr>
          <w:rFonts w:ascii="Times New Roman" w:eastAsia="Times New Roman" w:hAnsi="Times New Roman" w:cs="Times New Roman"/>
        </w:rPr>
        <w:t>Vaidyanathan</w:t>
      </w:r>
      <w:proofErr w:type="spellEnd"/>
      <w:r>
        <w:rPr>
          <w:rFonts w:ascii="Times New Roman" w:eastAsia="Times New Roman" w:hAnsi="Times New Roman" w:cs="Times New Roman"/>
        </w:rPr>
        <w:t>, Trahan Jerry, Dynamic Reconfiguration: Architectures and Algorithms, L, Kluwer Academic, 2003.</w:t>
      </w:r>
    </w:p>
    <w:p w:rsidR="008B27A2" w:rsidRDefault="00816ED8">
      <w:pPr>
        <w:numPr>
          <w:ilvl w:val="0"/>
          <w:numId w:val="4"/>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Uwe Meyer-</w:t>
      </w:r>
      <w:proofErr w:type="spellStart"/>
      <w:r>
        <w:rPr>
          <w:rFonts w:ascii="Times New Roman" w:eastAsia="Times New Roman" w:hAnsi="Times New Roman" w:cs="Times New Roman"/>
        </w:rPr>
        <w:t>Baese</w:t>
      </w:r>
      <w:proofErr w:type="spellEnd"/>
      <w:r>
        <w:rPr>
          <w:rFonts w:ascii="Times New Roman" w:eastAsia="Times New Roman" w:hAnsi="Times New Roman" w:cs="Times New Roman"/>
        </w:rPr>
        <w:t>, DSP with FPGAs, Springer-</w:t>
      </w:r>
      <w:proofErr w:type="spellStart"/>
      <w:r>
        <w:rPr>
          <w:rFonts w:ascii="Times New Roman" w:eastAsia="Times New Roman" w:hAnsi="Times New Roman" w:cs="Times New Roman"/>
        </w:rPr>
        <w:t>Verlag</w:t>
      </w:r>
      <w:proofErr w:type="spellEnd"/>
      <w:r>
        <w:rPr>
          <w:rFonts w:ascii="Times New Roman" w:eastAsia="Times New Roman" w:hAnsi="Times New Roman" w:cs="Times New Roman"/>
        </w:rPr>
        <w:t>, 2003.</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Course Plan</w:t>
      </w:r>
    </w:p>
    <w:tbl>
      <w:tblPr>
        <w:tblStyle w:val="a"/>
        <w:tblW w:w="9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6"/>
        <w:gridCol w:w="2520"/>
        <w:gridCol w:w="5940"/>
      </w:tblGrid>
      <w:tr w:rsidR="008B27A2">
        <w:trPr>
          <w:trHeight w:val="647"/>
        </w:trPr>
        <w:tc>
          <w:tcPr>
            <w:tcW w:w="1416" w:type="dxa"/>
          </w:tcPr>
          <w:p w:rsidR="008B27A2" w:rsidRDefault="00816ED8">
            <w:pPr>
              <w:pStyle w:val="Heading1"/>
              <w:spacing w:before="0" w:line="240" w:lineRule="auto"/>
              <w:ind w:left="0" w:hanging="2"/>
              <w:jc w:val="center"/>
              <w:rPr>
                <w:rFonts w:ascii="Times New Roman" w:hAnsi="Times New Roman"/>
                <w:sz w:val="22"/>
                <w:szCs w:val="22"/>
              </w:rPr>
            </w:pPr>
            <w:r>
              <w:rPr>
                <w:rFonts w:ascii="Times New Roman" w:hAnsi="Times New Roman"/>
                <w:sz w:val="22"/>
                <w:szCs w:val="22"/>
              </w:rPr>
              <w:t>Lecture No.</w:t>
            </w:r>
          </w:p>
        </w:tc>
        <w:tc>
          <w:tcPr>
            <w:tcW w:w="2520" w:type="dxa"/>
          </w:tcPr>
          <w:p w:rsidR="008B27A2" w:rsidRDefault="00816ED8">
            <w:pPr>
              <w:pStyle w:val="Heading1"/>
              <w:spacing w:before="0" w:line="240" w:lineRule="auto"/>
              <w:ind w:left="0" w:hanging="2"/>
              <w:jc w:val="center"/>
              <w:rPr>
                <w:rFonts w:ascii="Times New Roman" w:hAnsi="Times New Roman"/>
                <w:sz w:val="22"/>
                <w:szCs w:val="22"/>
              </w:rPr>
            </w:pPr>
            <w:r>
              <w:rPr>
                <w:rFonts w:ascii="Times New Roman" w:hAnsi="Times New Roman"/>
                <w:sz w:val="22"/>
                <w:szCs w:val="22"/>
              </w:rPr>
              <w:t>Learning Objectives</w:t>
            </w:r>
          </w:p>
        </w:tc>
        <w:tc>
          <w:tcPr>
            <w:tcW w:w="5940" w:type="dxa"/>
          </w:tcPr>
          <w:p w:rsidR="008B27A2" w:rsidRDefault="00816ED8">
            <w:pPr>
              <w:pStyle w:val="Heading1"/>
              <w:spacing w:before="0" w:line="240" w:lineRule="auto"/>
              <w:ind w:left="0" w:hanging="2"/>
              <w:jc w:val="center"/>
              <w:rPr>
                <w:rFonts w:ascii="Times New Roman" w:hAnsi="Times New Roman"/>
                <w:sz w:val="22"/>
                <w:szCs w:val="22"/>
              </w:rPr>
            </w:pPr>
            <w:r>
              <w:rPr>
                <w:rFonts w:ascii="Times New Roman" w:hAnsi="Times New Roman"/>
                <w:sz w:val="22"/>
                <w:szCs w:val="22"/>
              </w:rPr>
              <w:t>Topics to be covered</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1-4</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Introduction </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Introduction application and comparison</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General Purpose Computing</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Domain Specific Computing</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Application Specific Computing </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Reconfigurable Computing</w:t>
            </w:r>
          </w:p>
        </w:tc>
      </w:tr>
      <w:tr w:rsidR="008B27A2">
        <w:trPr>
          <w:trHeight w:val="1082"/>
        </w:trPr>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5-6</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VLSI Technology</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Wires, Registers and RAM</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Wires and </w:t>
            </w:r>
            <w:proofErr w:type="spellStart"/>
            <w:r>
              <w:rPr>
                <w:rFonts w:ascii="Times New Roman" w:eastAsia="Times New Roman" w:hAnsi="Times New Roman" w:cs="Times New Roman"/>
              </w:rPr>
              <w:t>vias</w:t>
            </w:r>
            <w:proofErr w:type="spellEnd"/>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Gate delay vs. wire delay</w:t>
            </w:r>
          </w:p>
          <w:p w:rsidR="008B27A2" w:rsidRDefault="00816ED8">
            <w:pPr>
              <w:numPr>
                <w:ilvl w:val="0"/>
                <w:numId w:val="5"/>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Registers and RAM</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7-8</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Reconfigurable Computing Hardware</w:t>
            </w:r>
          </w:p>
        </w:tc>
        <w:tc>
          <w:tcPr>
            <w:tcW w:w="594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Programmable logic, an overview of</w:t>
            </w:r>
          </w:p>
          <w:p w:rsidR="008B27A2" w:rsidRDefault="00816ED8">
            <w:pPr>
              <w:numPr>
                <w:ilvl w:val="0"/>
                <w:numId w:val="7"/>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PLA, PAL, SPLD and CPLD</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To be discussed in Lab</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Hardware Description Languages</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Modeling with HDLs </w:t>
            </w:r>
          </w:p>
          <w:p w:rsidR="008B27A2" w:rsidRDefault="00816ED8">
            <w:pPr>
              <w:numPr>
                <w:ilvl w:val="0"/>
                <w:numId w:val="2"/>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Verilog/VHDL</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9-11</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Reconfigurable Computing Device</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FPGA Architecture, FPGA Fabrics</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Configuration</w:t>
            </w:r>
          </w:p>
          <w:p w:rsidR="008B27A2" w:rsidRDefault="00816ED8">
            <w:pPr>
              <w:numPr>
                <w:ilvl w:val="0"/>
                <w:numId w:val="7"/>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SRAM Based-FPGAs</w:t>
            </w:r>
          </w:p>
          <w:p w:rsidR="008B27A2" w:rsidRDefault="00816ED8">
            <w:pPr>
              <w:numPr>
                <w:ilvl w:val="0"/>
                <w:numId w:val="7"/>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Permanently Programmed FPGAs</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Programmable I/O, Circuit Design of FPGA Fabrics, Architecture of FPGA Fabrics, Case Studies (Xilinx, Altera, </w:t>
            </w:r>
            <w:proofErr w:type="spellStart"/>
            <w:r>
              <w:rPr>
                <w:rFonts w:ascii="Times New Roman" w:eastAsia="Times New Roman" w:hAnsi="Times New Roman" w:cs="Times New Roman"/>
              </w:rPr>
              <w:t>Acteletc</w:t>
            </w:r>
            <w:proofErr w:type="spellEnd"/>
            <w:r>
              <w:rPr>
                <w:rFonts w:ascii="Times New Roman" w:eastAsia="Times New Roman" w:hAnsi="Times New Roman" w:cs="Times New Roman"/>
              </w:rPr>
              <w:t>).</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12-15</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Reconfigurable Computing Architecture</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Fine - Grained and Course - Grained Reconfigurable Architecture, Case Studies.</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15-16</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Programming Reconfigurable Systems</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Logic Design Process</w:t>
            </w:r>
          </w:p>
          <w:p w:rsidR="008B27A2" w:rsidRDefault="00816ED8">
            <w:pPr>
              <w:numPr>
                <w:ilvl w:val="0"/>
                <w:numId w:val="8"/>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Design</w:t>
            </w:r>
          </w:p>
          <w:p w:rsidR="008B27A2" w:rsidRDefault="00816ED8">
            <w:pPr>
              <w:numPr>
                <w:ilvl w:val="0"/>
                <w:numId w:val="8"/>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Integration</w:t>
            </w:r>
          </w:p>
          <w:p w:rsidR="008B27A2" w:rsidRDefault="00816ED8">
            <w:pPr>
              <w:numPr>
                <w:ilvl w:val="0"/>
                <w:numId w:val="8"/>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FPGA Design Flow </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Implementation Approaches</w:t>
            </w:r>
          </w:p>
          <w:p w:rsidR="008B27A2" w:rsidRDefault="00816ED8">
            <w:pPr>
              <w:numPr>
                <w:ilvl w:val="0"/>
                <w:numId w:val="8"/>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Run Time Reconfiguration (RTR)</w:t>
            </w:r>
          </w:p>
          <w:p w:rsidR="008B27A2" w:rsidRDefault="00816ED8">
            <w:pPr>
              <w:numPr>
                <w:ilvl w:val="0"/>
                <w:numId w:val="8"/>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Partial Reconfiguration (PR)</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17-24</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Mapping Designs to Reconfigurable Platform</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Logic Implementation for FPGAs, Syntax-Directed Translation</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Logic Synthesis</w:t>
            </w:r>
          </w:p>
          <w:p w:rsidR="008B27A2" w:rsidRDefault="00816ED8">
            <w:pPr>
              <w:numPr>
                <w:ilvl w:val="0"/>
                <w:numId w:val="9"/>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Two-Level Logic Synthesis</w:t>
            </w:r>
          </w:p>
          <w:p w:rsidR="008B27A2" w:rsidRDefault="00816ED8">
            <w:pPr>
              <w:numPr>
                <w:ilvl w:val="0"/>
                <w:numId w:val="9"/>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Multi-Level Logic Synthesis</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LUT-Based Technology Mapping</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25-35</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High-Level Synthesis for Reconfigurable Devices (Behavioral Design)</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Modeling</w:t>
            </w:r>
          </w:p>
          <w:p w:rsidR="008B27A2" w:rsidRDefault="00816ED8">
            <w:pPr>
              <w:numPr>
                <w:ilvl w:val="0"/>
                <w:numId w:val="10"/>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DFG, CFG</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Introduction to Binding, Scheduling and Allocation, Temporal Partitioning</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Temporal Partitioning Algorithms</w:t>
            </w:r>
          </w:p>
          <w:p w:rsidR="008B27A2" w:rsidRDefault="00816ED8">
            <w:pPr>
              <w:numPr>
                <w:ilvl w:val="0"/>
                <w:numId w:val="1"/>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ASAP</w:t>
            </w:r>
          </w:p>
          <w:p w:rsidR="008B27A2" w:rsidRDefault="00816ED8">
            <w:pPr>
              <w:numPr>
                <w:ilvl w:val="0"/>
                <w:numId w:val="1"/>
              </w:num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ALAP</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35-39</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Temporal Placement and Routing</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Offline and Online Temporal Placement</w:t>
            </w:r>
          </w:p>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Routing Cost, Routing-Conscious Placement</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39-40</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Online Communication</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Communication at run-time  between modules on the Reconfigurable Device</w:t>
            </w:r>
          </w:p>
        </w:tc>
      </w:tr>
      <w:tr w:rsidR="008B27A2">
        <w:tc>
          <w:tcPr>
            <w:tcW w:w="1416" w:type="dxa"/>
          </w:tcPr>
          <w:p w:rsidR="008B27A2" w:rsidRDefault="00816ED8">
            <w:pPr>
              <w:ind w:left="0" w:hanging="2"/>
              <w:jc w:val="center"/>
              <w:rPr>
                <w:rFonts w:ascii="Times New Roman" w:eastAsia="Times New Roman" w:hAnsi="Times New Roman" w:cs="Times New Roman"/>
              </w:rPr>
            </w:pPr>
            <w:r>
              <w:rPr>
                <w:rFonts w:ascii="Times New Roman" w:eastAsia="Times New Roman" w:hAnsi="Times New Roman" w:cs="Times New Roman"/>
              </w:rPr>
              <w:t>41-43</w:t>
            </w:r>
          </w:p>
        </w:tc>
        <w:tc>
          <w:tcPr>
            <w:tcW w:w="2520" w:type="dxa"/>
          </w:tcPr>
          <w:p w:rsidR="008B27A2" w:rsidRDefault="00816ED8">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Reconfiguration Management</w:t>
            </w:r>
          </w:p>
        </w:tc>
        <w:tc>
          <w:tcPr>
            <w:tcW w:w="5940" w:type="dxa"/>
          </w:tcPr>
          <w:p w:rsidR="008B27A2" w:rsidRDefault="00816ED8">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Multi-Context FPGAs, Introduction to Partial Reconfiguration</w:t>
            </w:r>
          </w:p>
        </w:tc>
      </w:tr>
    </w:tbl>
    <w:p w:rsidR="008B27A2" w:rsidRDefault="008B27A2">
      <w:pPr>
        <w:tabs>
          <w:tab w:val="left" w:pos="990"/>
        </w:tabs>
        <w:ind w:left="0" w:hanging="2"/>
        <w:rPr>
          <w:rFonts w:ascii="Times New Roman" w:eastAsia="Times New Roman" w:hAnsi="Times New Roman" w:cs="Times New Roman"/>
        </w:rPr>
      </w:pP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Evaluation Scheme</w:t>
      </w:r>
    </w:p>
    <w:tbl>
      <w:tblPr>
        <w:tblStyle w:val="a0"/>
        <w:tblW w:w="964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268"/>
        <w:gridCol w:w="1417"/>
        <w:gridCol w:w="1574"/>
        <w:gridCol w:w="2114"/>
        <w:gridCol w:w="1701"/>
      </w:tblGrid>
      <w:tr w:rsidR="008B27A2">
        <w:tc>
          <w:tcPr>
            <w:tcW w:w="568" w:type="dxa"/>
          </w:tcPr>
          <w:p w:rsidR="008B27A2" w:rsidRDefault="00816ED8">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EC No.</w:t>
            </w:r>
          </w:p>
        </w:tc>
        <w:tc>
          <w:tcPr>
            <w:tcW w:w="2268" w:type="dxa"/>
          </w:tcPr>
          <w:p w:rsidR="008B27A2" w:rsidRDefault="00816ED8">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Evaluation Component</w:t>
            </w:r>
          </w:p>
        </w:tc>
        <w:tc>
          <w:tcPr>
            <w:tcW w:w="1417" w:type="dxa"/>
          </w:tcPr>
          <w:p w:rsidR="008B27A2" w:rsidRDefault="00816ED8">
            <w:pPr>
              <w:pStyle w:val="Heading1"/>
              <w:spacing w:before="0" w:line="240" w:lineRule="auto"/>
              <w:ind w:left="0" w:hanging="2"/>
              <w:jc w:val="center"/>
              <w:rPr>
                <w:rFonts w:ascii="Times New Roman" w:hAnsi="Times New Roman"/>
                <w:color w:val="000000"/>
                <w:sz w:val="22"/>
                <w:szCs w:val="22"/>
              </w:rPr>
            </w:pPr>
            <w:r>
              <w:rPr>
                <w:rFonts w:ascii="Times New Roman" w:hAnsi="Times New Roman"/>
                <w:color w:val="000000"/>
                <w:sz w:val="22"/>
                <w:szCs w:val="22"/>
              </w:rPr>
              <w:t>Duration</w:t>
            </w:r>
          </w:p>
          <w:p w:rsidR="008B27A2" w:rsidRDefault="00816ED8">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(min)</w:t>
            </w:r>
          </w:p>
        </w:tc>
        <w:tc>
          <w:tcPr>
            <w:tcW w:w="1574" w:type="dxa"/>
          </w:tcPr>
          <w:p w:rsidR="008B27A2" w:rsidRDefault="00816ED8">
            <w:pPr>
              <w:pStyle w:val="Heading1"/>
              <w:spacing w:before="0" w:line="240" w:lineRule="auto"/>
              <w:ind w:left="0" w:hanging="2"/>
              <w:jc w:val="center"/>
              <w:rPr>
                <w:rFonts w:ascii="Times New Roman" w:hAnsi="Times New Roman"/>
                <w:color w:val="000000"/>
                <w:sz w:val="22"/>
                <w:szCs w:val="22"/>
              </w:rPr>
            </w:pPr>
            <w:r>
              <w:rPr>
                <w:rFonts w:ascii="Times New Roman" w:hAnsi="Times New Roman"/>
                <w:color w:val="000000"/>
                <w:sz w:val="22"/>
                <w:szCs w:val="22"/>
              </w:rPr>
              <w:t>Marks (Weightage %)</w:t>
            </w:r>
          </w:p>
          <w:p w:rsidR="008B27A2" w:rsidRDefault="008B27A2">
            <w:pPr>
              <w:spacing w:after="0" w:line="240" w:lineRule="auto"/>
              <w:ind w:left="0" w:hanging="2"/>
              <w:jc w:val="center"/>
              <w:rPr>
                <w:rFonts w:ascii="Times New Roman" w:eastAsia="Times New Roman" w:hAnsi="Times New Roman" w:cs="Times New Roman"/>
                <w:color w:val="000000"/>
              </w:rPr>
            </w:pPr>
          </w:p>
        </w:tc>
        <w:tc>
          <w:tcPr>
            <w:tcW w:w="2114" w:type="dxa"/>
          </w:tcPr>
          <w:p w:rsidR="008B27A2" w:rsidRDefault="00816ED8">
            <w:pPr>
              <w:pStyle w:val="Heading1"/>
              <w:spacing w:before="0" w:line="240" w:lineRule="auto"/>
              <w:ind w:left="0" w:hanging="2"/>
              <w:jc w:val="center"/>
              <w:rPr>
                <w:rFonts w:ascii="Times New Roman" w:hAnsi="Times New Roman"/>
                <w:color w:val="000000"/>
                <w:sz w:val="22"/>
                <w:szCs w:val="22"/>
              </w:rPr>
            </w:pPr>
            <w:r>
              <w:rPr>
                <w:rFonts w:ascii="Times New Roman" w:hAnsi="Times New Roman"/>
                <w:color w:val="000000"/>
                <w:sz w:val="22"/>
                <w:szCs w:val="22"/>
              </w:rPr>
              <w:t>Date and Time</w:t>
            </w:r>
          </w:p>
        </w:tc>
        <w:tc>
          <w:tcPr>
            <w:tcW w:w="1701" w:type="dxa"/>
          </w:tcPr>
          <w:p w:rsidR="008B27A2" w:rsidRDefault="00816ED8">
            <w:pPr>
              <w:pStyle w:val="Heading1"/>
              <w:spacing w:before="0" w:line="240" w:lineRule="auto"/>
              <w:ind w:left="0" w:hanging="2"/>
              <w:jc w:val="center"/>
              <w:rPr>
                <w:rFonts w:ascii="Times New Roman" w:hAnsi="Times New Roman"/>
                <w:color w:val="000000"/>
                <w:sz w:val="22"/>
                <w:szCs w:val="22"/>
              </w:rPr>
            </w:pPr>
            <w:r>
              <w:rPr>
                <w:rFonts w:ascii="Times New Roman" w:hAnsi="Times New Roman"/>
                <w:color w:val="000000"/>
                <w:sz w:val="22"/>
                <w:szCs w:val="22"/>
              </w:rPr>
              <w:t>Nature of Component</w:t>
            </w:r>
          </w:p>
        </w:tc>
      </w:tr>
      <w:tr w:rsidR="00816ED8">
        <w:tc>
          <w:tcPr>
            <w:tcW w:w="5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p>
        </w:tc>
        <w:tc>
          <w:tcPr>
            <w:tcW w:w="22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Mid-Semester Exam</w:t>
            </w:r>
          </w:p>
        </w:tc>
        <w:tc>
          <w:tcPr>
            <w:tcW w:w="1417"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90 Min</w:t>
            </w:r>
          </w:p>
        </w:tc>
        <w:tc>
          <w:tcPr>
            <w:tcW w:w="1574" w:type="dxa"/>
          </w:tcPr>
          <w:p w:rsidR="00816ED8" w:rsidRDefault="00315DCC"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r w:rsidR="00D33C92">
              <w:rPr>
                <w:rFonts w:ascii="Times New Roman" w:eastAsia="Times New Roman" w:hAnsi="Times New Roman" w:cs="Times New Roman"/>
              </w:rPr>
              <w:t>0%(4</w:t>
            </w:r>
            <w:r w:rsidR="00816ED8">
              <w:rPr>
                <w:rFonts w:ascii="Times New Roman" w:eastAsia="Times New Roman" w:hAnsi="Times New Roman" w:cs="Times New Roman"/>
              </w:rPr>
              <w:t>0M)</w:t>
            </w:r>
          </w:p>
        </w:tc>
        <w:tc>
          <w:tcPr>
            <w:tcW w:w="2114" w:type="dxa"/>
          </w:tcPr>
          <w:p w:rsidR="00816ED8" w:rsidRPr="00BF7349" w:rsidRDefault="00AD66D6" w:rsidP="00816ED8">
            <w:pPr>
              <w:spacing w:after="0" w:line="240" w:lineRule="auto"/>
              <w:ind w:left="0" w:hanging="2"/>
              <w:jc w:val="center"/>
              <w:rPr>
                <w:rFonts w:ascii="Times New Roman" w:hAnsi="Times New Roman"/>
                <w:szCs w:val="24"/>
              </w:rPr>
            </w:pPr>
            <w:r w:rsidRPr="00AD66D6">
              <w:rPr>
                <w:rFonts w:ascii="Times New Roman" w:hAnsi="Times New Roman"/>
                <w:szCs w:val="24"/>
              </w:rPr>
              <w:t>01/11 11.00 - 12.30PM</w:t>
            </w:r>
          </w:p>
        </w:tc>
        <w:tc>
          <w:tcPr>
            <w:tcW w:w="1701" w:type="dxa"/>
          </w:tcPr>
          <w:p w:rsidR="00816ED8" w:rsidRDefault="00315DCC"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Closed </w:t>
            </w:r>
          </w:p>
        </w:tc>
      </w:tr>
      <w:tr w:rsidR="00816ED8">
        <w:tc>
          <w:tcPr>
            <w:tcW w:w="5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p>
        </w:tc>
        <w:tc>
          <w:tcPr>
            <w:tcW w:w="22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Regular Labs</w:t>
            </w:r>
          </w:p>
        </w:tc>
        <w:tc>
          <w:tcPr>
            <w:tcW w:w="1417"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NA</w:t>
            </w:r>
          </w:p>
        </w:tc>
        <w:tc>
          <w:tcPr>
            <w:tcW w:w="1574" w:type="dxa"/>
          </w:tcPr>
          <w:p w:rsidR="00816ED8" w:rsidRDefault="00816ED8" w:rsidP="00315DCC">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r w:rsidR="00315DCC">
              <w:rPr>
                <w:rFonts w:ascii="Times New Roman" w:eastAsia="Times New Roman" w:hAnsi="Times New Roman" w:cs="Times New Roman"/>
              </w:rPr>
              <w:t>5</w:t>
            </w:r>
            <w:r>
              <w:rPr>
                <w:rFonts w:ascii="Times New Roman" w:eastAsia="Times New Roman" w:hAnsi="Times New Roman" w:cs="Times New Roman"/>
              </w:rPr>
              <w:t>%(</w:t>
            </w:r>
            <w:r w:rsidR="00315DCC">
              <w:rPr>
                <w:rFonts w:ascii="Times New Roman" w:eastAsia="Times New Roman" w:hAnsi="Times New Roman" w:cs="Times New Roman"/>
              </w:rPr>
              <w:t>30</w:t>
            </w:r>
            <w:r>
              <w:rPr>
                <w:rFonts w:ascii="Times New Roman" w:eastAsia="Times New Roman" w:hAnsi="Times New Roman" w:cs="Times New Roman"/>
              </w:rPr>
              <w:t>M)</w:t>
            </w:r>
          </w:p>
        </w:tc>
        <w:tc>
          <w:tcPr>
            <w:tcW w:w="2114" w:type="dxa"/>
          </w:tcPr>
          <w:p w:rsidR="00816ED8" w:rsidRPr="00BF7349" w:rsidRDefault="00816ED8" w:rsidP="00816ED8">
            <w:pPr>
              <w:spacing w:after="0" w:line="240" w:lineRule="auto"/>
              <w:ind w:left="0" w:hanging="2"/>
              <w:jc w:val="center"/>
              <w:rPr>
                <w:rFonts w:ascii="Times New Roman" w:hAnsi="Times New Roman"/>
                <w:szCs w:val="24"/>
              </w:rPr>
            </w:pPr>
            <w:r>
              <w:rPr>
                <w:rFonts w:ascii="Times New Roman" w:hAnsi="Times New Roman"/>
                <w:szCs w:val="24"/>
              </w:rPr>
              <w:t>Regular</w:t>
            </w:r>
          </w:p>
        </w:tc>
        <w:tc>
          <w:tcPr>
            <w:tcW w:w="1701"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Open Book</w:t>
            </w:r>
          </w:p>
        </w:tc>
      </w:tr>
      <w:tr w:rsidR="00816ED8">
        <w:tc>
          <w:tcPr>
            <w:tcW w:w="5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3</w:t>
            </w:r>
          </w:p>
        </w:tc>
        <w:tc>
          <w:tcPr>
            <w:tcW w:w="22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Lab Assignments/Projects</w:t>
            </w:r>
          </w:p>
        </w:tc>
        <w:tc>
          <w:tcPr>
            <w:tcW w:w="1417"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NA</w:t>
            </w:r>
          </w:p>
        </w:tc>
        <w:tc>
          <w:tcPr>
            <w:tcW w:w="1574" w:type="dxa"/>
          </w:tcPr>
          <w:p w:rsidR="00816ED8" w:rsidRDefault="00816ED8" w:rsidP="00315DCC">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r w:rsidR="00315DCC">
              <w:rPr>
                <w:rFonts w:ascii="Times New Roman" w:eastAsia="Times New Roman" w:hAnsi="Times New Roman" w:cs="Times New Roman"/>
              </w:rPr>
              <w:t>5</w:t>
            </w:r>
            <w:r w:rsidR="00D33C92">
              <w:rPr>
                <w:rFonts w:ascii="Times New Roman" w:eastAsia="Times New Roman" w:hAnsi="Times New Roman" w:cs="Times New Roman"/>
              </w:rPr>
              <w:t>%(5</w:t>
            </w:r>
            <w:r>
              <w:rPr>
                <w:rFonts w:ascii="Times New Roman" w:eastAsia="Times New Roman" w:hAnsi="Times New Roman" w:cs="Times New Roman"/>
              </w:rPr>
              <w:t>0M)</w:t>
            </w:r>
          </w:p>
        </w:tc>
        <w:tc>
          <w:tcPr>
            <w:tcW w:w="2114" w:type="dxa"/>
          </w:tcPr>
          <w:p w:rsidR="00816ED8" w:rsidRPr="00BF7349" w:rsidRDefault="00816ED8" w:rsidP="00816ED8">
            <w:pPr>
              <w:spacing w:after="0" w:line="240" w:lineRule="auto"/>
              <w:ind w:left="0" w:hanging="2"/>
              <w:jc w:val="center"/>
              <w:rPr>
                <w:rFonts w:ascii="Times New Roman" w:hAnsi="Times New Roman"/>
                <w:szCs w:val="24"/>
              </w:rPr>
            </w:pPr>
            <w:r w:rsidRPr="00BF7349">
              <w:rPr>
                <w:rFonts w:ascii="Times New Roman" w:hAnsi="Times New Roman"/>
                <w:szCs w:val="24"/>
              </w:rPr>
              <w:t>To be announced</w:t>
            </w:r>
          </w:p>
        </w:tc>
        <w:tc>
          <w:tcPr>
            <w:tcW w:w="1701"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Open Book</w:t>
            </w:r>
          </w:p>
        </w:tc>
      </w:tr>
      <w:tr w:rsidR="00816ED8">
        <w:tc>
          <w:tcPr>
            <w:tcW w:w="5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4</w:t>
            </w:r>
          </w:p>
        </w:tc>
        <w:tc>
          <w:tcPr>
            <w:tcW w:w="2268"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Comprehensive Exam</w:t>
            </w:r>
          </w:p>
        </w:tc>
        <w:tc>
          <w:tcPr>
            <w:tcW w:w="1417" w:type="dxa"/>
          </w:tcPr>
          <w:p w:rsidR="00816ED8" w:rsidRDefault="00816ED8" w:rsidP="00AD66D6">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r w:rsidR="00AD66D6">
              <w:rPr>
                <w:rFonts w:ascii="Times New Roman" w:eastAsia="Times New Roman" w:hAnsi="Times New Roman" w:cs="Times New Roman"/>
              </w:rPr>
              <w:t>8</w:t>
            </w:r>
            <w:r>
              <w:rPr>
                <w:rFonts w:ascii="Times New Roman" w:eastAsia="Times New Roman" w:hAnsi="Times New Roman" w:cs="Times New Roman"/>
              </w:rPr>
              <w:t>0 Min</w:t>
            </w:r>
          </w:p>
        </w:tc>
        <w:tc>
          <w:tcPr>
            <w:tcW w:w="1574"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40%(80M)</w:t>
            </w:r>
          </w:p>
        </w:tc>
        <w:tc>
          <w:tcPr>
            <w:tcW w:w="2114" w:type="dxa"/>
          </w:tcPr>
          <w:p w:rsidR="00816ED8" w:rsidRPr="00BF7349" w:rsidRDefault="00AD66D6" w:rsidP="00816ED8">
            <w:pPr>
              <w:spacing w:after="0" w:line="240" w:lineRule="auto"/>
              <w:ind w:left="0" w:hanging="2"/>
              <w:jc w:val="center"/>
              <w:rPr>
                <w:rFonts w:ascii="Times New Roman" w:hAnsi="Times New Roman"/>
                <w:bCs/>
                <w:szCs w:val="24"/>
              </w:rPr>
            </w:pPr>
            <w:r w:rsidRPr="00AD66D6">
              <w:rPr>
                <w:rFonts w:ascii="Times New Roman" w:hAnsi="Times New Roman"/>
                <w:bCs/>
                <w:szCs w:val="24"/>
              </w:rPr>
              <w:t>20/12 AN</w:t>
            </w:r>
          </w:p>
        </w:tc>
        <w:tc>
          <w:tcPr>
            <w:tcW w:w="1701" w:type="dxa"/>
          </w:tcPr>
          <w:p w:rsidR="00816ED8" w:rsidRDefault="00816ED8" w:rsidP="00816ED8">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Closed Book</w:t>
            </w:r>
          </w:p>
        </w:tc>
      </w:tr>
    </w:tbl>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Lab</w:t>
      </w:r>
    </w:p>
    <w:p w:rsidR="008B27A2" w:rsidRDefault="00315DCC" w:rsidP="00315DCC">
      <w:pPr>
        <w:spacing w:after="120" w:line="240" w:lineRule="auto"/>
        <w:ind w:left="0" w:hanging="2"/>
        <w:jc w:val="both"/>
        <w:rPr>
          <w:rFonts w:ascii="Times New Roman" w:eastAsia="Times New Roman" w:hAnsi="Times New Roman" w:cs="Times New Roman"/>
        </w:rPr>
      </w:pPr>
      <w:r w:rsidRPr="00315DCC">
        <w:rPr>
          <w:rFonts w:ascii="Times New Roman" w:eastAsia="Times New Roman" w:hAnsi="Times New Roman" w:cs="Times New Roman"/>
        </w:rPr>
        <w:t xml:space="preserve">This course has lab components using Xilinx </w:t>
      </w:r>
      <w:proofErr w:type="spellStart"/>
      <w:r w:rsidRPr="00315DCC">
        <w:rPr>
          <w:rFonts w:ascii="Times New Roman" w:eastAsia="Times New Roman" w:hAnsi="Times New Roman" w:cs="Times New Roman"/>
        </w:rPr>
        <w:t>Vivado</w:t>
      </w:r>
      <w:proofErr w:type="spellEnd"/>
      <w:r w:rsidRPr="00315DCC">
        <w:rPr>
          <w:rFonts w:ascii="Times New Roman" w:eastAsia="Times New Roman" w:hAnsi="Times New Roman" w:cs="Times New Roman"/>
        </w:rPr>
        <w:t>, Xilinx System Generator, and Xilinx partialreconfiguration tools. For better understanding of concepts, this course has a lab orientedproject. Final design should be implemented in Xilinx FPGAs.</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Chamber Consultation Hours</w:t>
      </w:r>
    </w:p>
    <w:p w:rsidR="008B27A2" w:rsidRDefault="00816ED8">
      <w:pPr>
        <w:ind w:left="0" w:hanging="2"/>
        <w:rPr>
          <w:rFonts w:ascii="Times New Roman" w:eastAsia="Times New Roman" w:hAnsi="Times New Roman" w:cs="Times New Roman"/>
        </w:rPr>
      </w:pPr>
      <w:r>
        <w:rPr>
          <w:rFonts w:ascii="Times New Roman" w:eastAsia="Times New Roman" w:hAnsi="Times New Roman" w:cs="Times New Roman"/>
        </w:rPr>
        <w:t>Will be announced in the class</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Notices</w:t>
      </w:r>
    </w:p>
    <w:p w:rsidR="008B27A2" w:rsidRDefault="00816ED8">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Notices regarding the course will be put up on the course web site </w:t>
      </w:r>
    </w:p>
    <w:p w:rsidR="008B27A2" w:rsidRDefault="00816ED8">
      <w:pPr>
        <w:pStyle w:val="Heading2"/>
        <w:numPr>
          <w:ilvl w:val="0"/>
          <w:numId w:val="6"/>
        </w:numPr>
        <w:pBdr>
          <w:bottom w:val="dotted" w:sz="6" w:space="0" w:color="99AABB"/>
        </w:pBdr>
        <w:tabs>
          <w:tab w:val="left" w:pos="0"/>
          <w:tab w:val="left" w:pos="270"/>
        </w:tabs>
        <w:ind w:left="0" w:hanging="2"/>
        <w:rPr>
          <w:rFonts w:ascii="Times New Roman" w:hAnsi="Times New Roman"/>
          <w:color w:val="000000"/>
          <w:sz w:val="22"/>
          <w:szCs w:val="22"/>
        </w:rPr>
      </w:pPr>
      <w:r>
        <w:rPr>
          <w:rFonts w:ascii="Times New Roman" w:hAnsi="Times New Roman"/>
          <w:color w:val="000000"/>
          <w:sz w:val="22"/>
          <w:szCs w:val="22"/>
        </w:rPr>
        <w:t>Makeup</w:t>
      </w:r>
    </w:p>
    <w:p w:rsidR="008B27A2" w:rsidRDefault="00816ED8">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Make-up will be given on </w:t>
      </w:r>
      <w:r>
        <w:rPr>
          <w:rFonts w:ascii="Times New Roman" w:eastAsia="Times New Roman" w:hAnsi="Times New Roman" w:cs="Times New Roman"/>
          <w:b/>
        </w:rPr>
        <w:t>genuine</w:t>
      </w:r>
      <w:r>
        <w:rPr>
          <w:rFonts w:ascii="Times New Roman" w:eastAsia="Times New Roman" w:hAnsi="Times New Roman" w:cs="Times New Roman"/>
        </w:rPr>
        <w:t xml:space="preserve"> grounds only. Prior application should be made for seeking the make- up examination. </w:t>
      </w:r>
    </w:p>
    <w:p w:rsidR="002153DD" w:rsidRDefault="002153DD">
      <w:pPr>
        <w:ind w:left="0" w:hanging="2"/>
        <w:jc w:val="both"/>
        <w:rPr>
          <w:rFonts w:ascii="Times New Roman" w:eastAsia="Times New Roman" w:hAnsi="Times New Roman" w:cs="Times New Roman"/>
        </w:rPr>
      </w:pPr>
      <w:r w:rsidRPr="003739AD">
        <w:rPr>
          <w:b/>
          <w:spacing w:val="-2"/>
          <w:sz w:val="24"/>
          <w:szCs w:val="24"/>
        </w:rPr>
        <w:t>Academic Honesty and Integrity Policy:</w:t>
      </w:r>
      <w:r w:rsidRPr="003739AD">
        <w:rPr>
          <w:spacing w:val="-2"/>
          <w:sz w:val="24"/>
          <w:szCs w:val="24"/>
        </w:rPr>
        <w:t xml:space="preserve"> Academic honesty and integrity are to be maintained by all the students throughout the semester and no type of academic dishonesty is acceptable</w:t>
      </w:r>
    </w:p>
    <w:p w:rsidR="008B27A2" w:rsidRDefault="008B27A2">
      <w:pPr>
        <w:ind w:left="0" w:hanging="2"/>
        <w:jc w:val="both"/>
        <w:rPr>
          <w:rFonts w:ascii="Times New Roman" w:eastAsia="Times New Roman" w:hAnsi="Times New Roman" w:cs="Times New Roman"/>
        </w:rPr>
      </w:pPr>
    </w:p>
    <w:p w:rsidR="008B27A2" w:rsidRDefault="00816ED8">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Instructor - in - charge</w:t>
      </w:r>
    </w:p>
    <w:p w:rsidR="008B27A2" w:rsidRDefault="00816ED8">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CS G553</w:t>
      </w:r>
    </w:p>
    <w:sectPr w:rsidR="008B27A2" w:rsidSect="00166AD2">
      <w:pgSz w:w="12240" w:h="15840"/>
      <w:pgMar w:top="426" w:right="1530" w:bottom="5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7D7C"/>
    <w:multiLevelType w:val="multilevel"/>
    <w:tmpl w:val="C0A892EC"/>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1" w15:restartNumberingAfterBreak="0">
    <w:nsid w:val="2206744F"/>
    <w:multiLevelType w:val="multilevel"/>
    <w:tmpl w:val="BA6441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A280281"/>
    <w:multiLevelType w:val="multilevel"/>
    <w:tmpl w:val="74A0A5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956096"/>
    <w:multiLevelType w:val="multilevel"/>
    <w:tmpl w:val="3934D9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E1520F4"/>
    <w:multiLevelType w:val="multilevel"/>
    <w:tmpl w:val="C8CCB5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DE614D"/>
    <w:multiLevelType w:val="multilevel"/>
    <w:tmpl w:val="377869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CAF5590"/>
    <w:multiLevelType w:val="multilevel"/>
    <w:tmpl w:val="899CAD7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3F0E416A"/>
    <w:multiLevelType w:val="multilevel"/>
    <w:tmpl w:val="92CE53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D8829F6"/>
    <w:multiLevelType w:val="multilevel"/>
    <w:tmpl w:val="E40639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CE82F7C"/>
    <w:multiLevelType w:val="multilevel"/>
    <w:tmpl w:val="AEC0A5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
  </w:num>
  <w:num w:numId="2">
    <w:abstractNumId w:val="7"/>
  </w:num>
  <w:num w:numId="3">
    <w:abstractNumId w:val="1"/>
  </w:num>
  <w:num w:numId="4">
    <w:abstractNumId w:val="6"/>
  </w:num>
  <w:num w:numId="5">
    <w:abstractNumId w:val="0"/>
  </w:num>
  <w:num w:numId="6">
    <w:abstractNumId w:val="9"/>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B27A2"/>
    <w:rsid w:val="00166AD2"/>
    <w:rsid w:val="00195A17"/>
    <w:rsid w:val="002153DD"/>
    <w:rsid w:val="002D5146"/>
    <w:rsid w:val="00315DCC"/>
    <w:rsid w:val="00816ED8"/>
    <w:rsid w:val="008B27A2"/>
    <w:rsid w:val="00A12D03"/>
    <w:rsid w:val="00AD66D6"/>
    <w:rsid w:val="00C653F6"/>
    <w:rsid w:val="00D33C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F2A1"/>
  <w15:docId w15:val="{C97B3A92-A547-4987-80AF-15D519E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6AD2"/>
    <w:pPr>
      <w:suppressAutoHyphens/>
      <w:ind w:leftChars="-1" w:left="-1" w:hangingChars="1" w:hanging="1"/>
      <w:textDirection w:val="btLr"/>
      <w:textAlignment w:val="top"/>
      <w:outlineLvl w:val="0"/>
    </w:pPr>
    <w:rPr>
      <w:position w:val="-1"/>
      <w:lang w:eastAsia="en-US" w:bidi="en-US"/>
    </w:rPr>
  </w:style>
  <w:style w:type="paragraph" w:styleId="Heading1">
    <w:name w:val="heading 1"/>
    <w:basedOn w:val="Normal"/>
    <w:next w:val="Normal"/>
    <w:rsid w:val="00166AD2"/>
    <w:pPr>
      <w:keepNext/>
      <w:keepLines/>
      <w:spacing w:before="480" w:after="0"/>
    </w:pPr>
    <w:rPr>
      <w:rFonts w:ascii="Cambria" w:eastAsia="Times New Roman" w:hAnsi="Cambria" w:cs="Times New Roman"/>
      <w:b/>
      <w:bCs/>
      <w:color w:val="365F91"/>
      <w:sz w:val="28"/>
      <w:szCs w:val="28"/>
    </w:rPr>
  </w:style>
  <w:style w:type="paragraph" w:styleId="Heading2">
    <w:name w:val="heading 2"/>
    <w:basedOn w:val="Normal"/>
    <w:next w:val="Normal"/>
    <w:qFormat/>
    <w:rsid w:val="00166AD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166AD2"/>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qFormat/>
    <w:rsid w:val="00166AD2"/>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rsid w:val="00166AD2"/>
    <w:pPr>
      <w:keepNext/>
      <w:keepLines/>
      <w:spacing w:before="200" w:after="0"/>
      <w:outlineLvl w:val="4"/>
    </w:pPr>
    <w:rPr>
      <w:rFonts w:ascii="Cambria" w:eastAsia="Times New Roman" w:hAnsi="Cambria" w:cs="Times New Roman"/>
      <w:color w:val="243F60"/>
    </w:rPr>
  </w:style>
  <w:style w:type="paragraph" w:styleId="Heading6">
    <w:name w:val="heading 6"/>
    <w:basedOn w:val="Normal"/>
    <w:next w:val="Normal"/>
    <w:qFormat/>
    <w:rsid w:val="00166AD2"/>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qFormat/>
    <w:rsid w:val="00166AD2"/>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qFormat/>
    <w:rsid w:val="00166AD2"/>
    <w:pPr>
      <w:keepNext/>
      <w:keepLines/>
      <w:spacing w:before="200" w:after="0"/>
      <w:outlineLvl w:val="7"/>
    </w:pPr>
    <w:rPr>
      <w:rFonts w:ascii="Cambria" w:eastAsia="Times New Roman" w:hAnsi="Cambria" w:cs="Times New Roman"/>
      <w:color w:val="4F81BD"/>
      <w:sz w:val="20"/>
      <w:szCs w:val="20"/>
    </w:rPr>
  </w:style>
  <w:style w:type="paragraph" w:styleId="Heading9">
    <w:name w:val="heading 9"/>
    <w:basedOn w:val="Normal"/>
    <w:next w:val="Normal"/>
    <w:qFormat/>
    <w:rsid w:val="00166AD2"/>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66AD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styleId="Hyperlink">
    <w:name w:val="Hyperlink"/>
    <w:rsid w:val="00166AD2"/>
    <w:rPr>
      <w:color w:val="0000FF"/>
      <w:w w:val="100"/>
      <w:position w:val="-1"/>
      <w:u w:val="single"/>
      <w:effect w:val="none"/>
      <w:vertAlign w:val="baseline"/>
      <w:cs w:val="0"/>
      <w:em w:val="none"/>
    </w:rPr>
  </w:style>
  <w:style w:type="character" w:styleId="FollowedHyperlink">
    <w:name w:val="FollowedHyperlink"/>
    <w:rsid w:val="00166AD2"/>
    <w:rPr>
      <w:color w:val="800080"/>
      <w:w w:val="100"/>
      <w:position w:val="-1"/>
      <w:u w:val="single"/>
      <w:effect w:val="none"/>
      <w:vertAlign w:val="baseline"/>
      <w:cs w:val="0"/>
      <w:em w:val="none"/>
    </w:rPr>
  </w:style>
  <w:style w:type="paragraph" w:styleId="BodyTextIndent">
    <w:name w:val="Body Text Indent"/>
    <w:basedOn w:val="Normal"/>
    <w:rsid w:val="00166AD2"/>
    <w:pPr>
      <w:ind w:left="720" w:hanging="720"/>
    </w:pPr>
    <w:rPr>
      <w:bCs/>
    </w:rPr>
  </w:style>
  <w:style w:type="paragraph" w:styleId="BodyText">
    <w:name w:val="Body Text"/>
    <w:basedOn w:val="Normal"/>
    <w:rsid w:val="00166AD2"/>
    <w:pPr>
      <w:jc w:val="both"/>
    </w:pPr>
    <w:rPr>
      <w:sz w:val="24"/>
      <w:szCs w:val="24"/>
    </w:rPr>
  </w:style>
  <w:style w:type="paragraph" w:styleId="NormalWeb">
    <w:name w:val="Normal (Web)"/>
    <w:basedOn w:val="Normal"/>
    <w:rsid w:val="00166AD2"/>
    <w:pPr>
      <w:spacing w:before="100" w:beforeAutospacing="1" w:after="100" w:afterAutospacing="1"/>
    </w:pPr>
    <w:rPr>
      <w:rFonts w:ascii="Arial Unicode MS" w:eastAsia="Arial Unicode MS" w:hAnsi="Arial Unicode MS" w:cs="Arial Unicode MS"/>
      <w:sz w:val="24"/>
      <w:szCs w:val="24"/>
    </w:rPr>
  </w:style>
  <w:style w:type="character" w:customStyle="1" w:styleId="title1">
    <w:name w:val="title1"/>
    <w:basedOn w:val="DefaultParagraphFont"/>
    <w:rsid w:val="00166AD2"/>
    <w:rPr>
      <w:w w:val="100"/>
      <w:position w:val="-1"/>
      <w:effect w:val="none"/>
      <w:vertAlign w:val="baseline"/>
      <w:cs w:val="0"/>
      <w:em w:val="none"/>
    </w:rPr>
  </w:style>
  <w:style w:type="character" w:customStyle="1" w:styleId="Heading1Char">
    <w:name w:val="Heading 1 Char"/>
    <w:rsid w:val="00166AD2"/>
    <w:rPr>
      <w:rFonts w:ascii="Cambria" w:eastAsia="Times New Roman" w:hAnsi="Cambria" w:cs="Times New Roman"/>
      <w:b/>
      <w:bCs/>
      <w:color w:val="365F91"/>
      <w:w w:val="100"/>
      <w:position w:val="-1"/>
      <w:sz w:val="28"/>
      <w:szCs w:val="28"/>
      <w:effect w:val="none"/>
      <w:vertAlign w:val="baseline"/>
      <w:cs w:val="0"/>
      <w:em w:val="none"/>
    </w:rPr>
  </w:style>
  <w:style w:type="character" w:customStyle="1" w:styleId="Heading2Char">
    <w:name w:val="Heading 2 Char"/>
    <w:rsid w:val="00166AD2"/>
    <w:rPr>
      <w:rFonts w:ascii="Cambria" w:eastAsia="Times New Roman" w:hAnsi="Cambria" w:cs="Times New Roman"/>
      <w:b/>
      <w:bCs/>
      <w:color w:val="4F81BD"/>
      <w:w w:val="100"/>
      <w:position w:val="-1"/>
      <w:sz w:val="26"/>
      <w:szCs w:val="26"/>
      <w:effect w:val="none"/>
      <w:vertAlign w:val="baseline"/>
      <w:cs w:val="0"/>
      <w:em w:val="none"/>
    </w:rPr>
  </w:style>
  <w:style w:type="character" w:customStyle="1" w:styleId="Heading3Char">
    <w:name w:val="Heading 3 Char"/>
    <w:rsid w:val="00166AD2"/>
    <w:rPr>
      <w:rFonts w:ascii="Cambria" w:eastAsia="Times New Roman" w:hAnsi="Cambria" w:cs="Times New Roman"/>
      <w:b/>
      <w:bCs/>
      <w:color w:val="4F81BD"/>
      <w:w w:val="100"/>
      <w:position w:val="-1"/>
      <w:effect w:val="none"/>
      <w:vertAlign w:val="baseline"/>
      <w:cs w:val="0"/>
      <w:em w:val="none"/>
    </w:rPr>
  </w:style>
  <w:style w:type="character" w:customStyle="1" w:styleId="Heading4Char">
    <w:name w:val="Heading 4 Char"/>
    <w:rsid w:val="00166AD2"/>
    <w:rPr>
      <w:rFonts w:ascii="Cambria" w:eastAsia="Times New Roman" w:hAnsi="Cambria" w:cs="Times New Roman"/>
      <w:b/>
      <w:bCs/>
      <w:i/>
      <w:iCs/>
      <w:color w:val="4F81BD"/>
      <w:w w:val="100"/>
      <w:position w:val="-1"/>
      <w:effect w:val="none"/>
      <w:vertAlign w:val="baseline"/>
      <w:cs w:val="0"/>
      <w:em w:val="none"/>
    </w:rPr>
  </w:style>
  <w:style w:type="character" w:customStyle="1" w:styleId="Heading5Char">
    <w:name w:val="Heading 5 Char"/>
    <w:rsid w:val="00166AD2"/>
    <w:rPr>
      <w:rFonts w:ascii="Cambria" w:eastAsia="Times New Roman" w:hAnsi="Cambria" w:cs="Times New Roman"/>
      <w:color w:val="243F60"/>
      <w:w w:val="100"/>
      <w:position w:val="-1"/>
      <w:effect w:val="none"/>
      <w:vertAlign w:val="baseline"/>
      <w:cs w:val="0"/>
      <w:em w:val="none"/>
    </w:rPr>
  </w:style>
  <w:style w:type="character" w:customStyle="1" w:styleId="Heading6Char">
    <w:name w:val="Heading 6 Char"/>
    <w:rsid w:val="00166AD2"/>
    <w:rPr>
      <w:rFonts w:ascii="Cambria" w:eastAsia="Times New Roman" w:hAnsi="Cambria" w:cs="Times New Roman"/>
      <w:i/>
      <w:iCs/>
      <w:color w:val="243F60"/>
      <w:w w:val="100"/>
      <w:position w:val="-1"/>
      <w:effect w:val="none"/>
      <w:vertAlign w:val="baseline"/>
      <w:cs w:val="0"/>
      <w:em w:val="none"/>
    </w:rPr>
  </w:style>
  <w:style w:type="character" w:customStyle="1" w:styleId="Heading7Char">
    <w:name w:val="Heading 7 Char"/>
    <w:rsid w:val="00166AD2"/>
    <w:rPr>
      <w:rFonts w:ascii="Cambria" w:eastAsia="Times New Roman" w:hAnsi="Cambria" w:cs="Times New Roman"/>
      <w:i/>
      <w:iCs/>
      <w:color w:val="404040"/>
      <w:w w:val="100"/>
      <w:position w:val="-1"/>
      <w:effect w:val="none"/>
      <w:vertAlign w:val="baseline"/>
      <w:cs w:val="0"/>
      <w:em w:val="none"/>
    </w:rPr>
  </w:style>
  <w:style w:type="character" w:customStyle="1" w:styleId="Heading8Char">
    <w:name w:val="Heading 8 Char"/>
    <w:rsid w:val="00166AD2"/>
    <w:rPr>
      <w:rFonts w:ascii="Cambria" w:eastAsia="Times New Roman" w:hAnsi="Cambria" w:cs="Times New Roman"/>
      <w:color w:val="4F81BD"/>
      <w:w w:val="100"/>
      <w:position w:val="-1"/>
      <w:sz w:val="20"/>
      <w:szCs w:val="20"/>
      <w:effect w:val="none"/>
      <w:vertAlign w:val="baseline"/>
      <w:cs w:val="0"/>
      <w:em w:val="none"/>
    </w:rPr>
  </w:style>
  <w:style w:type="character" w:customStyle="1" w:styleId="Heading9Char">
    <w:name w:val="Heading 9 Char"/>
    <w:rsid w:val="00166AD2"/>
    <w:rPr>
      <w:rFonts w:ascii="Cambria" w:eastAsia="Times New Roman" w:hAnsi="Cambria" w:cs="Times New Roman"/>
      <w:i/>
      <w:iCs/>
      <w:color w:val="404040"/>
      <w:w w:val="100"/>
      <w:position w:val="-1"/>
      <w:sz w:val="20"/>
      <w:szCs w:val="20"/>
      <w:effect w:val="none"/>
      <w:vertAlign w:val="baseline"/>
      <w:cs w:val="0"/>
      <w:em w:val="none"/>
    </w:rPr>
  </w:style>
  <w:style w:type="paragraph" w:styleId="Caption">
    <w:name w:val="caption"/>
    <w:basedOn w:val="Normal"/>
    <w:next w:val="Normal"/>
    <w:qFormat/>
    <w:rsid w:val="00166AD2"/>
    <w:pPr>
      <w:spacing w:line="240" w:lineRule="auto"/>
    </w:pPr>
    <w:rPr>
      <w:b/>
      <w:bCs/>
      <w:color w:val="4F81BD"/>
      <w:sz w:val="18"/>
      <w:szCs w:val="18"/>
    </w:rPr>
  </w:style>
  <w:style w:type="character" w:customStyle="1" w:styleId="TitleChar">
    <w:name w:val="Title Char"/>
    <w:rsid w:val="00166AD2"/>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Subtitle">
    <w:name w:val="Subtitle"/>
    <w:basedOn w:val="Normal"/>
    <w:next w:val="Normal"/>
    <w:rsid w:val="00166AD2"/>
    <w:rPr>
      <w:rFonts w:ascii="Cambria" w:eastAsia="Cambria" w:hAnsi="Cambria" w:cs="Cambria"/>
      <w:i/>
      <w:color w:val="4F81BD"/>
      <w:sz w:val="24"/>
      <w:szCs w:val="24"/>
    </w:rPr>
  </w:style>
  <w:style w:type="character" w:customStyle="1" w:styleId="SubtitleChar">
    <w:name w:val="Subtitle Char"/>
    <w:rsid w:val="00166AD2"/>
    <w:rPr>
      <w:rFonts w:ascii="Cambria" w:eastAsia="Times New Roman" w:hAnsi="Cambria" w:cs="Times New Roman"/>
      <w:i/>
      <w:iCs/>
      <w:color w:val="4F81BD"/>
      <w:spacing w:val="15"/>
      <w:w w:val="100"/>
      <w:position w:val="-1"/>
      <w:sz w:val="24"/>
      <w:szCs w:val="24"/>
      <w:effect w:val="none"/>
      <w:vertAlign w:val="baseline"/>
      <w:cs w:val="0"/>
      <w:em w:val="none"/>
    </w:rPr>
  </w:style>
  <w:style w:type="character" w:styleId="Strong">
    <w:name w:val="Strong"/>
    <w:rsid w:val="00166AD2"/>
    <w:rPr>
      <w:b/>
      <w:bCs/>
      <w:w w:val="100"/>
      <w:position w:val="-1"/>
      <w:effect w:val="none"/>
      <w:vertAlign w:val="baseline"/>
      <w:cs w:val="0"/>
      <w:em w:val="none"/>
    </w:rPr>
  </w:style>
  <w:style w:type="character" w:styleId="Emphasis">
    <w:name w:val="Emphasis"/>
    <w:rsid w:val="00166AD2"/>
    <w:rPr>
      <w:i/>
      <w:iCs/>
      <w:w w:val="100"/>
      <w:position w:val="-1"/>
      <w:effect w:val="none"/>
      <w:vertAlign w:val="baseline"/>
      <w:cs w:val="0"/>
      <w:em w:val="none"/>
    </w:rPr>
  </w:style>
  <w:style w:type="paragraph" w:styleId="NoSpacing">
    <w:name w:val="No Spacing"/>
    <w:rsid w:val="00166AD2"/>
    <w:pPr>
      <w:suppressAutoHyphens/>
      <w:spacing w:line="1" w:lineRule="atLeast"/>
      <w:ind w:leftChars="-1" w:left="-1" w:hangingChars="1" w:hanging="1"/>
      <w:textDirection w:val="btLr"/>
      <w:textAlignment w:val="top"/>
      <w:outlineLvl w:val="0"/>
    </w:pPr>
    <w:rPr>
      <w:position w:val="-1"/>
      <w:lang w:eastAsia="en-US" w:bidi="en-US"/>
    </w:rPr>
  </w:style>
  <w:style w:type="paragraph" w:styleId="ListParagraph">
    <w:name w:val="List Paragraph"/>
    <w:basedOn w:val="Normal"/>
    <w:rsid w:val="00166AD2"/>
    <w:pPr>
      <w:ind w:left="720"/>
      <w:contextualSpacing/>
    </w:pPr>
  </w:style>
  <w:style w:type="paragraph" w:styleId="Quote">
    <w:name w:val="Quote"/>
    <w:basedOn w:val="Normal"/>
    <w:next w:val="Normal"/>
    <w:rsid w:val="00166AD2"/>
    <w:rPr>
      <w:i/>
      <w:iCs/>
      <w:color w:val="000000"/>
    </w:rPr>
  </w:style>
  <w:style w:type="character" w:customStyle="1" w:styleId="QuoteChar">
    <w:name w:val="Quote Char"/>
    <w:rsid w:val="00166AD2"/>
    <w:rPr>
      <w:i/>
      <w:iCs/>
      <w:color w:val="000000"/>
      <w:w w:val="100"/>
      <w:position w:val="-1"/>
      <w:effect w:val="none"/>
      <w:vertAlign w:val="baseline"/>
      <w:cs w:val="0"/>
      <w:em w:val="none"/>
    </w:rPr>
  </w:style>
  <w:style w:type="paragraph" w:styleId="IntenseQuote">
    <w:name w:val="Intense Quote"/>
    <w:basedOn w:val="Normal"/>
    <w:next w:val="Normal"/>
    <w:rsid w:val="00166AD2"/>
    <w:pPr>
      <w:pBdr>
        <w:bottom w:val="single" w:sz="4" w:space="4" w:color="4F81BD"/>
      </w:pBdr>
      <w:spacing w:before="200" w:after="280"/>
      <w:ind w:left="936" w:right="936"/>
    </w:pPr>
    <w:rPr>
      <w:b/>
      <w:bCs/>
      <w:i/>
      <w:iCs/>
      <w:color w:val="4F81BD"/>
    </w:rPr>
  </w:style>
  <w:style w:type="character" w:customStyle="1" w:styleId="IntenseQuoteChar">
    <w:name w:val="Intense Quote Char"/>
    <w:rsid w:val="00166AD2"/>
    <w:rPr>
      <w:b/>
      <w:bCs/>
      <w:i/>
      <w:iCs/>
      <w:color w:val="4F81BD"/>
      <w:w w:val="100"/>
      <w:position w:val="-1"/>
      <w:effect w:val="none"/>
      <w:vertAlign w:val="baseline"/>
      <w:cs w:val="0"/>
      <w:em w:val="none"/>
    </w:rPr>
  </w:style>
  <w:style w:type="character" w:styleId="SubtleEmphasis">
    <w:name w:val="Subtle Emphasis"/>
    <w:rsid w:val="00166AD2"/>
    <w:rPr>
      <w:i/>
      <w:iCs/>
      <w:color w:val="808080"/>
      <w:w w:val="100"/>
      <w:position w:val="-1"/>
      <w:effect w:val="none"/>
      <w:vertAlign w:val="baseline"/>
      <w:cs w:val="0"/>
      <w:em w:val="none"/>
    </w:rPr>
  </w:style>
  <w:style w:type="character" w:styleId="IntenseEmphasis">
    <w:name w:val="Intense Emphasis"/>
    <w:rsid w:val="00166AD2"/>
    <w:rPr>
      <w:b/>
      <w:bCs/>
      <w:i/>
      <w:iCs/>
      <w:color w:val="4F81BD"/>
      <w:w w:val="100"/>
      <w:position w:val="-1"/>
      <w:effect w:val="none"/>
      <w:vertAlign w:val="baseline"/>
      <w:cs w:val="0"/>
      <w:em w:val="none"/>
    </w:rPr>
  </w:style>
  <w:style w:type="character" w:styleId="SubtleReference">
    <w:name w:val="Subtle Reference"/>
    <w:rsid w:val="00166AD2"/>
    <w:rPr>
      <w:smallCaps/>
      <w:color w:val="C0504D"/>
      <w:w w:val="100"/>
      <w:position w:val="-1"/>
      <w:u w:val="single"/>
      <w:effect w:val="none"/>
      <w:vertAlign w:val="baseline"/>
      <w:cs w:val="0"/>
      <w:em w:val="none"/>
    </w:rPr>
  </w:style>
  <w:style w:type="character" w:styleId="IntenseReference">
    <w:name w:val="Intense Reference"/>
    <w:rsid w:val="00166AD2"/>
    <w:rPr>
      <w:b/>
      <w:bCs/>
      <w:smallCaps/>
      <w:color w:val="C0504D"/>
      <w:spacing w:val="5"/>
      <w:w w:val="100"/>
      <w:position w:val="-1"/>
      <w:u w:val="single"/>
      <w:effect w:val="none"/>
      <w:vertAlign w:val="baseline"/>
      <w:cs w:val="0"/>
      <w:em w:val="none"/>
    </w:rPr>
  </w:style>
  <w:style w:type="character" w:styleId="BookTitle">
    <w:name w:val="Book Title"/>
    <w:rsid w:val="00166AD2"/>
    <w:rPr>
      <w:b/>
      <w:bCs/>
      <w:smallCaps/>
      <w:spacing w:val="5"/>
      <w:w w:val="100"/>
      <w:position w:val="-1"/>
      <w:effect w:val="none"/>
      <w:vertAlign w:val="baseline"/>
      <w:cs w:val="0"/>
      <w:em w:val="none"/>
    </w:rPr>
  </w:style>
  <w:style w:type="paragraph" w:styleId="TOCHeading">
    <w:name w:val="TOC Heading"/>
    <w:basedOn w:val="Heading1"/>
    <w:next w:val="Normal"/>
    <w:qFormat/>
    <w:rsid w:val="00166AD2"/>
    <w:pPr>
      <w:outlineLvl w:val="9"/>
    </w:pPr>
  </w:style>
  <w:style w:type="character" w:customStyle="1" w:styleId="apple-style-span">
    <w:name w:val="apple-style-span"/>
    <w:basedOn w:val="DefaultParagraphFont"/>
    <w:rsid w:val="00166AD2"/>
    <w:rPr>
      <w:w w:val="100"/>
      <w:position w:val="-1"/>
      <w:effect w:val="none"/>
      <w:vertAlign w:val="baseline"/>
      <w:cs w:val="0"/>
      <w:em w:val="none"/>
    </w:rPr>
  </w:style>
  <w:style w:type="character" w:customStyle="1" w:styleId="apple-converted-space">
    <w:name w:val="apple-converted-space"/>
    <w:basedOn w:val="DefaultParagraphFont"/>
    <w:rsid w:val="00166AD2"/>
    <w:rPr>
      <w:w w:val="100"/>
      <w:position w:val="-1"/>
      <w:effect w:val="none"/>
      <w:vertAlign w:val="baseline"/>
      <w:cs w:val="0"/>
      <w:em w:val="none"/>
    </w:rPr>
  </w:style>
  <w:style w:type="paragraph" w:customStyle="1" w:styleId="Default">
    <w:name w:val="Default"/>
    <w:rsid w:val="00166AD2"/>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eastAsia="en-US"/>
    </w:rPr>
  </w:style>
  <w:style w:type="paragraph" w:styleId="BalloonText">
    <w:name w:val="Balloon Text"/>
    <w:basedOn w:val="Normal"/>
    <w:rsid w:val="00166AD2"/>
    <w:pPr>
      <w:spacing w:after="0" w:line="240" w:lineRule="auto"/>
    </w:pPr>
    <w:rPr>
      <w:rFonts w:ascii="Segoe UI" w:hAnsi="Segoe UI" w:cs="Segoe UI"/>
      <w:sz w:val="18"/>
      <w:szCs w:val="18"/>
    </w:rPr>
  </w:style>
  <w:style w:type="character" w:customStyle="1" w:styleId="BalloonTextChar">
    <w:name w:val="Balloon Text Char"/>
    <w:rsid w:val="00166AD2"/>
    <w:rPr>
      <w:rFonts w:ascii="Segoe UI" w:hAnsi="Segoe UI" w:cs="Segoe UI"/>
      <w:w w:val="100"/>
      <w:position w:val="-1"/>
      <w:sz w:val="18"/>
      <w:szCs w:val="18"/>
      <w:effect w:val="none"/>
      <w:vertAlign w:val="baseline"/>
      <w:cs w:val="0"/>
      <w:em w:val="none"/>
      <w:lang w:val="en-US" w:eastAsia="en-US" w:bidi="en-US"/>
    </w:rPr>
  </w:style>
  <w:style w:type="table" w:customStyle="1" w:styleId="a">
    <w:basedOn w:val="TableNormal"/>
    <w:rsid w:val="00166AD2"/>
    <w:tblPr>
      <w:tblStyleRowBandSize w:val="1"/>
      <w:tblStyleColBandSize w:val="1"/>
    </w:tblPr>
  </w:style>
  <w:style w:type="table" w:customStyle="1" w:styleId="a0">
    <w:basedOn w:val="TableNormal"/>
    <w:rsid w:val="00166AD2"/>
    <w:tblPr>
      <w:tblStyleRowBandSize w:val="1"/>
      <w:tblStyleColBandSize w:val="1"/>
    </w:tblPr>
  </w:style>
  <w:style w:type="table" w:customStyle="1" w:styleId="a1">
    <w:basedOn w:val="TableNormal"/>
    <w:rsid w:val="00166AD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sn8RR+xF4+RX7S7EyPEi2UOGbQ==">AMUW2mWcZS6D6psGmzqwqkvwRwfzH5YtNL6qHurXhPxtsOdsZszo2AiCp070SaGV/tHU4pB/W+0aAft8nAdOK3guQ9U0fPykuPsUTL36ObBsTpr40YmzCQM=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Amalin Prince</dc:creator>
  <cp:lastModifiedBy>BITS</cp:lastModifiedBy>
  <cp:revision>10</cp:revision>
  <dcterms:created xsi:type="dcterms:W3CDTF">2016-06-27T11:10:00Z</dcterms:created>
  <dcterms:modified xsi:type="dcterms:W3CDTF">2022-08-28T04:03:00Z</dcterms:modified>
</cp:coreProperties>
</file>