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A2" w:rsidRDefault="00C215AB">
      <w:pPr>
        <w:jc w:val="center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1108075</wp:posOffset>
            </wp:positionH>
            <wp:positionV relativeFrom="paragraph">
              <wp:posOffset>0</wp:posOffset>
            </wp:positionV>
            <wp:extent cx="4924425" cy="1019175"/>
            <wp:effectExtent l="0" t="0" r="0" b="0"/>
            <wp:wrapSquare wrapText="bothSides" distT="0" distB="0" distL="114300" distR="114300"/>
            <wp:docPr id="5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30A2" w:rsidRDefault="002E30A2">
      <w:pPr>
        <w:jc w:val="center"/>
        <w:rPr>
          <w:b/>
        </w:rPr>
      </w:pPr>
    </w:p>
    <w:p w:rsidR="002E30A2" w:rsidRDefault="002E30A2">
      <w:pPr>
        <w:jc w:val="center"/>
        <w:rPr>
          <w:b/>
        </w:rPr>
      </w:pPr>
    </w:p>
    <w:p w:rsidR="002E30A2" w:rsidRDefault="002E30A2">
      <w:pPr>
        <w:jc w:val="center"/>
        <w:rPr>
          <w:b/>
        </w:rPr>
      </w:pPr>
    </w:p>
    <w:p w:rsidR="002E30A2" w:rsidRDefault="002E30A2">
      <w:pPr>
        <w:jc w:val="center"/>
        <w:rPr>
          <w:b/>
        </w:rPr>
      </w:pPr>
    </w:p>
    <w:p w:rsidR="002E30A2" w:rsidRDefault="002E30A2">
      <w:pPr>
        <w:jc w:val="center"/>
        <w:rPr>
          <w:b/>
        </w:rPr>
      </w:pPr>
    </w:p>
    <w:p w:rsidR="002E30A2" w:rsidRDefault="00C215AB">
      <w:pPr>
        <w:jc w:val="center"/>
        <w:rPr>
          <w:b/>
        </w:rPr>
      </w:pPr>
      <w:r>
        <w:rPr>
          <w:b/>
        </w:rPr>
        <w:t>SECOND SEMESTER 2022-2023</w:t>
      </w:r>
    </w:p>
    <w:p w:rsidR="002E30A2" w:rsidRDefault="00C215AB">
      <w:pPr>
        <w:pStyle w:val="Heading1"/>
        <w:jc w:val="center"/>
      </w:pPr>
      <w:r>
        <w:t>Course Handout Part II</w:t>
      </w:r>
    </w:p>
    <w:p w:rsidR="002E30A2" w:rsidRDefault="0068756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</w:t>
      </w:r>
      <w:r w:rsidR="00C215AB">
        <w:t xml:space="preserve">-01-2023 </w:t>
      </w:r>
    </w:p>
    <w:p w:rsidR="002E30A2" w:rsidRDefault="00C215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2E30A2" w:rsidRDefault="002E30A2"/>
    <w:p w:rsidR="002E30A2" w:rsidRDefault="00C215AB">
      <w:pPr>
        <w:rPr>
          <w:b/>
          <w:i/>
        </w:rPr>
      </w:pPr>
      <w:r>
        <w:rPr>
          <w:b/>
          <w:i/>
        </w:rPr>
        <w:t>Course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BIOT F346</w:t>
      </w:r>
    </w:p>
    <w:p w:rsidR="002E30A2" w:rsidRDefault="00C215AB">
      <w:pPr>
        <w:pStyle w:val="Heading2"/>
        <w:rPr>
          <w:b/>
          <w:i w:val="0"/>
        </w:rPr>
      </w:pPr>
      <w:r>
        <w:rPr>
          <w:b/>
        </w:rPr>
        <w:t>Course Title</w:t>
      </w:r>
      <w:r>
        <w:rPr>
          <w:b/>
          <w:i w:val="0"/>
        </w:rPr>
        <w:tab/>
      </w:r>
      <w:r>
        <w:rPr>
          <w:b/>
          <w:i w:val="0"/>
        </w:rPr>
        <w:tab/>
        <w:t>: Genomics</w:t>
      </w:r>
    </w:p>
    <w:p w:rsidR="002E30A2" w:rsidRDefault="00C215AB">
      <w:pPr>
        <w:pStyle w:val="Heading2"/>
        <w:rPr>
          <w:b/>
          <w:i w:val="0"/>
        </w:rPr>
      </w:pPr>
      <w:r>
        <w:rPr>
          <w:b/>
        </w:rPr>
        <w:t>Instructor-in-Charge</w:t>
      </w:r>
      <w:r>
        <w:rPr>
          <w:b/>
          <w:i w:val="0"/>
        </w:rPr>
        <w:tab/>
        <w:t xml:space="preserve">: </w:t>
      </w:r>
      <w:r>
        <w:rPr>
          <w:b/>
          <w:i w:val="0"/>
          <w:smallCaps/>
        </w:rPr>
        <w:t>AMARTYA SANYAL</w:t>
      </w:r>
    </w:p>
    <w:p w:rsidR="002E30A2" w:rsidRDefault="002E30A2">
      <w:pPr>
        <w:rPr>
          <w:b/>
        </w:rPr>
      </w:pPr>
    </w:p>
    <w:p w:rsidR="002E30A2" w:rsidRDefault="00C215AB">
      <w:pPr>
        <w:rPr>
          <w:b/>
        </w:rPr>
      </w:pPr>
      <w:r>
        <w:rPr>
          <w:b/>
        </w:rPr>
        <w:t>1. Scope and Objective of the Course:</w:t>
      </w:r>
    </w:p>
    <w:p w:rsidR="002E30A2" w:rsidRDefault="00C215AB">
      <w:pPr>
        <w:jc w:val="both"/>
      </w:pPr>
      <w:r>
        <w:t xml:space="preserve">Genomics is a highly inter-disciplinary field to study genome(s) and to decode the functional information hidden in DNA sequences. It employs </w:t>
      </w:r>
      <w:r>
        <w:t>high-throughput technologies for collective and comprehensive characterization of sequence, structure, function, and evolution of genomes using powerful computational and statistical methods. T</w:t>
      </w:r>
      <w:r>
        <w:rPr>
          <w:highlight w:val="white"/>
        </w:rPr>
        <w:t xml:space="preserve">his course is designed to teach you the fundamentals of </w:t>
      </w:r>
      <w:r>
        <w:t xml:space="preserve">genome </w:t>
      </w:r>
      <w:r>
        <w:t xml:space="preserve">architecture, organization, variation, and function, including regulatory mechanisms both at genetic and epigenetic levels. The course will </w:t>
      </w:r>
      <w:r>
        <w:rPr>
          <w:highlight w:val="white"/>
        </w:rPr>
        <w:t xml:space="preserve">introduce you to the modern genomics </w:t>
      </w:r>
      <w:r>
        <w:t xml:space="preserve">technologies and practices for genome and </w:t>
      </w:r>
      <w:proofErr w:type="spellStart"/>
      <w:r>
        <w:t>epigenome</w:t>
      </w:r>
      <w:proofErr w:type="spellEnd"/>
      <w:r>
        <w:t xml:space="preserve"> interrogations, functional </w:t>
      </w:r>
      <w:r>
        <w:t>genomics, structural genomics, comparative genomics, DNA copy number assessment, genome-wide association studies, etc. You will also learn the recent breakthroughs in genomics and genomic technologies and their impact on human health and disease, especiall</w:t>
      </w:r>
      <w:r>
        <w:t xml:space="preserve">y in the field of precision medicine. Moreover, this course will bring a broader understanding of systems biology approach to integrate datasets generated from a plethora of related ‘omics’ techniques (such as genomics, </w:t>
      </w:r>
      <w:proofErr w:type="spellStart"/>
      <w:r>
        <w:t>transcriptomics</w:t>
      </w:r>
      <w:proofErr w:type="spellEnd"/>
      <w:r>
        <w:t>, proteomics, metabol</w:t>
      </w:r>
      <w:r>
        <w:t xml:space="preserve">omics, </w:t>
      </w:r>
      <w:proofErr w:type="spellStart"/>
      <w:r>
        <w:t>epigenomics</w:t>
      </w:r>
      <w:proofErr w:type="spellEnd"/>
      <w:r>
        <w:t xml:space="preserve">, etc.) to model complex biological systems. </w:t>
      </w:r>
    </w:p>
    <w:p w:rsidR="002E30A2" w:rsidRDefault="00C215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Upon successful completion, students will gain knowledge and skills to: </w:t>
      </w:r>
    </w:p>
    <w:p w:rsidR="002E30A2" w:rsidRDefault="00C215AB">
      <w:pPr>
        <w:numPr>
          <w:ilvl w:val="0"/>
          <w:numId w:val="3"/>
        </w:numPr>
        <w:spacing w:before="280"/>
        <w:jc w:val="both"/>
      </w:pPr>
      <w:r>
        <w:t>Describe how next-generation sequencing (NGS)-based genomics experiments are used to diagnose, predict, and treat human</w:t>
      </w:r>
      <w:r>
        <w:t xml:space="preserve"> diseases </w:t>
      </w:r>
    </w:p>
    <w:p w:rsidR="002E30A2" w:rsidRDefault="00C215AB">
      <w:pPr>
        <w:numPr>
          <w:ilvl w:val="0"/>
          <w:numId w:val="3"/>
        </w:numPr>
        <w:jc w:val="both"/>
      </w:pPr>
      <w:r>
        <w:t xml:space="preserve">Evaluate current scientific literature on genomics and communicate their findings in layman’s terms </w:t>
      </w:r>
    </w:p>
    <w:p w:rsidR="002E30A2" w:rsidRDefault="00C215AB">
      <w:pPr>
        <w:numPr>
          <w:ilvl w:val="0"/>
          <w:numId w:val="3"/>
        </w:numPr>
        <w:jc w:val="both"/>
      </w:pPr>
      <w:r>
        <w:t>Design experiments applying current genomics technologies to study genome(s) and genome function</w:t>
      </w:r>
    </w:p>
    <w:p w:rsidR="002E30A2" w:rsidRDefault="00C215AB">
      <w:pPr>
        <w:numPr>
          <w:ilvl w:val="0"/>
          <w:numId w:val="3"/>
        </w:numPr>
        <w:jc w:val="both"/>
      </w:pPr>
      <w:r>
        <w:t xml:space="preserve">Apply genomics technologies to assess the genetic risks of common and complex diseases which can guide </w:t>
      </w:r>
      <w:r>
        <w:rPr>
          <w:highlight w:val="white"/>
        </w:rPr>
        <w:t>genomics-based personalized healthcare services</w:t>
      </w:r>
    </w:p>
    <w:p w:rsidR="002E30A2" w:rsidRDefault="00C215AB">
      <w:pPr>
        <w:numPr>
          <w:ilvl w:val="0"/>
          <w:numId w:val="3"/>
        </w:numPr>
        <w:spacing w:after="280"/>
        <w:jc w:val="both"/>
      </w:pPr>
      <w:r>
        <w:rPr>
          <w:highlight w:val="white"/>
        </w:rPr>
        <w:t>Discuss and debate societal and ethical impacts resulting from advances in genomics</w:t>
      </w:r>
    </w:p>
    <w:p w:rsidR="002E30A2" w:rsidRDefault="00C215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2. Textbooks:</w:t>
      </w:r>
    </w:p>
    <w:p w:rsidR="002E30A2" w:rsidRDefault="00C215AB">
      <w:pPr>
        <w:numPr>
          <w:ilvl w:val="0"/>
          <w:numId w:val="2"/>
        </w:numPr>
      </w:pPr>
      <w:r>
        <w:t>Genomes</w:t>
      </w:r>
      <w:r>
        <w:t>, TA Brown, 3</w:t>
      </w:r>
      <w:r>
        <w:rPr>
          <w:vertAlign w:val="superscript"/>
        </w:rPr>
        <w:t>rd</w:t>
      </w:r>
      <w:r>
        <w:t xml:space="preserve"> Edition, Garland Science Publishing </w:t>
      </w:r>
    </w:p>
    <w:p w:rsidR="002E30A2" w:rsidRDefault="00C215AB">
      <w:pPr>
        <w:numPr>
          <w:ilvl w:val="0"/>
          <w:numId w:val="2"/>
        </w:numPr>
      </w:pPr>
      <w:r>
        <w:t xml:space="preserve">Introduction to Genomics, Arthur M. </w:t>
      </w:r>
      <w:proofErr w:type="spellStart"/>
      <w:r>
        <w:t>Lesk</w:t>
      </w:r>
      <w:proofErr w:type="spellEnd"/>
      <w:r>
        <w:t>, 2</w:t>
      </w:r>
      <w:r>
        <w:rPr>
          <w:vertAlign w:val="superscript"/>
        </w:rPr>
        <w:t>nd</w:t>
      </w:r>
      <w:r>
        <w:t xml:space="preserve"> Edition. Oxford University Press.</w:t>
      </w:r>
    </w:p>
    <w:p w:rsidR="002E30A2" w:rsidRDefault="002E30A2">
      <w:pPr>
        <w:jc w:val="both"/>
        <w:rPr>
          <w:b/>
        </w:rPr>
      </w:pPr>
    </w:p>
    <w:p w:rsidR="002E30A2" w:rsidRDefault="00C215AB">
      <w:pPr>
        <w:jc w:val="both"/>
        <w:rPr>
          <w:b/>
        </w:rPr>
      </w:pPr>
      <w:r>
        <w:rPr>
          <w:b/>
        </w:rPr>
        <w:t>3. Reference books</w:t>
      </w:r>
    </w:p>
    <w:p w:rsidR="002E30A2" w:rsidRDefault="00C215AB">
      <w:pPr>
        <w:numPr>
          <w:ilvl w:val="0"/>
          <w:numId w:val="1"/>
        </w:numPr>
      </w:pPr>
      <w:r>
        <w:t>Microbial Genome Methods, Kenneth W Adolph, CRC Press.</w:t>
      </w:r>
    </w:p>
    <w:p w:rsidR="002E30A2" w:rsidRDefault="00C215AB">
      <w:pPr>
        <w:numPr>
          <w:ilvl w:val="0"/>
          <w:numId w:val="1"/>
        </w:numPr>
      </w:pPr>
      <w:r>
        <w:t xml:space="preserve">Genome Analysis, A Laboratory Manual, Vol. 4, Mapping Genomes, Bruce </w:t>
      </w:r>
      <w:proofErr w:type="spellStart"/>
      <w:r>
        <w:t>Birren</w:t>
      </w:r>
      <w:proofErr w:type="spellEnd"/>
      <w:r>
        <w:t>, Cold Spring Harbor Laboratory Press.</w:t>
      </w:r>
    </w:p>
    <w:p w:rsidR="002E30A2" w:rsidRDefault="002E30A2">
      <w:pPr>
        <w:jc w:val="both"/>
        <w:rPr>
          <w:b/>
        </w:rPr>
      </w:pPr>
    </w:p>
    <w:p w:rsidR="002E30A2" w:rsidRDefault="00C215AB">
      <w:pPr>
        <w:jc w:val="both"/>
        <w:rPr>
          <w:b/>
        </w:rPr>
      </w:pPr>
      <w:r>
        <w:rPr>
          <w:b/>
        </w:rPr>
        <w:t>4. Course Plan:</w:t>
      </w:r>
    </w:p>
    <w:tbl>
      <w:tblPr>
        <w:tblStyle w:val="a1"/>
        <w:tblW w:w="102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551"/>
        <w:gridCol w:w="4811"/>
        <w:gridCol w:w="1718"/>
      </w:tblGrid>
      <w:tr w:rsidR="002E30A2">
        <w:trPr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1-6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rPr>
                <w:b/>
              </w:rPr>
              <w:t>Studying Genomes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</w:pPr>
            <w:r>
              <w:t xml:space="preserve">Genomes, Transcriptomes and Proteomes, Studying DNA and RNA, Understanding a Genome Sequence, Understanding How a Genome Functions, Concept of </w:t>
            </w:r>
            <w:proofErr w:type="spellStart"/>
            <w:r>
              <w:t>Epigenome</w:t>
            </w:r>
            <w:proofErr w:type="spellEnd"/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T1: Ch. 1-6 and Class notes</w:t>
            </w: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7-10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rPr>
                <w:b/>
              </w:rPr>
              <w:t>Genome Anatomies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</w:pPr>
            <w:r>
              <w:t>Eukaryotic Nuclear Genomes, Genomes of Prokaryotes and Eukaryotic Organelles, Virus Genomes and Mobile Genetic Elements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T1: Ch. 7-9 &amp; Class notes</w:t>
            </w: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11-16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How Genomes Replicate and Evolve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  <w:rPr>
                <w:color w:val="000000"/>
              </w:rPr>
            </w:pPr>
            <w:r>
              <w:t>Genome Replication, Mutations and DNA Repair, Recombination, How Genom</w:t>
            </w:r>
            <w:r>
              <w:t xml:space="preserve">es Evolve, Molecular </w:t>
            </w:r>
            <w:proofErr w:type="spellStart"/>
            <w:r>
              <w:t>Phylogenetics</w:t>
            </w:r>
            <w:proofErr w:type="spellEnd"/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T1: Ch. 15-19 &amp; Class notes</w:t>
            </w: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17-25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How Genomes Function</w:t>
            </w:r>
          </w:p>
          <w:p w:rsidR="002E30A2" w:rsidRDefault="002E30A2">
            <w:pPr>
              <w:jc w:val="center"/>
              <w:rPr>
                <w:b/>
              </w:rPr>
            </w:pP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  <w:rPr>
                <w:color w:val="000000"/>
              </w:rPr>
            </w:pPr>
            <w:r>
              <w:t>Accessing the Genome, Assembly of the Transcription Initiation Complex, Synthesis and Processing of RNA, Regulation of Genome Activity including Epigenetic Regulati</w:t>
            </w:r>
            <w:r>
              <w:t xml:space="preserve">on, Synthesis and Processing of the Proteome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T1: Ch. 10-14 &amp; Class notes</w:t>
            </w:r>
          </w:p>
          <w:p w:rsidR="002E30A2" w:rsidRDefault="002E30A2">
            <w:pPr>
              <w:jc w:val="center"/>
            </w:pP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26-31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rPr>
                <w:b/>
              </w:rPr>
            </w:pPr>
            <w:r>
              <w:rPr>
                <w:b/>
              </w:rPr>
              <w:t>Mapping, Sequencing and Interpreting Genome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Human genome project, Genome sequencing techniques and approaches, Next-generation sequencing, </w:t>
            </w:r>
            <w:r>
              <w:t xml:space="preserve">Techniques to study genome function and </w:t>
            </w:r>
            <w:proofErr w:type="spellStart"/>
            <w:r>
              <w:t>epigenome</w:t>
            </w:r>
            <w:proofErr w:type="spellEnd"/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 xml:space="preserve">Class notes </w:t>
            </w:r>
          </w:p>
        </w:tc>
      </w:tr>
      <w:tr w:rsidR="002E30A2">
        <w:trPr>
          <w:trHeight w:val="576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32-35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rPr>
                <w:b/>
              </w:rPr>
              <w:t>Genome Variation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Types of variation between human genomes- SNPs, </w:t>
            </w:r>
            <w:proofErr w:type="spellStart"/>
            <w:r>
              <w:rPr>
                <w:color w:val="000000"/>
              </w:rPr>
              <w:t>indels</w:t>
            </w:r>
            <w:proofErr w:type="spellEnd"/>
            <w:r>
              <w:rPr>
                <w:color w:val="000000"/>
              </w:rPr>
              <w:t>, CNVs, etc., pathogenic DNA variants, Detection and analysis of genetic variations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Class notes</w:t>
            </w:r>
          </w:p>
        </w:tc>
      </w:tr>
      <w:tr w:rsidR="002E30A2">
        <w:trPr>
          <w:trHeight w:val="408"/>
          <w:jc w:val="center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36-40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Systems biol</w:t>
            </w:r>
            <w:r>
              <w:rPr>
                <w:b/>
              </w:rPr>
              <w:t>ogy</w:t>
            </w:r>
          </w:p>
        </w:tc>
        <w:tc>
          <w:tcPr>
            <w:tcW w:w="4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both"/>
            </w:pPr>
            <w:r>
              <w:t xml:space="preserve">Applications of ‘omics’ data in health and disease, WGS, GWAS, Precision medicine, Social and Ethical impacts of genomics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0A2" w:rsidRDefault="00C215AB">
            <w:pPr>
              <w:jc w:val="center"/>
            </w:pPr>
            <w:r>
              <w:t>T2: Ch. 11 &amp; Class notes</w:t>
            </w:r>
          </w:p>
        </w:tc>
      </w:tr>
    </w:tbl>
    <w:p w:rsidR="002E30A2" w:rsidRDefault="002E30A2">
      <w:pPr>
        <w:jc w:val="both"/>
      </w:pPr>
    </w:p>
    <w:p w:rsidR="002E30A2" w:rsidRDefault="00C215AB">
      <w:pPr>
        <w:jc w:val="both"/>
        <w:rPr>
          <w:b/>
        </w:rPr>
      </w:pPr>
      <w:r>
        <w:rPr>
          <w:b/>
        </w:rPr>
        <w:t>5. 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170"/>
        <w:gridCol w:w="1708"/>
        <w:gridCol w:w="2552"/>
        <w:gridCol w:w="2002"/>
      </w:tblGrid>
      <w:tr w:rsidR="002E30A2">
        <w:trPr>
          <w:trHeight w:val="422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Weightage (Marks)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E30A2" w:rsidRDefault="00C215AB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2E30A2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Mid semester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30% (60 marks)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14/03/2023 </w:t>
            </w:r>
          </w:p>
          <w:p w:rsidR="002E30A2" w:rsidRDefault="00C215AB">
            <w:pPr>
              <w:jc w:val="center"/>
            </w:pPr>
            <w:r>
              <w:t>11.30 - 1.00PM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Closed Book</w:t>
            </w:r>
          </w:p>
        </w:tc>
      </w:tr>
      <w:tr w:rsidR="002E30A2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Quizzes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Variable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20% (40 marks)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Continuous evaluation </w:t>
            </w:r>
          </w:p>
          <w:p w:rsidR="002E30A2" w:rsidRDefault="00C215AB">
            <w:pPr>
              <w:jc w:val="center"/>
            </w:pPr>
            <w:r>
              <w:t>(Quizzes will be conducted during class hours)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Closed Book</w:t>
            </w:r>
          </w:p>
        </w:tc>
      </w:tr>
      <w:tr w:rsidR="002E30A2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>Variable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10% (20 marks)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Continuous evaluation </w:t>
            </w:r>
          </w:p>
          <w:p w:rsidR="002E30A2" w:rsidRDefault="002E30A2"/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Open Book</w:t>
            </w:r>
          </w:p>
        </w:tc>
      </w:tr>
      <w:tr w:rsidR="002E30A2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Comprehensive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t xml:space="preserve">180 </w:t>
            </w:r>
            <w:proofErr w:type="spellStart"/>
            <w:r>
              <w:t>mins</w:t>
            </w:r>
            <w:proofErr w:type="spellEnd"/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40 % (80 marks)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10/05/2023</w:t>
            </w:r>
          </w:p>
          <w:p w:rsidR="002E30A2" w:rsidRDefault="00C215AB">
            <w:pPr>
              <w:jc w:val="center"/>
            </w:pPr>
            <w:r>
              <w:rPr>
                <w:color w:val="000000"/>
              </w:rPr>
              <w:t>AN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30A2" w:rsidRDefault="00C215AB">
            <w:pPr>
              <w:jc w:val="center"/>
            </w:pPr>
            <w:r>
              <w:rPr>
                <w:color w:val="000000"/>
              </w:rPr>
              <w:t>20% Open Book + 20% Closed Book</w:t>
            </w:r>
          </w:p>
        </w:tc>
      </w:tr>
    </w:tbl>
    <w:p w:rsidR="002E30A2" w:rsidRDefault="002E30A2">
      <w:pPr>
        <w:jc w:val="both"/>
      </w:pPr>
    </w:p>
    <w:p w:rsidR="002E30A2" w:rsidRDefault="00C215AB">
      <w:pPr>
        <w:jc w:val="both"/>
      </w:pPr>
      <w:bookmarkStart w:id="0" w:name="_heading=h.gjdgxs" w:colFirst="0" w:colLast="0"/>
      <w:bookmarkEnd w:id="0"/>
      <w:r>
        <w:rPr>
          <w:b/>
        </w:rPr>
        <w:lastRenderedPageBreak/>
        <w:t>6. Chamber Consultation Hour:</w:t>
      </w:r>
      <w:r>
        <w:t xml:space="preserve"> The specific timings and logistics of consultation will be provided after discussion with the students.</w:t>
      </w:r>
    </w:p>
    <w:p w:rsidR="002E30A2" w:rsidRDefault="002E30A2">
      <w:pPr>
        <w:jc w:val="both"/>
      </w:pPr>
    </w:p>
    <w:p w:rsidR="002E30A2" w:rsidRDefault="00C215AB">
      <w:pPr>
        <w:jc w:val="both"/>
      </w:pPr>
      <w:r>
        <w:rPr>
          <w:b/>
        </w:rPr>
        <w:t>7. Notices:</w:t>
      </w:r>
      <w:r>
        <w:t xml:space="preserve"> Notices will be displayed on the course pages of CMS or through email. </w:t>
      </w:r>
    </w:p>
    <w:p w:rsidR="002E30A2" w:rsidRDefault="002E30A2">
      <w:pPr>
        <w:ind w:left="1800" w:hanging="1800"/>
        <w:jc w:val="both"/>
        <w:rPr>
          <w:b/>
        </w:rPr>
      </w:pPr>
    </w:p>
    <w:p w:rsidR="002E30A2" w:rsidRDefault="00C215AB">
      <w:pPr>
        <w:jc w:val="both"/>
      </w:pPr>
      <w:bookmarkStart w:id="1" w:name="_heading=h.30j0zll" w:colFirst="0" w:colLast="0"/>
      <w:bookmarkEnd w:id="1"/>
      <w:r>
        <w:rPr>
          <w:b/>
        </w:rPr>
        <w:t>8. Make-up Policy:</w:t>
      </w:r>
      <w:r>
        <w:t xml:space="preserve"> Prior permission has to be obtained from the I</w:t>
      </w:r>
      <w:r>
        <w:t>nstructor-in-Charge for make-ups. No make-up for assignments.</w:t>
      </w:r>
    </w:p>
    <w:p w:rsidR="002E30A2" w:rsidRDefault="002E30A2">
      <w:pPr>
        <w:jc w:val="both"/>
        <w:rPr>
          <w:b/>
        </w:rPr>
      </w:pPr>
    </w:p>
    <w:p w:rsidR="002E30A2" w:rsidRDefault="00C215AB">
      <w:pPr>
        <w:jc w:val="both"/>
      </w:pPr>
      <w:r>
        <w:rPr>
          <w:b/>
        </w:rPr>
        <w:t xml:space="preserve">9. Academic Honesty and Integrity Policy: </w:t>
      </w:r>
      <w:r>
        <w:t>All the students are required to maintain</w:t>
      </w:r>
      <w:r>
        <w:rPr>
          <w:b/>
        </w:rPr>
        <w:t xml:space="preserve"> </w:t>
      </w:r>
      <w:r>
        <w:t>academic honesty and integrity throughout the semester and academic dishonesty in any form is unacceptable</w:t>
      </w:r>
      <w:r>
        <w:rPr>
          <w:color w:val="FF0000"/>
        </w:rPr>
        <w:t>.</w:t>
      </w:r>
      <w:r>
        <w:t xml:space="preserve"> </w:t>
      </w:r>
    </w:p>
    <w:p w:rsidR="002E30A2" w:rsidRDefault="002E30A2">
      <w:pPr>
        <w:jc w:val="both"/>
      </w:pPr>
    </w:p>
    <w:p w:rsidR="002E30A2" w:rsidRDefault="00C215AB">
      <w:pPr>
        <w:jc w:val="both"/>
      </w:pPr>
      <w:r>
        <w:t>It is highly desirable that you attend the lectures regularly for better understanding of the course content. Obtaining feedback from students is a significant means for instructors to improve their teaching. Therefore, you are encouraged to provide const</w:t>
      </w:r>
      <w:r>
        <w:t xml:space="preserve">ructive feedback about the course and presentation to the instructor on a regular basis to enhance your learning experience. </w:t>
      </w:r>
    </w:p>
    <w:p w:rsidR="002E30A2" w:rsidRDefault="002E30A2">
      <w:pPr>
        <w:jc w:val="both"/>
      </w:pPr>
    </w:p>
    <w:p w:rsidR="002E30A2" w:rsidRDefault="002E30A2">
      <w:pPr>
        <w:pStyle w:val="Heading3"/>
        <w:jc w:val="right"/>
      </w:pPr>
    </w:p>
    <w:p w:rsidR="002E30A2" w:rsidRDefault="00C215AB">
      <w:pPr>
        <w:pStyle w:val="Heading3"/>
        <w:jc w:val="right"/>
      </w:pPr>
      <w:r>
        <w:t>Instructor-in-Charge</w:t>
      </w:r>
    </w:p>
    <w:p w:rsidR="002E30A2" w:rsidRDefault="00C215A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2" w:name="_GoBack"/>
      <w:bookmarkEnd w:id="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</w:p>
    <w:sectPr w:rsidR="002E30A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AB" w:rsidRDefault="00C215AB">
      <w:r>
        <w:separator/>
      </w:r>
    </w:p>
  </w:endnote>
  <w:endnote w:type="continuationSeparator" w:id="0">
    <w:p w:rsidR="00C215AB" w:rsidRDefault="00C2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A2" w:rsidRDefault="00C215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6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AB" w:rsidRDefault="00C215AB">
      <w:r>
        <w:separator/>
      </w:r>
    </w:p>
  </w:footnote>
  <w:footnote w:type="continuationSeparator" w:id="0">
    <w:p w:rsidR="00C215AB" w:rsidRDefault="00C2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A2" w:rsidRDefault="002E30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76F60"/>
    <w:multiLevelType w:val="multilevel"/>
    <w:tmpl w:val="EFAE8E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57E671F"/>
    <w:multiLevelType w:val="multilevel"/>
    <w:tmpl w:val="CA26C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5BFC"/>
    <w:multiLevelType w:val="multilevel"/>
    <w:tmpl w:val="5680F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A2"/>
    <w:rsid w:val="002E30A2"/>
    <w:rsid w:val="0068756E"/>
    <w:rsid w:val="00C2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1930"/>
  <w15:docId w15:val="{79364886-9CC8-4AD6-9302-0B35B9D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B2F06"/>
    <w:rPr>
      <w:sz w:val="24"/>
      <w:szCs w:val="24"/>
      <w:lang w:val="en-US" w:eastAsia="en-US"/>
    </w:rPr>
  </w:style>
  <w:style w:type="character" w:styleId="Hyperlink">
    <w:name w:val="Hyperlink"/>
    <w:semiHidden/>
    <w:rsid w:val="00745B9C"/>
    <w:rPr>
      <w:rFonts w:ascii="Verdana" w:hAnsi="Verdana" w:hint="default"/>
      <w:color w:val="003399"/>
      <w:u w:val="single"/>
    </w:rPr>
  </w:style>
  <w:style w:type="character" w:styleId="Strong">
    <w:name w:val="Strong"/>
    <w:qFormat/>
    <w:rsid w:val="00745B9C"/>
    <w:rPr>
      <w:b/>
      <w:bCs/>
    </w:rPr>
  </w:style>
  <w:style w:type="paragraph" w:styleId="NoSpacing">
    <w:name w:val="No Spacing"/>
    <w:uiPriority w:val="1"/>
    <w:qFormat/>
    <w:rsid w:val="00745B9C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25D4E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037C26"/>
    <w:rPr>
      <w:i/>
      <w:iCs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rgoEttKeY21z1AhA7luJMB7Uw==">AMUW2mWAYRjqkyDwmwRusaapenbtH4pV4iSNwHNzu5cPuVGUNAwwk7REGY/ikcUV8N0DMoBL5CRwXu6+j2jPL77nBMz4IkJ0wPX/E69HkzWGrr9389gswjDDUeJbz0M5F1Hih5tCL+Ks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2023-01-10T05:25:00Z</dcterms:created>
  <dcterms:modified xsi:type="dcterms:W3CDTF">2023-01-16T04:53:00Z</dcterms:modified>
</cp:coreProperties>
</file>