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EB5" w:rsidRDefault="002E4DB6">
      <w:pPr>
        <w:ind w:left="0" w:hanging="2"/>
        <w:jc w:val="center"/>
      </w:pPr>
      <w:r>
        <w:rPr>
          <w:b/>
          <w:noProof/>
          <w:lang w:val="en-IN" w:eastAsia="en-IN"/>
        </w:rPr>
        <w:drawing>
          <wp:inline distT="0" distB="0" distL="114300" distR="114300">
            <wp:extent cx="4925695" cy="1017270"/>
            <wp:effectExtent l="0" t="0" r="0" b="0"/>
            <wp:docPr id="10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25695" cy="1017270"/>
                    </a:xfrm>
                    <a:prstGeom prst="rect">
                      <a:avLst/>
                    </a:prstGeom>
                    <a:ln/>
                  </pic:spPr>
                </pic:pic>
              </a:graphicData>
            </a:graphic>
          </wp:inline>
        </w:drawing>
      </w:r>
    </w:p>
    <w:p w:rsidR="008F4EB5" w:rsidRDefault="002E4DB6">
      <w:pPr>
        <w:ind w:left="0" w:hanging="2"/>
        <w:jc w:val="center"/>
      </w:pPr>
      <w:r>
        <w:rPr>
          <w:b/>
        </w:rPr>
        <w:t>SECOND SEMESTER 2022-23</w:t>
      </w:r>
    </w:p>
    <w:p w:rsidR="008F4EB5" w:rsidRDefault="002E4DB6">
      <w:pPr>
        <w:pStyle w:val="Heading1"/>
        <w:ind w:left="0" w:hanging="2"/>
        <w:jc w:val="center"/>
      </w:pPr>
      <w:r>
        <w:t>Course Handout Part II</w:t>
      </w:r>
    </w:p>
    <w:p w:rsidR="008F4EB5" w:rsidRDefault="002E4DB6">
      <w:pPr>
        <w:ind w:left="0" w:hanging="2"/>
        <w:jc w:val="right"/>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9C368C">
        <w:t xml:space="preserve">    Date: 16</w:t>
      </w:r>
      <w:r>
        <w:t xml:space="preserve">-01-2023 </w:t>
      </w:r>
    </w:p>
    <w:p w:rsidR="008F4EB5" w:rsidRDefault="008F4EB5">
      <w:pPr>
        <w:ind w:left="0" w:hanging="2"/>
        <w:jc w:val="right"/>
      </w:pPr>
    </w:p>
    <w:p w:rsidR="008F4EB5" w:rsidRDefault="002E4DB6">
      <w:pPr>
        <w:pBdr>
          <w:top w:val="nil"/>
          <w:left w:val="nil"/>
          <w:bottom w:val="nil"/>
          <w:right w:val="nil"/>
          <w:between w:val="nil"/>
        </w:pBdr>
        <w:spacing w:line="240" w:lineRule="auto"/>
        <w:ind w:left="0" w:hanging="2"/>
        <w:jc w:val="both"/>
        <w:rPr>
          <w:color w:val="000000"/>
          <w:sz w:val="20"/>
          <w:szCs w:val="20"/>
        </w:rPr>
      </w:pPr>
      <w:r>
        <w:rPr>
          <w:color w:val="000000"/>
          <w:sz w:val="20"/>
          <w:szCs w:val="20"/>
        </w:rPr>
        <w:t xml:space="preserve">In addition to </w:t>
      </w:r>
      <w:proofErr w:type="gramStart"/>
      <w:r>
        <w:rPr>
          <w:color w:val="000000"/>
          <w:sz w:val="20"/>
          <w:szCs w:val="20"/>
        </w:rPr>
        <w:t>part</w:t>
      </w:r>
      <w:proofErr w:type="gramEnd"/>
      <w:r>
        <w:rPr>
          <w:color w:val="000000"/>
          <w:sz w:val="20"/>
          <w:szCs w:val="20"/>
        </w:rPr>
        <w:t>-I (General Handout for all courses appended to the time table) this portion gives further specific details regarding the course.</w:t>
      </w:r>
    </w:p>
    <w:p w:rsidR="008F4EB5" w:rsidRDefault="008F4EB5">
      <w:pPr>
        <w:ind w:left="0" w:hanging="2"/>
      </w:pPr>
    </w:p>
    <w:p w:rsidR="008F4EB5" w:rsidRDefault="002E4DB6">
      <w:pPr>
        <w:ind w:left="0" w:hanging="2"/>
      </w:pPr>
      <w:r>
        <w:rPr>
          <w:i/>
        </w:rPr>
        <w:t>Course No.</w:t>
      </w:r>
      <w:r>
        <w:tab/>
      </w:r>
      <w:r>
        <w:tab/>
      </w:r>
      <w:r>
        <w:tab/>
        <w:t xml:space="preserve">: </w:t>
      </w:r>
      <w:r>
        <w:rPr>
          <w:i/>
        </w:rPr>
        <w:t xml:space="preserve"> </w:t>
      </w:r>
      <w:r>
        <w:t xml:space="preserve">CHE F412                                                 </w:t>
      </w:r>
      <w:r>
        <w:rPr>
          <w:color w:val="000000"/>
        </w:rPr>
        <w:t xml:space="preserve">Lecture: </w:t>
      </w:r>
      <w:proofErr w:type="gramStart"/>
      <w:r>
        <w:rPr>
          <w:color w:val="000000"/>
        </w:rPr>
        <w:t>M,W</w:t>
      </w:r>
      <w:proofErr w:type="gramEnd"/>
      <w:r>
        <w:rPr>
          <w:color w:val="000000"/>
        </w:rPr>
        <w:t xml:space="preserve">, F      10-11 AM  </w:t>
      </w:r>
    </w:p>
    <w:p w:rsidR="008F4EB5" w:rsidRDefault="002E4DB6">
      <w:pPr>
        <w:pStyle w:val="Heading2"/>
        <w:ind w:left="0" w:hanging="2"/>
        <w:rPr>
          <w:i w:val="0"/>
        </w:rPr>
      </w:pPr>
      <w:r>
        <w:t>Course Title</w:t>
      </w:r>
      <w:r>
        <w:rPr>
          <w:i w:val="0"/>
        </w:rPr>
        <w:tab/>
      </w:r>
      <w:r>
        <w:rPr>
          <w:i w:val="0"/>
        </w:rPr>
        <w:tab/>
      </w:r>
      <w:r>
        <w:rPr>
          <w:i w:val="0"/>
        </w:rPr>
        <w:tab/>
        <w:t xml:space="preserve">:  PROCESS EQUIPMENT DESIGN         </w:t>
      </w:r>
      <w:r>
        <w:rPr>
          <w:i w:val="0"/>
          <w:color w:val="000000"/>
        </w:rPr>
        <w:t>Room no:                 F 204</w:t>
      </w:r>
    </w:p>
    <w:p w:rsidR="008F4EB5" w:rsidRDefault="002E4DB6">
      <w:pPr>
        <w:pStyle w:val="Heading2"/>
        <w:ind w:left="0" w:hanging="2"/>
        <w:rPr>
          <w:i w:val="0"/>
        </w:rPr>
      </w:pPr>
      <w:r>
        <w:t>Instructor-in-Charge</w:t>
      </w:r>
      <w:r>
        <w:rPr>
          <w:i w:val="0"/>
        </w:rPr>
        <w:tab/>
      </w:r>
      <w:r>
        <w:rPr>
          <w:i w:val="0"/>
        </w:rPr>
        <w:tab/>
        <w:t xml:space="preserve">:  Dr. Ramesh </w:t>
      </w:r>
      <w:proofErr w:type="spellStart"/>
      <w:r>
        <w:rPr>
          <w:i w:val="0"/>
        </w:rPr>
        <w:t>Adusumalli</w:t>
      </w:r>
      <w:proofErr w:type="spellEnd"/>
    </w:p>
    <w:p w:rsidR="008F4EB5" w:rsidRDefault="008F4EB5">
      <w:pPr>
        <w:ind w:left="0" w:hanging="2"/>
      </w:pPr>
    </w:p>
    <w:p w:rsidR="008F4EB5" w:rsidRDefault="002E4DB6">
      <w:pPr>
        <w:numPr>
          <w:ilvl w:val="0"/>
          <w:numId w:val="3"/>
        </w:numPr>
        <w:tabs>
          <w:tab w:val="left" w:pos="180"/>
          <w:tab w:val="left" w:pos="450"/>
        </w:tabs>
        <w:ind w:left="0" w:hanging="2"/>
        <w:jc w:val="both"/>
      </w:pPr>
      <w:r>
        <w:rPr>
          <w:b/>
        </w:rPr>
        <w:t>Scope and Objective o</w:t>
      </w:r>
      <w:r>
        <w:rPr>
          <w:b/>
        </w:rPr>
        <w:t>f the Course</w:t>
      </w:r>
      <w:r>
        <w:t>: This subject will enable students to use basics of applied science in the form of mechanics, strength of materials, and selection of materials to design equipment under certain operating conditions. In a broader view, it would help the studen</w:t>
      </w:r>
      <w:r>
        <w:t>ts to understand the mechanical design of process equipment such as pressure vessel, support and calculation procedures for design of equipment like storage vessels, reactors, heat exchangers and distillation columns. It will help them to understand variou</w:t>
      </w:r>
      <w:r>
        <w:t>s design codes used for fabrication of these equipment’s and the various types of tests performed on equipment’s before and after assembly of equipment defining its capacity, reliability, and its life.</w:t>
      </w:r>
    </w:p>
    <w:p w:rsidR="008F4EB5" w:rsidRDefault="008F4EB5">
      <w:pPr>
        <w:tabs>
          <w:tab w:val="left" w:pos="180"/>
          <w:tab w:val="left" w:pos="450"/>
        </w:tabs>
        <w:ind w:left="0" w:hanging="2"/>
        <w:jc w:val="both"/>
      </w:pPr>
    </w:p>
    <w:p w:rsidR="008F4EB5" w:rsidRDefault="002E4DB6">
      <w:pPr>
        <w:numPr>
          <w:ilvl w:val="0"/>
          <w:numId w:val="3"/>
        </w:numPr>
        <w:tabs>
          <w:tab w:val="left" w:pos="180"/>
          <w:tab w:val="left" w:pos="450"/>
        </w:tabs>
        <w:ind w:left="0" w:hanging="2"/>
        <w:jc w:val="both"/>
      </w:pPr>
      <w:r>
        <w:rPr>
          <w:b/>
        </w:rPr>
        <w:t>Learning Outcomes:</w:t>
      </w:r>
    </w:p>
    <w:p w:rsidR="008F4EB5" w:rsidRDefault="002E4DB6">
      <w:pPr>
        <w:numPr>
          <w:ilvl w:val="0"/>
          <w:numId w:val="1"/>
        </w:numPr>
        <w:tabs>
          <w:tab w:val="left" w:pos="180"/>
          <w:tab w:val="left" w:pos="450"/>
        </w:tabs>
        <w:ind w:left="0" w:hanging="2"/>
        <w:jc w:val="both"/>
      </w:pPr>
      <w:r>
        <w:t>The students should be familiar wi</w:t>
      </w:r>
      <w:r>
        <w:t>th design aspects of equipment’s used in chemical industries. These aspects can be selection of materials, design of main body, flanges, gaskets and other components.</w:t>
      </w:r>
    </w:p>
    <w:p w:rsidR="008F4EB5" w:rsidRDefault="002E4DB6">
      <w:pPr>
        <w:numPr>
          <w:ilvl w:val="0"/>
          <w:numId w:val="1"/>
        </w:numPr>
        <w:tabs>
          <w:tab w:val="left" w:pos="180"/>
          <w:tab w:val="left" w:pos="450"/>
        </w:tabs>
        <w:ind w:left="0" w:hanging="2"/>
        <w:jc w:val="both"/>
      </w:pPr>
      <w:r>
        <w:t>The students should have learnt aspects of material properties especially yield stress and corrosion allowance</w:t>
      </w:r>
    </w:p>
    <w:p w:rsidR="008F4EB5" w:rsidRDefault="002E4DB6">
      <w:pPr>
        <w:numPr>
          <w:ilvl w:val="0"/>
          <w:numId w:val="1"/>
        </w:numPr>
        <w:tabs>
          <w:tab w:val="left" w:pos="180"/>
          <w:tab w:val="left" w:pos="450"/>
        </w:tabs>
        <w:ind w:left="0" w:hanging="2"/>
        <w:jc w:val="both"/>
      </w:pPr>
      <w:r>
        <w:t>Finally, the students should be skillful in handling the design aspects of new process equipment after coupling with learning outcomes of Process</w:t>
      </w:r>
      <w:r>
        <w:t xml:space="preserve"> Design Principles-1 and -2.</w:t>
      </w:r>
    </w:p>
    <w:p w:rsidR="008F4EB5" w:rsidRDefault="008F4EB5">
      <w:pPr>
        <w:ind w:left="0" w:hanging="2"/>
        <w:jc w:val="both"/>
        <w:rPr>
          <w:sz w:val="20"/>
          <w:szCs w:val="20"/>
        </w:rPr>
      </w:pPr>
    </w:p>
    <w:p w:rsidR="008F4EB5" w:rsidRDefault="002E4DB6">
      <w:pPr>
        <w:numPr>
          <w:ilvl w:val="0"/>
          <w:numId w:val="3"/>
        </w:numPr>
        <w:pBdr>
          <w:top w:val="nil"/>
          <w:left w:val="nil"/>
          <w:bottom w:val="nil"/>
          <w:right w:val="nil"/>
          <w:between w:val="nil"/>
        </w:pBdr>
        <w:spacing w:line="240" w:lineRule="auto"/>
        <w:ind w:left="0" w:hanging="2"/>
        <w:jc w:val="both"/>
        <w:rPr>
          <w:color w:val="000000"/>
        </w:rPr>
      </w:pPr>
      <w:r>
        <w:rPr>
          <w:b/>
          <w:color w:val="000000"/>
        </w:rPr>
        <w:t>Textbooks:</w:t>
      </w:r>
    </w:p>
    <w:p w:rsidR="008F4EB5" w:rsidRDefault="002E4DB6">
      <w:pPr>
        <w:numPr>
          <w:ilvl w:val="0"/>
          <w:numId w:val="4"/>
        </w:numPr>
        <w:tabs>
          <w:tab w:val="left" w:pos="180"/>
        </w:tabs>
        <w:ind w:left="0" w:hanging="2"/>
        <w:jc w:val="both"/>
      </w:pPr>
      <w:r>
        <w:t xml:space="preserve">Joshi’s Process Equipment Design by V </w:t>
      </w:r>
      <w:proofErr w:type="spellStart"/>
      <w:r>
        <w:t>V</w:t>
      </w:r>
      <w:proofErr w:type="spellEnd"/>
      <w:r>
        <w:t xml:space="preserve"> </w:t>
      </w:r>
      <w:proofErr w:type="spellStart"/>
      <w:r>
        <w:t>Mahajani</w:t>
      </w:r>
      <w:proofErr w:type="spellEnd"/>
      <w:r>
        <w:t xml:space="preserve">, SB </w:t>
      </w:r>
      <w:proofErr w:type="spellStart"/>
      <w:r>
        <w:t>Umarji</w:t>
      </w:r>
      <w:proofErr w:type="spellEnd"/>
      <w:r>
        <w:t xml:space="preserve">, McMillan Publ. India Ltd, 2009 </w:t>
      </w:r>
      <w:r>
        <w:br/>
      </w:r>
    </w:p>
    <w:p w:rsidR="008F4EB5" w:rsidRDefault="002E4DB6">
      <w:pPr>
        <w:ind w:left="0" w:hanging="2"/>
        <w:jc w:val="both"/>
      </w:pPr>
      <w:r>
        <w:rPr>
          <w:b/>
        </w:rPr>
        <w:t>Reference books</w:t>
      </w:r>
    </w:p>
    <w:p w:rsidR="008F4EB5" w:rsidRDefault="002E4DB6">
      <w:pPr>
        <w:numPr>
          <w:ilvl w:val="0"/>
          <w:numId w:val="2"/>
        </w:numPr>
        <w:ind w:left="0" w:hanging="2"/>
        <w:jc w:val="both"/>
      </w:pPr>
      <w:r>
        <w:t xml:space="preserve">Process Equipment Design by </w:t>
      </w:r>
      <w:proofErr w:type="spellStart"/>
      <w:r>
        <w:t>Shrikant</w:t>
      </w:r>
      <w:proofErr w:type="spellEnd"/>
      <w:r>
        <w:t xml:space="preserve"> </w:t>
      </w:r>
      <w:proofErr w:type="spellStart"/>
      <w:r>
        <w:t>Dawande</w:t>
      </w:r>
      <w:proofErr w:type="spellEnd"/>
      <w:r>
        <w:t xml:space="preserve">. </w:t>
      </w:r>
      <w:proofErr w:type="spellStart"/>
      <w:r>
        <w:t>Denett</w:t>
      </w:r>
      <w:proofErr w:type="spellEnd"/>
      <w:r>
        <w:t xml:space="preserve"> &amp; Co, Nagpur, 2009</w:t>
      </w:r>
    </w:p>
    <w:p w:rsidR="008F4EB5" w:rsidRDefault="002E4DB6">
      <w:pPr>
        <w:numPr>
          <w:ilvl w:val="0"/>
          <w:numId w:val="2"/>
        </w:numPr>
        <w:ind w:left="0" w:hanging="2"/>
        <w:jc w:val="both"/>
      </w:pPr>
      <w:r>
        <w:t xml:space="preserve">Chemical Engineering Design. R.K. </w:t>
      </w:r>
      <w:proofErr w:type="spellStart"/>
      <w:r>
        <w:t>Sinnott</w:t>
      </w:r>
      <w:proofErr w:type="spellEnd"/>
      <w:r>
        <w:t xml:space="preserve">, Vo1. 6, Ed 3 </w:t>
      </w:r>
      <w:proofErr w:type="gramStart"/>
      <w:r>
        <w:t xml:space="preserve">in  </w:t>
      </w:r>
      <w:proofErr w:type="spellStart"/>
      <w:r>
        <w:t>J</w:t>
      </w:r>
      <w:proofErr w:type="gramEnd"/>
      <w:r>
        <w:t>.M.Coulson</w:t>
      </w:r>
      <w:proofErr w:type="spellEnd"/>
      <w:r>
        <w:t xml:space="preserve">,  </w:t>
      </w:r>
      <w:proofErr w:type="spellStart"/>
      <w:r>
        <w:t>J.F.Richardson</w:t>
      </w:r>
      <w:proofErr w:type="spellEnd"/>
      <w:r>
        <w:t xml:space="preserve"> Chemical Engineering Series; Elsevier Butterworth – Heinemann publishers, 2000.</w:t>
      </w:r>
    </w:p>
    <w:p w:rsidR="008F4EB5" w:rsidRDefault="002E4DB6">
      <w:pPr>
        <w:numPr>
          <w:ilvl w:val="0"/>
          <w:numId w:val="2"/>
        </w:numPr>
        <w:ind w:left="0" w:hanging="2"/>
        <w:jc w:val="both"/>
      </w:pPr>
      <w:r>
        <w:t xml:space="preserve">Process equipment </w:t>
      </w:r>
      <w:proofErr w:type="gramStart"/>
      <w:r>
        <w:t>design :</w:t>
      </w:r>
      <w:proofErr w:type="gramEnd"/>
      <w:r>
        <w:t xml:space="preserve"> Vessel design by Lloyd E. Brownell and Edwin H. Young; John </w:t>
      </w:r>
      <w:r>
        <w:t>Wiley 2004</w:t>
      </w:r>
    </w:p>
    <w:p w:rsidR="008F4EB5" w:rsidRDefault="008F4EB5">
      <w:pPr>
        <w:ind w:left="0" w:hanging="2"/>
        <w:jc w:val="both"/>
        <w:rPr>
          <w:sz w:val="20"/>
          <w:szCs w:val="20"/>
        </w:rPr>
      </w:pPr>
    </w:p>
    <w:p w:rsidR="008F4EB5" w:rsidRDefault="008F4EB5">
      <w:pPr>
        <w:tabs>
          <w:tab w:val="left" w:pos="180"/>
        </w:tabs>
        <w:ind w:left="0" w:hanging="2"/>
        <w:jc w:val="both"/>
        <w:rPr>
          <w:sz w:val="20"/>
          <w:szCs w:val="20"/>
        </w:rPr>
      </w:pPr>
    </w:p>
    <w:p w:rsidR="008F4EB5" w:rsidRDefault="008F4EB5">
      <w:pPr>
        <w:tabs>
          <w:tab w:val="left" w:pos="180"/>
        </w:tabs>
        <w:ind w:left="0" w:hanging="2"/>
        <w:jc w:val="both"/>
        <w:rPr>
          <w:sz w:val="20"/>
          <w:szCs w:val="20"/>
        </w:rPr>
      </w:pPr>
    </w:p>
    <w:p w:rsidR="008F4EB5" w:rsidRDefault="008F4EB5">
      <w:pPr>
        <w:tabs>
          <w:tab w:val="left" w:pos="180"/>
        </w:tabs>
        <w:ind w:left="0" w:hanging="2"/>
        <w:jc w:val="both"/>
        <w:rPr>
          <w:sz w:val="20"/>
          <w:szCs w:val="20"/>
        </w:rPr>
      </w:pPr>
    </w:p>
    <w:p w:rsidR="008F4EB5" w:rsidRDefault="008F4EB5">
      <w:pPr>
        <w:tabs>
          <w:tab w:val="left" w:pos="180"/>
        </w:tabs>
        <w:ind w:left="0" w:hanging="2"/>
        <w:jc w:val="both"/>
        <w:rPr>
          <w:sz w:val="20"/>
          <w:szCs w:val="20"/>
        </w:rPr>
      </w:pPr>
    </w:p>
    <w:p w:rsidR="008F4EB5" w:rsidRDefault="008F4EB5">
      <w:pPr>
        <w:tabs>
          <w:tab w:val="left" w:pos="180"/>
        </w:tabs>
        <w:ind w:left="0" w:hanging="2"/>
        <w:jc w:val="both"/>
        <w:rPr>
          <w:sz w:val="20"/>
          <w:szCs w:val="20"/>
        </w:rPr>
      </w:pPr>
    </w:p>
    <w:p w:rsidR="008F4EB5" w:rsidRDefault="002E4DB6">
      <w:pPr>
        <w:numPr>
          <w:ilvl w:val="0"/>
          <w:numId w:val="2"/>
        </w:numPr>
        <w:ind w:left="0" w:hanging="2"/>
        <w:jc w:val="both"/>
      </w:pPr>
      <w:r>
        <w:rPr>
          <w:b/>
        </w:rPr>
        <w:t>Course Plan:</w:t>
      </w:r>
    </w:p>
    <w:tbl>
      <w:tblPr>
        <w:tblStyle w:val="a"/>
        <w:tblW w:w="982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745"/>
        <w:gridCol w:w="2169"/>
        <w:gridCol w:w="5868"/>
        <w:gridCol w:w="1041"/>
      </w:tblGrid>
      <w:tr w:rsidR="008F4EB5">
        <w:trPr>
          <w:jc w:val="center"/>
        </w:trPr>
        <w:tc>
          <w:tcPr>
            <w:tcW w:w="74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4EB5" w:rsidRDefault="002E4DB6">
            <w:pPr>
              <w:ind w:left="0" w:hanging="2"/>
              <w:jc w:val="center"/>
              <w:rPr>
                <w:sz w:val="22"/>
                <w:szCs w:val="22"/>
              </w:rPr>
            </w:pPr>
            <w:r>
              <w:rPr>
                <w:b/>
                <w:sz w:val="22"/>
                <w:szCs w:val="22"/>
              </w:rPr>
              <w:lastRenderedPageBreak/>
              <w:t>Lect. No.</w:t>
            </w:r>
          </w:p>
        </w:tc>
        <w:tc>
          <w:tcPr>
            <w:tcW w:w="21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4EB5" w:rsidRDefault="002E4DB6">
            <w:pPr>
              <w:ind w:left="0" w:hanging="2"/>
              <w:jc w:val="center"/>
              <w:rPr>
                <w:sz w:val="22"/>
                <w:szCs w:val="22"/>
              </w:rPr>
            </w:pPr>
            <w:r>
              <w:rPr>
                <w:b/>
                <w:sz w:val="22"/>
                <w:szCs w:val="22"/>
              </w:rPr>
              <w:t>Learning objectives</w:t>
            </w:r>
          </w:p>
        </w:tc>
        <w:tc>
          <w:tcPr>
            <w:tcW w:w="586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4EB5" w:rsidRDefault="002E4DB6">
            <w:pPr>
              <w:ind w:left="0" w:hanging="2"/>
              <w:jc w:val="center"/>
              <w:rPr>
                <w:sz w:val="22"/>
                <w:szCs w:val="22"/>
              </w:rPr>
            </w:pPr>
            <w:r>
              <w:rPr>
                <w:b/>
                <w:sz w:val="22"/>
                <w:szCs w:val="22"/>
              </w:rPr>
              <w:t>Topics to be covered</w:t>
            </w:r>
          </w:p>
        </w:tc>
        <w:tc>
          <w:tcPr>
            <w:tcW w:w="104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4EB5" w:rsidRDefault="002E4DB6">
            <w:pPr>
              <w:ind w:left="0" w:hanging="2"/>
              <w:jc w:val="center"/>
              <w:rPr>
                <w:sz w:val="22"/>
                <w:szCs w:val="22"/>
              </w:rPr>
            </w:pPr>
            <w:r>
              <w:rPr>
                <w:b/>
                <w:sz w:val="22"/>
                <w:szCs w:val="22"/>
              </w:rPr>
              <w:t>Chap. in the Text Book</w:t>
            </w:r>
          </w:p>
        </w:tc>
      </w:tr>
      <w:tr w:rsidR="008F4EB5">
        <w:trPr>
          <w:trHeight w:val="365"/>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1</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Introduction</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Basic considerations in Process Equipment Design</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1</w:t>
            </w:r>
          </w:p>
        </w:tc>
      </w:tr>
      <w:tr w:rsidR="008F4EB5">
        <w:trPr>
          <w:trHeight w:val="327"/>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2-6</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 xml:space="preserve">Materials of Construction </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Mechanical Properties, Materials of Construction (metals and nonmetals), Corrosion and its prevention, Choice of Materials including FRP</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2.1-2.4, notes</w:t>
            </w:r>
          </w:p>
        </w:tc>
      </w:tr>
      <w:tr w:rsidR="008F4EB5">
        <w:trPr>
          <w:trHeight w:val="372"/>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7- 10</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 xml:space="preserve">Design Consideration </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Stresses created due to static and dynamic loads, Design stress, Combined s</w:t>
            </w:r>
            <w:r>
              <w:rPr>
                <w:rFonts w:ascii="Arial" w:eastAsia="Arial" w:hAnsi="Arial" w:cs="Arial"/>
                <w:sz w:val="18"/>
                <w:szCs w:val="18"/>
              </w:rPr>
              <w:t>tresses and theories of failure, Fatigue, Creep, Temp. effects</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3.2, 3.3, 3.5-3.9</w:t>
            </w:r>
          </w:p>
        </w:tc>
      </w:tr>
      <w:tr w:rsidR="008F4EB5">
        <w:trPr>
          <w:trHeight w:val="408"/>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11-16</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 xml:space="preserve">Design of Pressure Vessels </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 xml:space="preserve">Pressure vessel codes, Selection of Materials, Design conditions and stresses, Design of Shell and its components like Head, Nozzle, Flanges and Gaskets. Design of reinforcement. Numerical covering the above aspects. </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5.1-5.8</w:t>
            </w:r>
          </w:p>
        </w:tc>
      </w:tr>
      <w:tr w:rsidR="008F4EB5">
        <w:trPr>
          <w:trHeight w:val="408"/>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17</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Storage Vessel</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Storage of volatile liquids, standard fixed roof storage tanks, Design of tanks, Wind Girders for open-top tanks</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7.1-7.7</w:t>
            </w:r>
          </w:p>
        </w:tc>
      </w:tr>
      <w:tr w:rsidR="008F4EB5">
        <w:trPr>
          <w:trHeight w:val="426"/>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17-20</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Design of Heat exchanger</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Design of Shell and tube heat exchanger, tubes/tube sheet, Channel/channel cover and Nozzles.  Numerica</w:t>
            </w:r>
            <w:r>
              <w:rPr>
                <w:rFonts w:ascii="Arial" w:eastAsia="Arial" w:hAnsi="Arial" w:cs="Arial"/>
                <w:sz w:val="18"/>
                <w:szCs w:val="18"/>
              </w:rPr>
              <w:t>l covering the above aspects.</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9.2-9.3</w:t>
            </w:r>
          </w:p>
        </w:tc>
      </w:tr>
      <w:tr w:rsidR="008F4EB5">
        <w:trPr>
          <w:trHeight w:val="435"/>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20-25</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Design of Distillation and absorption towers/columns</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Basic features of towers, Process engineering data, Tower/column internals, Stresses in column shell, Determination of shell thickness.  Numerical covering the above aspects.</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11.1-11.9</w:t>
            </w:r>
          </w:p>
        </w:tc>
      </w:tr>
      <w:tr w:rsidR="008F4EB5">
        <w:trPr>
          <w:trHeight w:val="425"/>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26-27</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Supports for Vessels</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 xml:space="preserve">Bracket or Lug support, Leg Support, Skirt </w:t>
            </w:r>
            <w:r>
              <w:rPr>
                <w:rFonts w:ascii="Arial" w:eastAsia="Arial" w:hAnsi="Arial" w:cs="Arial"/>
                <w:sz w:val="18"/>
                <w:szCs w:val="18"/>
              </w:rPr>
              <w:t>Support, Saddle Supports</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 xml:space="preserve">131.-13.5 </w:t>
            </w:r>
          </w:p>
        </w:tc>
      </w:tr>
      <w:tr w:rsidR="008F4EB5">
        <w:trPr>
          <w:trHeight w:val="576"/>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28-31</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Design of Reaction Vessel</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Heating systems, Jackets, Design of Vessel Shell with Channel jacket. Numerical covering the above aspects</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8.1-8.6</w:t>
            </w:r>
          </w:p>
        </w:tc>
      </w:tr>
      <w:tr w:rsidR="008F4EB5">
        <w:trPr>
          <w:trHeight w:val="576"/>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31-35</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Safety measures in Equipment design</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Analysis of Hazards, Safety measures in Equipment design, Pressure relief devices</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17.3-17.6</w:t>
            </w:r>
          </w:p>
        </w:tc>
      </w:tr>
      <w:tr w:rsidR="008F4EB5">
        <w:trPr>
          <w:trHeight w:val="426"/>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36-37</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Process flow diagrams</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 xml:space="preserve"> Process block diagram, Process flow diagram, Piping and instrumentation diagram</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18.2-18.4</w:t>
            </w:r>
          </w:p>
        </w:tc>
      </w:tr>
      <w:tr w:rsidR="008F4EB5">
        <w:trPr>
          <w:trHeight w:val="576"/>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38-40</w:t>
            </w:r>
          </w:p>
        </w:tc>
        <w:tc>
          <w:tcPr>
            <w:tcW w:w="2169"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jc w:val="center"/>
              <w:rPr>
                <w:rFonts w:ascii="Arial" w:eastAsia="Arial" w:hAnsi="Arial" w:cs="Arial"/>
                <w:sz w:val="18"/>
                <w:szCs w:val="18"/>
              </w:rPr>
            </w:pPr>
            <w:r>
              <w:rPr>
                <w:rFonts w:ascii="Arial" w:eastAsia="Arial" w:hAnsi="Arial" w:cs="Arial"/>
                <w:sz w:val="18"/>
                <w:szCs w:val="18"/>
              </w:rPr>
              <w:t>Lab tour</w:t>
            </w:r>
          </w:p>
        </w:tc>
        <w:tc>
          <w:tcPr>
            <w:tcW w:w="5868" w:type="dxa"/>
            <w:tcBorders>
              <w:top w:val="single" w:sz="6" w:space="0" w:color="000000"/>
              <w:left w:val="single" w:sz="6" w:space="0" w:color="000000"/>
              <w:bottom w:val="single" w:sz="6" w:space="0" w:color="000000"/>
              <w:right w:val="single" w:sz="6" w:space="0" w:color="000000"/>
            </w:tcBorders>
            <w:vAlign w:val="center"/>
          </w:tcPr>
          <w:p w:rsidR="008F4EB5" w:rsidRDefault="002E4DB6">
            <w:pPr>
              <w:ind w:left="0" w:hanging="2"/>
              <w:rPr>
                <w:rFonts w:ascii="Arial" w:eastAsia="Arial" w:hAnsi="Arial" w:cs="Arial"/>
                <w:sz w:val="18"/>
                <w:szCs w:val="18"/>
              </w:rPr>
            </w:pPr>
            <w:r>
              <w:rPr>
                <w:rFonts w:ascii="Arial" w:eastAsia="Arial" w:hAnsi="Arial" w:cs="Arial"/>
                <w:sz w:val="18"/>
                <w:szCs w:val="18"/>
              </w:rPr>
              <w:t xml:space="preserve">Demonstration of equipment (Rotary digester, Distillation column Shell and tube heat exchanger, </w:t>
            </w:r>
            <w:proofErr w:type="spellStart"/>
            <w:r>
              <w:rPr>
                <w:rFonts w:ascii="Arial" w:eastAsia="Arial" w:hAnsi="Arial" w:cs="Arial"/>
                <w:sz w:val="18"/>
                <w:szCs w:val="18"/>
              </w:rPr>
              <w:t>Supermass</w:t>
            </w:r>
            <w:proofErr w:type="spellEnd"/>
            <w:r>
              <w:rPr>
                <w:rFonts w:ascii="Arial" w:eastAsia="Arial" w:hAnsi="Arial" w:cs="Arial"/>
                <w:sz w:val="18"/>
                <w:szCs w:val="18"/>
              </w:rPr>
              <w:t xml:space="preserve"> </w:t>
            </w:r>
            <w:proofErr w:type="spellStart"/>
            <w:r>
              <w:rPr>
                <w:rFonts w:ascii="Arial" w:eastAsia="Arial" w:hAnsi="Arial" w:cs="Arial"/>
                <w:sz w:val="18"/>
                <w:szCs w:val="18"/>
              </w:rPr>
              <w:t>Colloider</w:t>
            </w:r>
            <w:proofErr w:type="spellEnd"/>
            <w:r>
              <w:rPr>
                <w:rFonts w:ascii="Arial" w:eastAsia="Arial" w:hAnsi="Arial" w:cs="Arial"/>
                <w:sz w:val="18"/>
                <w:szCs w:val="18"/>
              </w:rPr>
              <w:t xml:space="preserve"> and Pressure vessel)</w:t>
            </w:r>
          </w:p>
        </w:tc>
        <w:tc>
          <w:tcPr>
            <w:tcW w:w="1041" w:type="dxa"/>
            <w:tcBorders>
              <w:top w:val="single" w:sz="6" w:space="0" w:color="000000"/>
              <w:left w:val="single" w:sz="6" w:space="0" w:color="000000"/>
              <w:bottom w:val="single" w:sz="6" w:space="0" w:color="000000"/>
              <w:right w:val="single" w:sz="6" w:space="0" w:color="000000"/>
            </w:tcBorders>
            <w:vAlign w:val="center"/>
          </w:tcPr>
          <w:p w:rsidR="008F4EB5" w:rsidRDefault="008F4EB5">
            <w:pPr>
              <w:ind w:left="0" w:hanging="2"/>
              <w:jc w:val="center"/>
              <w:rPr>
                <w:rFonts w:ascii="Arial" w:eastAsia="Arial" w:hAnsi="Arial" w:cs="Arial"/>
                <w:sz w:val="18"/>
                <w:szCs w:val="18"/>
              </w:rPr>
            </w:pPr>
          </w:p>
        </w:tc>
      </w:tr>
    </w:tbl>
    <w:p w:rsidR="008F4EB5" w:rsidRDefault="002E4DB6">
      <w:pPr>
        <w:numPr>
          <w:ilvl w:val="0"/>
          <w:numId w:val="2"/>
        </w:numPr>
        <w:pBdr>
          <w:top w:val="nil"/>
          <w:left w:val="nil"/>
          <w:bottom w:val="nil"/>
          <w:right w:val="nil"/>
          <w:between w:val="nil"/>
        </w:pBdr>
        <w:spacing w:line="240" w:lineRule="auto"/>
        <w:ind w:left="0" w:hanging="2"/>
        <w:jc w:val="both"/>
        <w:rPr>
          <w:color w:val="000000"/>
          <w:sz w:val="20"/>
          <w:szCs w:val="20"/>
        </w:rPr>
      </w:pPr>
      <w:r>
        <w:rPr>
          <w:b/>
          <w:color w:val="000000"/>
          <w:sz w:val="20"/>
          <w:szCs w:val="20"/>
        </w:rPr>
        <w:t xml:space="preserve"> Evaluation Scheme:</w:t>
      </w:r>
    </w:p>
    <w:tbl>
      <w:tblPr>
        <w:tblStyle w:val="a0"/>
        <w:tblW w:w="103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18"/>
        <w:gridCol w:w="1260"/>
        <w:gridCol w:w="1440"/>
        <w:gridCol w:w="2250"/>
        <w:gridCol w:w="2646"/>
      </w:tblGrid>
      <w:tr w:rsidR="008F4EB5">
        <w:tc>
          <w:tcPr>
            <w:tcW w:w="2718"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b/>
                <w:sz w:val="20"/>
                <w:szCs w:val="20"/>
              </w:rPr>
              <w:t>Component</w:t>
            </w:r>
          </w:p>
        </w:tc>
        <w:tc>
          <w:tcPr>
            <w:tcW w:w="1260"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b/>
                <w:sz w:val="20"/>
                <w:szCs w:val="20"/>
              </w:rPr>
              <w:t>Duration</w:t>
            </w:r>
          </w:p>
        </w:tc>
        <w:tc>
          <w:tcPr>
            <w:tcW w:w="1440"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b/>
                <w:sz w:val="20"/>
                <w:szCs w:val="20"/>
              </w:rPr>
              <w:t>Weightage</w:t>
            </w:r>
          </w:p>
        </w:tc>
        <w:tc>
          <w:tcPr>
            <w:tcW w:w="2250"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b/>
                <w:sz w:val="20"/>
                <w:szCs w:val="20"/>
              </w:rPr>
              <w:t xml:space="preserve">Date   &amp; Time   </w:t>
            </w:r>
          </w:p>
        </w:tc>
        <w:tc>
          <w:tcPr>
            <w:tcW w:w="2646"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b/>
                <w:sz w:val="20"/>
                <w:szCs w:val="20"/>
              </w:rPr>
              <w:t>Remarks</w:t>
            </w:r>
          </w:p>
        </w:tc>
      </w:tr>
      <w:tr w:rsidR="008F4EB5">
        <w:tc>
          <w:tcPr>
            <w:tcW w:w="2718"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Midterm</w:t>
            </w:r>
          </w:p>
        </w:tc>
        <w:tc>
          <w:tcPr>
            <w:tcW w:w="1260"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90 min</w:t>
            </w:r>
          </w:p>
        </w:tc>
        <w:tc>
          <w:tcPr>
            <w:tcW w:w="1440"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30%</w:t>
            </w:r>
          </w:p>
        </w:tc>
        <w:tc>
          <w:tcPr>
            <w:tcW w:w="2250" w:type="dxa"/>
            <w:tcBorders>
              <w:top w:val="single" w:sz="6" w:space="0" w:color="000000"/>
              <w:left w:val="single" w:sz="6" w:space="0" w:color="000000"/>
              <w:bottom w:val="single" w:sz="6" w:space="0" w:color="000000"/>
              <w:right w:val="single" w:sz="6" w:space="0" w:color="000000"/>
            </w:tcBorders>
          </w:tcPr>
          <w:p w:rsidR="008F4EB5" w:rsidRDefault="009C368C">
            <w:pPr>
              <w:ind w:left="0" w:hanging="2"/>
              <w:rPr>
                <w:sz w:val="20"/>
                <w:szCs w:val="20"/>
              </w:rPr>
            </w:pPr>
            <w:r>
              <w:t>14/03 11.30 - 1.00PM</w:t>
            </w:r>
          </w:p>
        </w:tc>
        <w:tc>
          <w:tcPr>
            <w:tcW w:w="2646"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CB</w:t>
            </w:r>
          </w:p>
        </w:tc>
      </w:tr>
      <w:tr w:rsidR="008F4EB5">
        <w:tc>
          <w:tcPr>
            <w:tcW w:w="2718" w:type="dxa"/>
            <w:tcBorders>
              <w:top w:val="single" w:sz="6" w:space="0" w:color="000000"/>
              <w:left w:val="single" w:sz="6" w:space="0" w:color="000000"/>
              <w:bottom w:val="single" w:sz="4" w:space="0" w:color="000000"/>
              <w:right w:val="single" w:sz="6" w:space="0" w:color="000000"/>
            </w:tcBorders>
          </w:tcPr>
          <w:p w:rsidR="008F4EB5" w:rsidRDefault="002E4DB6">
            <w:pPr>
              <w:ind w:left="0" w:hanging="2"/>
              <w:jc w:val="both"/>
              <w:rPr>
                <w:sz w:val="20"/>
                <w:szCs w:val="20"/>
              </w:rPr>
            </w:pPr>
            <w:r>
              <w:rPr>
                <w:sz w:val="20"/>
                <w:szCs w:val="20"/>
              </w:rPr>
              <w:t>Surprise tests</w:t>
            </w:r>
            <w:r>
              <w:rPr>
                <w:sz w:val="20"/>
                <w:szCs w:val="20"/>
                <w:vertAlign w:val="superscript"/>
              </w:rPr>
              <w:t>1</w:t>
            </w:r>
          </w:p>
        </w:tc>
        <w:tc>
          <w:tcPr>
            <w:tcW w:w="1260" w:type="dxa"/>
            <w:tcBorders>
              <w:top w:val="single" w:sz="6" w:space="0" w:color="000000"/>
              <w:left w:val="single" w:sz="6" w:space="0" w:color="000000"/>
              <w:bottom w:val="single" w:sz="6" w:space="0" w:color="000000"/>
              <w:right w:val="single" w:sz="6" w:space="0" w:color="000000"/>
            </w:tcBorders>
          </w:tcPr>
          <w:p w:rsidR="008F4EB5" w:rsidRDefault="008F4EB5">
            <w:pPr>
              <w:ind w:left="0" w:hanging="2"/>
              <w:jc w:val="both"/>
              <w:rPr>
                <w:sz w:val="20"/>
                <w:szCs w:val="20"/>
              </w:rPr>
            </w:pPr>
          </w:p>
        </w:tc>
        <w:tc>
          <w:tcPr>
            <w:tcW w:w="1440"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15 %</w:t>
            </w:r>
          </w:p>
        </w:tc>
        <w:tc>
          <w:tcPr>
            <w:tcW w:w="2250" w:type="dxa"/>
            <w:tcBorders>
              <w:top w:val="single" w:sz="6" w:space="0" w:color="000000"/>
              <w:left w:val="single" w:sz="6" w:space="0" w:color="000000"/>
              <w:bottom w:val="single" w:sz="6" w:space="0" w:color="000000"/>
              <w:right w:val="single" w:sz="6" w:space="0" w:color="000000"/>
            </w:tcBorders>
          </w:tcPr>
          <w:p w:rsidR="008F4EB5" w:rsidRDefault="008F4EB5">
            <w:pPr>
              <w:ind w:left="0" w:hanging="2"/>
              <w:jc w:val="both"/>
              <w:rPr>
                <w:sz w:val="20"/>
                <w:szCs w:val="20"/>
              </w:rPr>
            </w:pPr>
          </w:p>
        </w:tc>
        <w:tc>
          <w:tcPr>
            <w:tcW w:w="2646"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OB</w:t>
            </w:r>
          </w:p>
        </w:tc>
      </w:tr>
      <w:tr w:rsidR="008F4EB5">
        <w:trPr>
          <w:trHeight w:val="285"/>
        </w:trPr>
        <w:tc>
          <w:tcPr>
            <w:tcW w:w="2718" w:type="dxa"/>
            <w:tcBorders>
              <w:top w:val="single" w:sz="4" w:space="0" w:color="000000"/>
              <w:left w:val="single" w:sz="6" w:space="0" w:color="000000"/>
              <w:bottom w:val="single" w:sz="4" w:space="0" w:color="000000"/>
              <w:right w:val="single" w:sz="6" w:space="0" w:color="000000"/>
            </w:tcBorders>
          </w:tcPr>
          <w:p w:rsidR="008F4EB5" w:rsidRDefault="002E4DB6">
            <w:pPr>
              <w:ind w:left="0" w:hanging="2"/>
              <w:rPr>
                <w:sz w:val="20"/>
                <w:szCs w:val="20"/>
              </w:rPr>
            </w:pPr>
            <w:r>
              <w:rPr>
                <w:sz w:val="20"/>
                <w:szCs w:val="20"/>
              </w:rPr>
              <w:t>Seminars</w:t>
            </w:r>
            <w:r>
              <w:rPr>
                <w:sz w:val="20"/>
                <w:szCs w:val="20"/>
                <w:vertAlign w:val="superscript"/>
              </w:rPr>
              <w:t>2</w:t>
            </w:r>
            <w:r>
              <w:rPr>
                <w:sz w:val="20"/>
                <w:szCs w:val="20"/>
              </w:rPr>
              <w:t xml:space="preserve"> </w:t>
            </w:r>
          </w:p>
        </w:tc>
        <w:tc>
          <w:tcPr>
            <w:tcW w:w="1260" w:type="dxa"/>
            <w:tcBorders>
              <w:top w:val="single" w:sz="4" w:space="0" w:color="000000"/>
              <w:left w:val="single" w:sz="6" w:space="0" w:color="000000"/>
              <w:bottom w:val="single" w:sz="4" w:space="0" w:color="000000"/>
              <w:right w:val="single" w:sz="6" w:space="0" w:color="000000"/>
            </w:tcBorders>
          </w:tcPr>
          <w:p w:rsidR="008F4EB5" w:rsidRDefault="008F4EB5">
            <w:pPr>
              <w:ind w:left="0" w:hanging="2"/>
              <w:jc w:val="both"/>
              <w:rPr>
                <w:sz w:val="20"/>
                <w:szCs w:val="20"/>
              </w:rPr>
            </w:pPr>
          </w:p>
        </w:tc>
        <w:tc>
          <w:tcPr>
            <w:tcW w:w="1440" w:type="dxa"/>
            <w:tcBorders>
              <w:top w:val="single" w:sz="4" w:space="0" w:color="000000"/>
              <w:left w:val="single" w:sz="6" w:space="0" w:color="000000"/>
              <w:bottom w:val="single" w:sz="4" w:space="0" w:color="000000"/>
              <w:right w:val="single" w:sz="6" w:space="0" w:color="000000"/>
            </w:tcBorders>
          </w:tcPr>
          <w:p w:rsidR="008F4EB5" w:rsidRDefault="002E4DB6">
            <w:pPr>
              <w:ind w:left="0" w:hanging="2"/>
              <w:jc w:val="both"/>
              <w:rPr>
                <w:sz w:val="20"/>
                <w:szCs w:val="20"/>
              </w:rPr>
            </w:pPr>
            <w:r>
              <w:rPr>
                <w:sz w:val="20"/>
                <w:szCs w:val="20"/>
              </w:rPr>
              <w:t>15 %</w:t>
            </w:r>
          </w:p>
        </w:tc>
        <w:tc>
          <w:tcPr>
            <w:tcW w:w="2250" w:type="dxa"/>
            <w:tcBorders>
              <w:top w:val="single" w:sz="4" w:space="0" w:color="000000"/>
              <w:left w:val="single" w:sz="6" w:space="0" w:color="000000"/>
              <w:bottom w:val="single" w:sz="4" w:space="0" w:color="000000"/>
              <w:right w:val="single" w:sz="6" w:space="0" w:color="000000"/>
            </w:tcBorders>
          </w:tcPr>
          <w:p w:rsidR="008F4EB5" w:rsidRDefault="008F4EB5">
            <w:pPr>
              <w:ind w:left="0" w:hanging="2"/>
              <w:jc w:val="both"/>
              <w:rPr>
                <w:sz w:val="20"/>
                <w:szCs w:val="20"/>
              </w:rPr>
            </w:pPr>
          </w:p>
        </w:tc>
        <w:tc>
          <w:tcPr>
            <w:tcW w:w="2646" w:type="dxa"/>
            <w:tcBorders>
              <w:top w:val="single" w:sz="4"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OB</w:t>
            </w:r>
          </w:p>
        </w:tc>
      </w:tr>
      <w:tr w:rsidR="008F4EB5">
        <w:tc>
          <w:tcPr>
            <w:tcW w:w="2718" w:type="dxa"/>
            <w:tcBorders>
              <w:top w:val="single" w:sz="4"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Comprehensive Exam.</w:t>
            </w:r>
          </w:p>
        </w:tc>
        <w:tc>
          <w:tcPr>
            <w:tcW w:w="1260" w:type="dxa"/>
            <w:tcBorders>
              <w:top w:val="single" w:sz="4"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3 hours</w:t>
            </w:r>
          </w:p>
        </w:tc>
        <w:tc>
          <w:tcPr>
            <w:tcW w:w="1440" w:type="dxa"/>
            <w:tcBorders>
              <w:top w:val="single" w:sz="4"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 xml:space="preserve">40 %    </w:t>
            </w:r>
          </w:p>
        </w:tc>
        <w:tc>
          <w:tcPr>
            <w:tcW w:w="2250" w:type="dxa"/>
            <w:tcBorders>
              <w:top w:val="single" w:sz="4" w:space="0" w:color="000000"/>
              <w:left w:val="single" w:sz="6" w:space="0" w:color="000000"/>
              <w:bottom w:val="single" w:sz="6" w:space="0" w:color="000000"/>
              <w:right w:val="single" w:sz="6" w:space="0" w:color="000000"/>
            </w:tcBorders>
          </w:tcPr>
          <w:p w:rsidR="008F4EB5" w:rsidRDefault="009C368C">
            <w:pPr>
              <w:ind w:left="0" w:hanging="2"/>
              <w:jc w:val="both"/>
              <w:rPr>
                <w:sz w:val="20"/>
                <w:szCs w:val="20"/>
              </w:rPr>
            </w:pPr>
            <w:r>
              <w:t>10/05 AN</w:t>
            </w:r>
            <w:bookmarkStart w:id="0" w:name="_GoBack"/>
            <w:bookmarkEnd w:id="0"/>
          </w:p>
        </w:tc>
        <w:tc>
          <w:tcPr>
            <w:tcW w:w="2646" w:type="dxa"/>
            <w:tcBorders>
              <w:top w:val="single" w:sz="6" w:space="0" w:color="000000"/>
              <w:left w:val="single" w:sz="6" w:space="0" w:color="000000"/>
              <w:bottom w:val="single" w:sz="6" w:space="0" w:color="000000"/>
              <w:right w:val="single" w:sz="6" w:space="0" w:color="000000"/>
            </w:tcBorders>
          </w:tcPr>
          <w:p w:rsidR="008F4EB5" w:rsidRDefault="002E4DB6">
            <w:pPr>
              <w:ind w:left="0" w:hanging="2"/>
              <w:jc w:val="both"/>
              <w:rPr>
                <w:sz w:val="20"/>
                <w:szCs w:val="20"/>
              </w:rPr>
            </w:pPr>
            <w:r>
              <w:rPr>
                <w:sz w:val="20"/>
                <w:szCs w:val="20"/>
              </w:rPr>
              <w:t xml:space="preserve">OB (1.5 </w:t>
            </w:r>
            <w:proofErr w:type="spellStart"/>
            <w:r>
              <w:rPr>
                <w:sz w:val="20"/>
                <w:szCs w:val="20"/>
              </w:rPr>
              <w:t>hr</w:t>
            </w:r>
            <w:proofErr w:type="spellEnd"/>
            <w:r>
              <w:rPr>
                <w:sz w:val="20"/>
                <w:szCs w:val="20"/>
              </w:rPr>
              <w:t>, 20%) + CB (20%)</w:t>
            </w:r>
          </w:p>
        </w:tc>
      </w:tr>
    </w:tbl>
    <w:p w:rsidR="008F4EB5" w:rsidRDefault="002E4DB6">
      <w:pPr>
        <w:ind w:left="0" w:hanging="2"/>
        <w:rPr>
          <w:sz w:val="20"/>
          <w:szCs w:val="20"/>
        </w:rPr>
      </w:pPr>
      <w:r>
        <w:rPr>
          <w:sz w:val="20"/>
          <w:szCs w:val="20"/>
          <w:vertAlign w:val="superscript"/>
        </w:rPr>
        <w:t>1</w:t>
      </w:r>
      <w:r>
        <w:rPr>
          <w:sz w:val="20"/>
          <w:szCs w:val="20"/>
        </w:rPr>
        <w:t>Total three surprise tests will be conducted. Best two will be taken for 15 % weightage.</w:t>
      </w:r>
    </w:p>
    <w:p w:rsidR="008F4EB5" w:rsidRDefault="002E4DB6">
      <w:pPr>
        <w:ind w:left="0" w:hanging="2"/>
        <w:jc w:val="both"/>
        <w:rPr>
          <w:sz w:val="20"/>
          <w:szCs w:val="20"/>
        </w:rPr>
      </w:pPr>
      <w:r>
        <w:rPr>
          <w:sz w:val="20"/>
          <w:szCs w:val="20"/>
          <w:vertAlign w:val="superscript"/>
        </w:rPr>
        <w:t>2</w:t>
      </w:r>
      <w:r>
        <w:rPr>
          <w:sz w:val="20"/>
          <w:szCs w:val="20"/>
        </w:rPr>
        <w:t xml:space="preserve">Seminar topics will be given for those who maintains 50 % attendance. </w:t>
      </w:r>
    </w:p>
    <w:p w:rsidR="008F4EB5" w:rsidRDefault="008F4EB5">
      <w:pPr>
        <w:ind w:left="0" w:hanging="2"/>
        <w:jc w:val="both"/>
        <w:rPr>
          <w:sz w:val="20"/>
          <w:szCs w:val="20"/>
        </w:rPr>
      </w:pPr>
    </w:p>
    <w:p w:rsidR="008F4EB5" w:rsidRDefault="002E4DB6">
      <w:pPr>
        <w:ind w:left="0" w:hanging="2"/>
        <w:jc w:val="both"/>
        <w:rPr>
          <w:sz w:val="20"/>
          <w:szCs w:val="20"/>
        </w:rPr>
      </w:pPr>
      <w:r>
        <w:rPr>
          <w:b/>
          <w:sz w:val="20"/>
          <w:szCs w:val="20"/>
        </w:rPr>
        <w:t>7</w:t>
      </w:r>
      <w:r>
        <w:rPr>
          <w:sz w:val="20"/>
          <w:szCs w:val="20"/>
        </w:rPr>
        <w:t xml:space="preserve">. </w:t>
      </w:r>
      <w:r>
        <w:rPr>
          <w:b/>
          <w:sz w:val="20"/>
          <w:szCs w:val="20"/>
        </w:rPr>
        <w:t>Chamber Consultation Hour:</w:t>
      </w:r>
      <w:r>
        <w:rPr>
          <w:sz w:val="20"/>
          <w:szCs w:val="20"/>
        </w:rPr>
        <w:t xml:space="preserve"> To be announced later.</w:t>
      </w:r>
      <w:r>
        <w:rPr>
          <w:b/>
          <w:sz w:val="20"/>
          <w:szCs w:val="20"/>
        </w:rPr>
        <w:t xml:space="preserve"> (Chamber: D 207)</w:t>
      </w:r>
    </w:p>
    <w:p w:rsidR="008F4EB5" w:rsidRDefault="002E4DB6">
      <w:pPr>
        <w:ind w:left="0" w:hanging="2"/>
        <w:jc w:val="both"/>
        <w:rPr>
          <w:sz w:val="20"/>
          <w:szCs w:val="20"/>
        </w:rPr>
      </w:pPr>
      <w:r>
        <w:rPr>
          <w:b/>
          <w:sz w:val="20"/>
          <w:szCs w:val="20"/>
        </w:rPr>
        <w:t>8</w:t>
      </w:r>
      <w:r>
        <w:rPr>
          <w:sz w:val="20"/>
          <w:szCs w:val="20"/>
        </w:rPr>
        <w:t xml:space="preserve">. </w:t>
      </w:r>
      <w:r>
        <w:rPr>
          <w:b/>
          <w:sz w:val="20"/>
          <w:szCs w:val="20"/>
        </w:rPr>
        <w:t>Notice:</w:t>
      </w:r>
      <w:r>
        <w:rPr>
          <w:sz w:val="20"/>
          <w:szCs w:val="20"/>
        </w:rPr>
        <w:t xml:space="preserve"> Notice will be displayed on CMS </w:t>
      </w:r>
    </w:p>
    <w:p w:rsidR="008F4EB5" w:rsidRDefault="002E4DB6">
      <w:pPr>
        <w:ind w:left="0" w:hanging="2"/>
        <w:jc w:val="both"/>
        <w:rPr>
          <w:color w:val="000000"/>
          <w:sz w:val="20"/>
          <w:szCs w:val="20"/>
        </w:rPr>
      </w:pPr>
      <w:r>
        <w:rPr>
          <w:b/>
          <w:sz w:val="20"/>
          <w:szCs w:val="20"/>
        </w:rPr>
        <w:t>9. Make-up policy</w:t>
      </w:r>
      <w:r>
        <w:rPr>
          <w:sz w:val="20"/>
          <w:szCs w:val="20"/>
        </w:rPr>
        <w:t>: Make-up will be granted after he /she maintains min</w:t>
      </w:r>
      <w:r>
        <w:rPr>
          <w:sz w:val="20"/>
          <w:szCs w:val="20"/>
        </w:rPr>
        <w:t xml:space="preserve">imum 50 % attendance in the class. </w:t>
      </w:r>
      <w:r>
        <w:rPr>
          <w:color w:val="000000"/>
          <w:sz w:val="20"/>
          <w:szCs w:val="20"/>
        </w:rPr>
        <w:t xml:space="preserve">Certificate from authenticated doctor from the Medical Center must accompany make-up application and follow the guidelines for midterm and </w:t>
      </w:r>
      <w:proofErr w:type="spellStart"/>
      <w:r>
        <w:rPr>
          <w:color w:val="000000"/>
          <w:sz w:val="20"/>
          <w:szCs w:val="20"/>
        </w:rPr>
        <w:t>compre</w:t>
      </w:r>
      <w:proofErr w:type="spellEnd"/>
      <w:r>
        <w:rPr>
          <w:color w:val="000000"/>
          <w:sz w:val="20"/>
          <w:szCs w:val="20"/>
        </w:rPr>
        <w:t xml:space="preserve"> exams.</w:t>
      </w:r>
    </w:p>
    <w:p w:rsidR="008F4EB5" w:rsidRDefault="002E4DB6">
      <w:pPr>
        <w:ind w:left="0" w:hanging="2"/>
        <w:rPr>
          <w:sz w:val="20"/>
          <w:szCs w:val="20"/>
        </w:rPr>
      </w:pPr>
      <w:r>
        <w:rPr>
          <w:b/>
          <w:sz w:val="20"/>
          <w:szCs w:val="20"/>
        </w:rPr>
        <w:t>Academic Honesty and Integrity Policy:</w:t>
      </w:r>
      <w:r>
        <w:rPr>
          <w:sz w:val="20"/>
          <w:szCs w:val="20"/>
        </w:rPr>
        <w:t xml:space="preserve"> Academic honesty and integrity are to be maintained by all the students throughout the semester and no type of academic dishonesty is acceptable.</w:t>
      </w:r>
    </w:p>
    <w:p w:rsidR="008F4EB5" w:rsidRDefault="008F4EB5">
      <w:pPr>
        <w:ind w:left="0" w:hanging="2"/>
        <w:jc w:val="right"/>
        <w:rPr>
          <w:sz w:val="20"/>
          <w:szCs w:val="20"/>
        </w:rPr>
      </w:pPr>
    </w:p>
    <w:p w:rsidR="008F4EB5" w:rsidRDefault="002E4DB6">
      <w:pPr>
        <w:ind w:left="0" w:hanging="2"/>
        <w:jc w:val="right"/>
        <w:rPr>
          <w:sz w:val="20"/>
          <w:szCs w:val="20"/>
        </w:rPr>
      </w:pPr>
      <w:r>
        <w:rPr>
          <w:b/>
          <w:sz w:val="20"/>
          <w:szCs w:val="20"/>
        </w:rPr>
        <w:t xml:space="preserve">Dr. Ramesh </w:t>
      </w:r>
      <w:proofErr w:type="spellStart"/>
      <w:r>
        <w:rPr>
          <w:b/>
          <w:sz w:val="20"/>
          <w:szCs w:val="20"/>
        </w:rPr>
        <w:t>Adusumalli</w:t>
      </w:r>
      <w:proofErr w:type="spellEnd"/>
      <w:r>
        <w:rPr>
          <w:b/>
          <w:sz w:val="20"/>
          <w:szCs w:val="20"/>
        </w:rPr>
        <w:t xml:space="preserve">    </w:t>
      </w:r>
    </w:p>
    <w:p w:rsidR="008F4EB5" w:rsidRDefault="002E4DB6">
      <w:pPr>
        <w:ind w:left="0" w:hanging="2"/>
        <w:jc w:val="right"/>
        <w:rPr>
          <w:sz w:val="20"/>
          <w:szCs w:val="20"/>
        </w:rPr>
      </w:pPr>
      <w:r>
        <w:rPr>
          <w:b/>
          <w:sz w:val="20"/>
          <w:szCs w:val="20"/>
        </w:rPr>
        <w:t xml:space="preserve"> INSTRUCTOR-IN-CHARGE</w:t>
      </w:r>
    </w:p>
    <w:sectPr w:rsidR="008F4EB5">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DB6" w:rsidRDefault="002E4DB6">
      <w:pPr>
        <w:spacing w:line="240" w:lineRule="auto"/>
        <w:ind w:left="0" w:hanging="2"/>
      </w:pPr>
      <w:r>
        <w:separator/>
      </w:r>
    </w:p>
  </w:endnote>
  <w:endnote w:type="continuationSeparator" w:id="0">
    <w:p w:rsidR="002E4DB6" w:rsidRDefault="002E4DB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EB5" w:rsidRDefault="002E4DB6">
    <w:pPr>
      <w:pBdr>
        <w:top w:val="nil"/>
        <w:left w:val="nil"/>
        <w:bottom w:val="nil"/>
        <w:right w:val="nil"/>
        <w:between w:val="nil"/>
      </w:pBdr>
      <w:tabs>
        <w:tab w:val="center" w:pos="4513"/>
        <w:tab w:val="right" w:pos="9026"/>
      </w:tabs>
      <w:spacing w:line="240" w:lineRule="auto"/>
      <w:ind w:left="0" w:hanging="2"/>
      <w:rPr>
        <w:color w:val="000000"/>
      </w:rPr>
    </w:pPr>
    <w:r>
      <w:rPr>
        <w:noProof/>
        <w:color w:val="000000"/>
        <w:lang w:val="en-IN" w:eastAsia="en-IN"/>
      </w:rPr>
      <w:drawing>
        <wp:inline distT="0" distB="0" distL="114300" distR="114300">
          <wp:extent cx="1645920" cy="600710"/>
          <wp:effectExtent l="0" t="0" r="0" b="0"/>
          <wp:docPr id="10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DB6" w:rsidRDefault="002E4DB6">
      <w:pPr>
        <w:spacing w:line="240" w:lineRule="auto"/>
        <w:ind w:left="0" w:hanging="2"/>
      </w:pPr>
      <w:r>
        <w:separator/>
      </w:r>
    </w:p>
  </w:footnote>
  <w:footnote w:type="continuationSeparator" w:id="0">
    <w:p w:rsidR="002E4DB6" w:rsidRDefault="002E4DB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EB5" w:rsidRDefault="008F4EB5">
    <w:pPr>
      <w:pBdr>
        <w:top w:val="nil"/>
        <w:left w:val="nil"/>
        <w:bottom w:val="nil"/>
        <w:right w:val="nil"/>
        <w:between w:val="nil"/>
      </w:pBdr>
      <w:tabs>
        <w:tab w:val="center" w:pos="4513"/>
        <w:tab w:val="right" w:pos="9026"/>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A12D2"/>
    <w:multiLevelType w:val="multilevel"/>
    <w:tmpl w:val="8D7C791C"/>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023094A"/>
    <w:multiLevelType w:val="multilevel"/>
    <w:tmpl w:val="2F9CFE4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563C7B7E"/>
    <w:multiLevelType w:val="multilevel"/>
    <w:tmpl w:val="B1C2D0EE"/>
    <w:lvl w:ilvl="0">
      <w:start w:val="1"/>
      <w:numFmt w:val="lowerLetter"/>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F823E29"/>
    <w:multiLevelType w:val="multilevel"/>
    <w:tmpl w:val="BC7C5DD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B5"/>
    <w:rsid w:val="002E4DB6"/>
    <w:rsid w:val="008F4EB5"/>
    <w:rsid w:val="009C3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3B29"/>
  <w15:docId w15:val="{6CA0A367-7DCD-489A-AD9D-CC14099D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u w:val="single"/>
    </w:rPr>
  </w:style>
  <w:style w:type="paragraph" w:styleId="Heading2">
    <w:name w:val="heading 2"/>
    <w:basedOn w:val="Normal"/>
    <w:next w:val="Normal"/>
    <w:pPr>
      <w:keepNext/>
      <w:outlineLvl w:val="1"/>
    </w:pPr>
    <w:rPr>
      <w:i/>
      <w:iCs/>
    </w:rPr>
  </w:style>
  <w:style w:type="paragraph" w:styleId="Heading3">
    <w:name w:val="heading 3"/>
    <w:basedOn w:val="Normal"/>
    <w:next w:val="Normal"/>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BodyTextIndent">
    <w:name w:val="Body Text Indent"/>
    <w:basedOn w:val="Normal"/>
    <w:pPr>
      <w:ind w:left="900" w:hanging="540"/>
      <w:jc w:val="both"/>
    </w:pPr>
  </w:style>
  <w:style w:type="paragraph" w:styleId="BodyText2">
    <w:name w:val="Body Text 2"/>
    <w:basedOn w:val="Normal"/>
    <w:pPr>
      <w:jc w:val="both"/>
    </w:pPr>
    <w:rPr>
      <w:sz w:val="20"/>
    </w:rPr>
  </w:style>
  <w:style w:type="paragraph" w:styleId="BodyTextIndent2">
    <w:name w:val="Body Text Indent 2"/>
    <w:basedOn w:val="Normal"/>
    <w:pPr>
      <w:ind w:left="540" w:hanging="540"/>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4"/>
      <w:szCs w:val="24"/>
      <w:effect w:val="none"/>
      <w:vertAlign w:val="baseline"/>
      <w:cs w:val="0"/>
      <w:em w:val="none"/>
      <w:lang w:val="en-US" w:eastAsia="en-US"/>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paragraph" w:styleId="ListParagraph">
    <w:name w:val="List Paragraph"/>
    <w:basedOn w:val="Normal"/>
    <w:pPr>
      <w:overflowPunct w:val="0"/>
      <w:autoSpaceDE w:val="0"/>
      <w:autoSpaceDN w:val="0"/>
      <w:adjustRightInd w:val="0"/>
      <w:ind w:left="720"/>
      <w:contextualSpacing/>
      <w:textAlignment w:val="baseline"/>
    </w:pPr>
    <w:rPr>
      <w:rFonts w:ascii="Courier New" w:hAnsi="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3qygJrjw4PLgn2tKjtfoxZXlkg==">AMUW2mVjoDK6XetzeY92t3rrSO1V+SiEY3yKB2QyaymrUAM5wbCuucMHQJXJ+zW4uF+DSgh0PASAarGy28f07IEFGEoOPD9BkwmM+qpgGwfkFu6PhCETl9c=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2019-01-09T04:35:00Z</dcterms:created>
  <dcterms:modified xsi:type="dcterms:W3CDTF">2023-01-16T05:55:00Z</dcterms:modified>
</cp:coreProperties>
</file>