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8A738" w14:textId="1DCA6444" w:rsidR="00E0727A" w:rsidRPr="00D66293" w:rsidRDefault="00E41DE1">
      <w:pPr>
        <w:spacing w:before="60" w:after="60"/>
        <w:jc w:val="center"/>
        <w:rPr>
          <w:rFonts w:ascii="Times New Roman" w:eastAsia="Calibri" w:hAnsi="Times New Roman" w:cs="Times New Roman"/>
          <w:b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sz w:val="22"/>
          <w:szCs w:val="22"/>
        </w:rPr>
        <w:t>SECOND SEMESTER 202</w:t>
      </w:r>
      <w:r w:rsidR="004A281A">
        <w:rPr>
          <w:rFonts w:ascii="Times New Roman" w:eastAsia="Calibri" w:hAnsi="Times New Roman" w:cs="Times New Roman"/>
          <w:b/>
          <w:sz w:val="22"/>
          <w:szCs w:val="22"/>
        </w:rPr>
        <w:t>2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>-202</w:t>
      </w:r>
      <w:r w:rsidR="004A281A">
        <w:rPr>
          <w:rFonts w:ascii="Times New Roman" w:eastAsia="Calibri" w:hAnsi="Times New Roman" w:cs="Times New Roman"/>
          <w:b/>
          <w:sz w:val="22"/>
          <w:szCs w:val="22"/>
        </w:rPr>
        <w:t>3</w:t>
      </w:r>
    </w:p>
    <w:p w14:paraId="1923C7D8" w14:textId="77777777" w:rsidR="00E0727A" w:rsidRPr="00D66293" w:rsidRDefault="00E41DE1">
      <w:pPr>
        <w:spacing w:before="60" w:after="60"/>
        <w:jc w:val="center"/>
        <w:rPr>
          <w:rFonts w:ascii="Times New Roman" w:eastAsia="Calibri" w:hAnsi="Times New Roman" w:cs="Times New Roman"/>
          <w:b/>
          <w:sz w:val="22"/>
          <w:szCs w:val="22"/>
          <w:u w:val="single"/>
        </w:rPr>
      </w:pPr>
      <w:r w:rsidRPr="00D66293">
        <w:rPr>
          <w:rFonts w:ascii="Times New Roman" w:eastAsia="Calibri" w:hAnsi="Times New Roman" w:cs="Times New Roman"/>
          <w:b/>
          <w:sz w:val="22"/>
          <w:szCs w:val="22"/>
          <w:u w:val="single"/>
        </w:rPr>
        <w:t>Course Handout (Part II)</w:t>
      </w:r>
    </w:p>
    <w:p w14:paraId="0CB65B4D" w14:textId="5C36E12D" w:rsidR="00E0727A" w:rsidRPr="00D66293" w:rsidRDefault="00E41DE1">
      <w:pPr>
        <w:ind w:left="7200" w:firstLine="720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Date: </w:t>
      </w:r>
      <w:r w:rsidR="003C1CAA">
        <w:rPr>
          <w:rFonts w:ascii="Times New Roman" w:eastAsia="Calibri" w:hAnsi="Times New Roman" w:cs="Times New Roman"/>
          <w:sz w:val="22"/>
          <w:szCs w:val="22"/>
        </w:rPr>
        <w:t>1</w:t>
      </w:r>
      <w:r w:rsidR="00DD4361">
        <w:rPr>
          <w:rFonts w:ascii="Times New Roman" w:eastAsia="Calibri" w:hAnsi="Times New Roman" w:cs="Times New Roman"/>
          <w:sz w:val="22"/>
          <w:szCs w:val="22"/>
        </w:rPr>
        <w:t>6</w:t>
      </w:r>
      <w:r w:rsidRPr="00D66293">
        <w:rPr>
          <w:rFonts w:ascii="Times New Roman" w:eastAsia="Calibri" w:hAnsi="Times New Roman" w:cs="Times New Roman"/>
          <w:sz w:val="22"/>
          <w:szCs w:val="22"/>
        </w:rPr>
        <w:t>/01/202</w:t>
      </w:r>
      <w:r w:rsidR="00521862" w:rsidRPr="00D66293">
        <w:rPr>
          <w:rFonts w:ascii="Times New Roman" w:eastAsia="Calibri" w:hAnsi="Times New Roman" w:cs="Times New Roman"/>
          <w:sz w:val="22"/>
          <w:szCs w:val="22"/>
        </w:rPr>
        <w:t>3</w:t>
      </w:r>
    </w:p>
    <w:p w14:paraId="4AD9446E" w14:textId="77777777" w:rsidR="00E0727A" w:rsidRPr="00D66293" w:rsidRDefault="00E41DE1">
      <w:pPr>
        <w:ind w:left="7200" w:firstLine="720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0C23174A" w14:textId="3EBCD0BB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In addition to part -I (General Handout for all courses appended to the </w:t>
      </w:r>
      <w:r w:rsidR="00521862" w:rsidRPr="00D66293">
        <w:rPr>
          <w:rFonts w:ascii="Times New Roman" w:eastAsia="Calibri" w:hAnsi="Times New Roman" w:cs="Times New Roman"/>
          <w:sz w:val="22"/>
          <w:szCs w:val="22"/>
        </w:rPr>
        <w:t>timetable</w:t>
      </w:r>
      <w:r w:rsidRPr="00D66293">
        <w:rPr>
          <w:rFonts w:ascii="Times New Roman" w:eastAsia="Calibri" w:hAnsi="Times New Roman" w:cs="Times New Roman"/>
          <w:sz w:val="22"/>
          <w:szCs w:val="22"/>
        </w:rPr>
        <w:t>) this portion gives further specific details regarding the course.</w:t>
      </w:r>
    </w:p>
    <w:p w14:paraId="394137DE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6090C27" w14:textId="77777777" w:rsidR="00E0727A" w:rsidRPr="00D66293" w:rsidRDefault="00E41DE1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i/>
          <w:sz w:val="22"/>
          <w:szCs w:val="22"/>
        </w:rPr>
        <w:t>Course No.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 xml:space="preserve">              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ab/>
        <w:t>: CHE F419</w:t>
      </w:r>
    </w:p>
    <w:p w14:paraId="7423F919" w14:textId="77777777" w:rsidR="00E0727A" w:rsidRPr="00D66293" w:rsidRDefault="00E41DE1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i/>
          <w:sz w:val="22"/>
          <w:szCs w:val="22"/>
        </w:rPr>
        <w:t>Course Title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 xml:space="preserve">            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ab/>
        <w:t>: Chemical Process Technology</w:t>
      </w:r>
    </w:p>
    <w:p w14:paraId="2318387B" w14:textId="426364C2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i/>
          <w:sz w:val="22"/>
          <w:szCs w:val="22"/>
        </w:rPr>
        <w:t>Instructor-in-charge</w:t>
      </w:r>
      <w:r w:rsidRPr="00D66293">
        <w:rPr>
          <w:rFonts w:ascii="Times New Roman" w:eastAsia="Calibri" w:hAnsi="Times New Roman" w:cs="Times New Roman"/>
          <w:b/>
          <w:i/>
          <w:sz w:val="22"/>
          <w:szCs w:val="22"/>
        </w:rPr>
        <w:tab/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 xml:space="preserve">: </w:t>
      </w:r>
      <w:r w:rsidR="00374781" w:rsidRPr="00D66293">
        <w:rPr>
          <w:rFonts w:ascii="Times New Roman" w:eastAsia="Calibri" w:hAnsi="Times New Roman" w:cs="Times New Roman"/>
          <w:sz w:val="22"/>
          <w:szCs w:val="22"/>
        </w:rPr>
        <w:t>Ramendra Kishor Pal</w:t>
      </w:r>
    </w:p>
    <w:p w14:paraId="733B9F05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14:paraId="515088F0" w14:textId="77777777" w:rsidR="00E0727A" w:rsidRPr="00D66293" w:rsidRDefault="00E41DE1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sz w:val="22"/>
          <w:szCs w:val="22"/>
        </w:rPr>
        <w:t>1.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  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>Scope and Objective of the Course:</w:t>
      </w:r>
    </w:p>
    <w:p w14:paraId="19A23E6D" w14:textId="566B2984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The aim of the course is to study the general principles involved in Chemical manufacturing processes and their application to specific chemical industries relevant to 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 xml:space="preserve">the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Indian economy. 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 xml:space="preserve">The course will provide detailed processing (from raw materials to products)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of 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 xml:space="preserve">agrochemicals, 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>chlor</w:t>
      </w:r>
      <w:r w:rsidR="00B74CF6" w:rsidRPr="00D66293">
        <w:rPr>
          <w:rFonts w:ascii="Times New Roman" w:eastAsia="Calibri" w:hAnsi="Times New Roman" w:cs="Times New Roman"/>
          <w:sz w:val="22"/>
          <w:szCs w:val="22"/>
        </w:rPr>
        <w:t>-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 xml:space="preserve">alkali, 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 xml:space="preserve">petroleum, petrochemicals, </w:t>
      </w:r>
      <w:r w:rsidR="008E6909" w:rsidRPr="00D66293">
        <w:rPr>
          <w:rFonts w:ascii="Times New Roman" w:eastAsia="Calibri" w:hAnsi="Times New Roman" w:cs="Times New Roman"/>
          <w:sz w:val="22"/>
          <w:szCs w:val="22"/>
        </w:rPr>
        <w:t xml:space="preserve">coal-based industries, 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 xml:space="preserve">cement, synthetic polymers, paints &amp; coating, pharmaceuticals, 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>Li-ion batteries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>,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 xml:space="preserve"> green-H</w:t>
      </w:r>
      <w:r w:rsidR="002609C1" w:rsidRPr="00D66293">
        <w:rPr>
          <w:rFonts w:ascii="Times New Roman" w:eastAsia="Calibri" w:hAnsi="Times New Roman" w:cs="Times New Roman"/>
          <w:sz w:val="22"/>
          <w:szCs w:val="22"/>
          <w:vertAlign w:val="subscript"/>
        </w:rPr>
        <w:t>2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 xml:space="preserve">and </w:t>
      </w:r>
      <w:r w:rsidR="00F65755" w:rsidRPr="00D66293">
        <w:rPr>
          <w:rFonts w:ascii="Times New Roman" w:eastAsia="Calibri" w:hAnsi="Times New Roman" w:cs="Times New Roman"/>
          <w:sz w:val="22"/>
          <w:szCs w:val="22"/>
        </w:rPr>
        <w:t>silicon production for microelectronics</w:t>
      </w:r>
      <w:r w:rsidR="001B5809" w:rsidRPr="00D66293">
        <w:rPr>
          <w:rFonts w:ascii="Times New Roman" w:eastAsia="Calibri" w:hAnsi="Times New Roman" w:cs="Times New Roman"/>
          <w:sz w:val="22"/>
          <w:szCs w:val="22"/>
        </w:rPr>
        <w:t>.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Emphasis is placed on </w:t>
      </w:r>
      <w:r w:rsidRPr="00D66293">
        <w:rPr>
          <w:rFonts w:ascii="Times New Roman" w:eastAsia="Calibri" w:hAnsi="Times New Roman" w:cs="Times New Roman"/>
          <w:sz w:val="22"/>
          <w:szCs w:val="22"/>
        </w:rPr>
        <w:t>understanding the flow sheets</w:t>
      </w:r>
      <w:r w:rsidR="002609C1" w:rsidRPr="00D66293">
        <w:rPr>
          <w:rFonts w:ascii="Times New Roman" w:eastAsia="Calibri" w:hAnsi="Times New Roman" w:cs="Times New Roman"/>
          <w:sz w:val="22"/>
          <w:szCs w:val="22"/>
        </w:rPr>
        <w:t xml:space="preserve"> and troubleshooting</w:t>
      </w:r>
      <w:r w:rsidRPr="00D66293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004189E8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6D54467F" w14:textId="77777777" w:rsidR="00E0727A" w:rsidRPr="00D66293" w:rsidRDefault="00E41DE1">
      <w:pPr>
        <w:spacing w:before="180" w:after="60"/>
        <w:ind w:left="425" w:hanging="425"/>
        <w:rPr>
          <w:rFonts w:ascii="Times New Roman" w:eastAsia="Calibri" w:hAnsi="Times New Roman" w:cs="Times New Roman"/>
          <w:b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sz w:val="22"/>
          <w:szCs w:val="22"/>
        </w:rPr>
        <w:t>2. Learning Outcomes:</w:t>
      </w:r>
    </w:p>
    <w:p w14:paraId="55215F56" w14:textId="77777777" w:rsidR="00E0727A" w:rsidRPr="00D66293" w:rsidRDefault="00E41DE1" w:rsidP="0052186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Times New Roman"/>
          <w:b/>
          <w:color w:val="000000"/>
          <w:sz w:val="22"/>
          <w:szCs w:val="22"/>
        </w:rPr>
      </w:pPr>
      <w:r w:rsidRPr="00D66293">
        <w:rPr>
          <w:rFonts w:eastAsia="Calibri" w:cs="Times New Roman"/>
          <w:color w:val="000000"/>
          <w:sz w:val="22"/>
          <w:szCs w:val="22"/>
        </w:rPr>
        <w:t xml:space="preserve">Understand the Unit operations and Unit processes involved in Chemical process technologies </w:t>
      </w:r>
    </w:p>
    <w:p w14:paraId="7C534F5D" w14:textId="4DD36659" w:rsidR="00E0727A" w:rsidRPr="00D66293" w:rsidRDefault="00E41DE1" w:rsidP="0052186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Times New Roman"/>
          <w:b/>
          <w:color w:val="000000"/>
          <w:sz w:val="22"/>
          <w:szCs w:val="22"/>
        </w:rPr>
      </w:pPr>
      <w:r w:rsidRPr="00D66293">
        <w:rPr>
          <w:rFonts w:eastAsia="Calibri" w:cs="Times New Roman"/>
          <w:color w:val="000000"/>
          <w:sz w:val="22"/>
          <w:szCs w:val="22"/>
        </w:rPr>
        <w:t xml:space="preserve">Apply the knowledge of Separation </w:t>
      </w:r>
      <w:r w:rsidR="00521862" w:rsidRPr="00D66293">
        <w:rPr>
          <w:rFonts w:eastAsia="Calibri" w:cs="Times New Roman"/>
          <w:color w:val="000000"/>
          <w:sz w:val="22"/>
          <w:szCs w:val="22"/>
        </w:rPr>
        <w:t>processes 1</w:t>
      </w:r>
      <w:r w:rsidR="00374781" w:rsidRPr="00D66293">
        <w:rPr>
          <w:rFonts w:eastAsia="Calibri" w:cs="Times New Roman"/>
          <w:color w:val="000000"/>
          <w:sz w:val="22"/>
          <w:szCs w:val="22"/>
        </w:rPr>
        <w:t xml:space="preserve"> </w:t>
      </w:r>
      <w:r w:rsidR="00521862" w:rsidRPr="00D66293">
        <w:rPr>
          <w:rFonts w:eastAsia="Calibri" w:cs="Times New Roman"/>
          <w:color w:val="000000"/>
          <w:sz w:val="22"/>
          <w:szCs w:val="22"/>
        </w:rPr>
        <w:t xml:space="preserve">&amp; </w:t>
      </w:r>
      <w:r w:rsidRPr="00D66293">
        <w:rPr>
          <w:rFonts w:eastAsia="Calibri" w:cs="Times New Roman"/>
          <w:color w:val="000000"/>
          <w:sz w:val="22"/>
          <w:szCs w:val="22"/>
        </w:rPr>
        <w:t xml:space="preserve">2 and </w:t>
      </w:r>
      <w:r w:rsidR="00521862" w:rsidRPr="00D66293">
        <w:rPr>
          <w:rFonts w:eastAsia="Calibri" w:cs="Times New Roman"/>
          <w:color w:val="000000"/>
          <w:sz w:val="22"/>
          <w:szCs w:val="22"/>
        </w:rPr>
        <w:t>Kinetics &amp; Reactor Design</w:t>
      </w:r>
      <w:r w:rsidRPr="00D66293">
        <w:rPr>
          <w:rFonts w:eastAsia="Calibri" w:cs="Times New Roman"/>
          <w:color w:val="000000"/>
          <w:sz w:val="22"/>
          <w:szCs w:val="22"/>
        </w:rPr>
        <w:t xml:space="preserve"> in unders</w:t>
      </w:r>
      <w:r w:rsidRPr="00D66293">
        <w:rPr>
          <w:rFonts w:eastAsia="Calibri" w:cs="Times New Roman"/>
          <w:color w:val="000000"/>
          <w:sz w:val="22"/>
          <w:szCs w:val="22"/>
        </w:rPr>
        <w:t>tating the chemical process</w:t>
      </w:r>
    </w:p>
    <w:p w14:paraId="23189CEC" w14:textId="2139933B" w:rsidR="00E0727A" w:rsidRPr="00D66293" w:rsidRDefault="00E41DE1" w:rsidP="0052186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Times New Roman"/>
          <w:b/>
          <w:color w:val="000000"/>
          <w:sz w:val="22"/>
          <w:szCs w:val="22"/>
        </w:rPr>
      </w:pPr>
      <w:r w:rsidRPr="00D66293">
        <w:rPr>
          <w:rFonts w:eastAsia="Calibri" w:cs="Times New Roman"/>
          <w:color w:val="000000"/>
          <w:sz w:val="22"/>
          <w:szCs w:val="22"/>
        </w:rPr>
        <w:t xml:space="preserve">Understand the Engineering problems in </w:t>
      </w:r>
      <w:r w:rsidR="00C857CD" w:rsidRPr="00D66293">
        <w:rPr>
          <w:rFonts w:eastAsia="Calibri" w:cs="Times New Roman"/>
          <w:color w:val="000000"/>
          <w:sz w:val="22"/>
          <w:szCs w:val="22"/>
        </w:rPr>
        <w:t xml:space="preserve">the </w:t>
      </w:r>
      <w:r w:rsidRPr="00D66293">
        <w:rPr>
          <w:rFonts w:eastAsia="Calibri" w:cs="Times New Roman"/>
          <w:color w:val="000000"/>
          <w:sz w:val="22"/>
          <w:szCs w:val="22"/>
        </w:rPr>
        <w:t xml:space="preserve">processing of chemical products </w:t>
      </w:r>
    </w:p>
    <w:p w14:paraId="0248C036" w14:textId="0101584B" w:rsidR="00E0727A" w:rsidRPr="00D66293" w:rsidRDefault="00E41DE1" w:rsidP="0052186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Times New Roman"/>
          <w:b/>
          <w:color w:val="000000"/>
          <w:sz w:val="22"/>
          <w:szCs w:val="22"/>
        </w:rPr>
      </w:pPr>
      <w:r w:rsidRPr="00D66293">
        <w:rPr>
          <w:rFonts w:eastAsia="Calibri" w:cs="Times New Roman"/>
          <w:color w:val="000000"/>
          <w:sz w:val="22"/>
          <w:szCs w:val="22"/>
        </w:rPr>
        <w:t xml:space="preserve">Understand the need for flow sheets in manufacturing a product (like </w:t>
      </w:r>
      <w:r w:rsidR="00521862" w:rsidRPr="00D66293">
        <w:rPr>
          <w:rFonts w:eastAsia="Calibri" w:cs="Times New Roman"/>
          <w:color w:val="000000"/>
          <w:sz w:val="22"/>
          <w:szCs w:val="22"/>
        </w:rPr>
        <w:t>fertilizers, Petroleum, and Paint</w:t>
      </w:r>
      <w:r w:rsidRPr="00D66293">
        <w:rPr>
          <w:rFonts w:eastAsia="Calibri" w:cs="Times New Roman"/>
          <w:color w:val="000000"/>
          <w:sz w:val="22"/>
          <w:szCs w:val="22"/>
        </w:rPr>
        <w:t>)</w:t>
      </w:r>
    </w:p>
    <w:p w14:paraId="3C028D1E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48EC85E7" w14:textId="77777777" w:rsidR="00E0727A" w:rsidRPr="00474BE9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>3</w:t>
      </w:r>
      <w:r w:rsidRPr="00474BE9">
        <w:rPr>
          <w:rFonts w:ascii="Times New Roman" w:eastAsia="Calibri" w:hAnsi="Times New Roman" w:cs="Times New Roman"/>
          <w:sz w:val="22"/>
          <w:szCs w:val="22"/>
        </w:rPr>
        <w:t xml:space="preserve">.  </w:t>
      </w:r>
      <w:r w:rsidRPr="00474BE9">
        <w:rPr>
          <w:rFonts w:ascii="Times New Roman" w:eastAsia="Calibri" w:hAnsi="Times New Roman" w:cs="Times New Roman"/>
          <w:b/>
          <w:sz w:val="22"/>
          <w:szCs w:val="22"/>
        </w:rPr>
        <w:t>Text Book-T1:</w:t>
      </w:r>
      <w:r w:rsidRPr="00474BE9">
        <w:rPr>
          <w:rFonts w:ascii="Times New Roman" w:eastAsia="Calibri" w:hAnsi="Times New Roman" w:cs="Times New Roman"/>
          <w:sz w:val="22"/>
          <w:szCs w:val="22"/>
        </w:rPr>
        <w:t xml:space="preserve"> “Dryden’s </w:t>
      </w:r>
      <w:r w:rsidRPr="00474BE9">
        <w:rPr>
          <w:rFonts w:ascii="Times New Roman" w:eastAsia="Calibri" w:hAnsi="Times New Roman" w:cs="Times New Roman"/>
          <w:b/>
          <w:sz w:val="22"/>
          <w:szCs w:val="22"/>
        </w:rPr>
        <w:t xml:space="preserve">Outlines of </w:t>
      </w:r>
      <w:r w:rsidRPr="00474BE9">
        <w:rPr>
          <w:rFonts w:ascii="Times New Roman" w:eastAsia="Calibri" w:hAnsi="Times New Roman" w:cs="Times New Roman"/>
          <w:b/>
          <w:sz w:val="22"/>
          <w:szCs w:val="22"/>
        </w:rPr>
        <w:t>Chemical Technology</w:t>
      </w:r>
      <w:r w:rsidRPr="00474BE9">
        <w:rPr>
          <w:rFonts w:ascii="Times New Roman" w:eastAsia="Calibri" w:hAnsi="Times New Roman" w:cs="Times New Roman"/>
          <w:sz w:val="22"/>
          <w:szCs w:val="22"/>
        </w:rPr>
        <w:t xml:space="preserve"> for the 21st Century" Edited by M. Gopala Rao and Marshall </w:t>
      </w:r>
      <w:proofErr w:type="spellStart"/>
      <w:r w:rsidRPr="00474BE9">
        <w:rPr>
          <w:rFonts w:ascii="Times New Roman" w:eastAsia="Calibri" w:hAnsi="Times New Roman" w:cs="Times New Roman"/>
          <w:sz w:val="22"/>
          <w:szCs w:val="22"/>
        </w:rPr>
        <w:t>Sittig</w:t>
      </w:r>
      <w:proofErr w:type="spellEnd"/>
      <w:r w:rsidRPr="00474BE9">
        <w:rPr>
          <w:rFonts w:ascii="Times New Roman" w:eastAsia="Calibri" w:hAnsi="Times New Roman" w:cs="Times New Roman"/>
          <w:sz w:val="22"/>
          <w:szCs w:val="22"/>
        </w:rPr>
        <w:t>. East West Press, 3rd Ed., Reprint 2010.</w:t>
      </w:r>
    </w:p>
    <w:p w14:paraId="34D9BCC5" w14:textId="77777777" w:rsidR="00E0727A" w:rsidRPr="00474BE9" w:rsidRDefault="00E0727A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420DB538" w14:textId="77777777" w:rsidR="00521862" w:rsidRPr="00474BE9" w:rsidRDefault="00E41DE1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  <w:r w:rsidRPr="00474BE9">
        <w:rPr>
          <w:rFonts w:ascii="Times New Roman" w:eastAsia="Calibri" w:hAnsi="Times New Roman" w:cs="Times New Roman"/>
          <w:b/>
          <w:sz w:val="22"/>
          <w:szCs w:val="22"/>
        </w:rPr>
        <w:t>Reference Book</w:t>
      </w:r>
    </w:p>
    <w:p w14:paraId="202BA0D8" w14:textId="5FC274F5" w:rsidR="00E0727A" w:rsidRPr="00474BE9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474BE9">
        <w:rPr>
          <w:rFonts w:ascii="Times New Roman" w:eastAsia="Calibri" w:hAnsi="Times New Roman" w:cs="Times New Roman"/>
          <w:b/>
          <w:sz w:val="22"/>
          <w:szCs w:val="22"/>
        </w:rPr>
        <w:t xml:space="preserve">R1: </w:t>
      </w:r>
      <w:r w:rsidRPr="00474BE9">
        <w:rPr>
          <w:rFonts w:ascii="Times New Roman" w:eastAsia="Calibri" w:hAnsi="Times New Roman" w:cs="Times New Roman"/>
          <w:sz w:val="22"/>
          <w:szCs w:val="22"/>
        </w:rPr>
        <w:t xml:space="preserve">Shreve’s Chemical Process Industries by George T. Austin, McGraw Hill, 5th </w:t>
      </w:r>
      <w:proofErr w:type="spellStart"/>
      <w:r w:rsidRPr="00474BE9">
        <w:rPr>
          <w:rFonts w:ascii="Times New Roman" w:eastAsia="Calibri" w:hAnsi="Times New Roman" w:cs="Times New Roman"/>
          <w:sz w:val="22"/>
          <w:szCs w:val="22"/>
        </w:rPr>
        <w:t>Edn</w:t>
      </w:r>
      <w:proofErr w:type="spellEnd"/>
      <w:r w:rsidRPr="00474BE9">
        <w:rPr>
          <w:rFonts w:ascii="Times New Roman" w:eastAsia="Calibri" w:hAnsi="Times New Roman" w:cs="Times New Roman"/>
          <w:sz w:val="22"/>
          <w:szCs w:val="22"/>
        </w:rPr>
        <w:t>., Reprint 2017</w:t>
      </w:r>
    </w:p>
    <w:p w14:paraId="44C638B0" w14:textId="77777777" w:rsidR="00E0727A" w:rsidRPr="00D66293" w:rsidRDefault="00E0727A">
      <w:pPr>
        <w:ind w:left="300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037996F3" w14:textId="77777777" w:rsidR="00E0727A" w:rsidRPr="00D66293" w:rsidRDefault="00E41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Course Plan:</w:t>
      </w:r>
    </w:p>
    <w:tbl>
      <w:tblPr>
        <w:tblStyle w:val="a"/>
        <w:tblW w:w="10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3260"/>
        <w:gridCol w:w="4536"/>
        <w:gridCol w:w="1415"/>
      </w:tblGrid>
      <w:tr w:rsidR="00161825" w:rsidRPr="00D66293" w14:paraId="7BC816C7" w14:textId="32429F21" w:rsidTr="00474BE9">
        <w:tc>
          <w:tcPr>
            <w:tcW w:w="846" w:type="dxa"/>
          </w:tcPr>
          <w:p w14:paraId="6AA0A80A" w14:textId="77777777" w:rsidR="00161825" w:rsidRPr="00D66293" w:rsidRDefault="00161825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Lect. No.</w:t>
            </w:r>
          </w:p>
        </w:tc>
        <w:tc>
          <w:tcPr>
            <w:tcW w:w="3260" w:type="dxa"/>
          </w:tcPr>
          <w:p w14:paraId="305B7794" w14:textId="77777777" w:rsidR="00161825" w:rsidRPr="00D66293" w:rsidRDefault="00161825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Learning Objectives</w:t>
            </w:r>
          </w:p>
        </w:tc>
        <w:tc>
          <w:tcPr>
            <w:tcW w:w="4536" w:type="dxa"/>
          </w:tcPr>
          <w:p w14:paraId="40072A7A" w14:textId="77777777" w:rsidR="00161825" w:rsidRPr="00D66293" w:rsidRDefault="00161825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Topics to be covered</w:t>
            </w:r>
          </w:p>
        </w:tc>
        <w:tc>
          <w:tcPr>
            <w:tcW w:w="1415" w:type="dxa"/>
          </w:tcPr>
          <w:p w14:paraId="6DF56F9F" w14:textId="77777777" w:rsidR="00161825" w:rsidRPr="00D66293" w:rsidRDefault="00161825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Ref. Chap./ Book</w:t>
            </w:r>
          </w:p>
        </w:tc>
      </w:tr>
      <w:tr w:rsidR="00161825" w:rsidRPr="00D66293" w14:paraId="18CC1F88" w14:textId="58694FDD" w:rsidTr="00474BE9">
        <w:tc>
          <w:tcPr>
            <w:tcW w:w="846" w:type="dxa"/>
          </w:tcPr>
          <w:p w14:paraId="461EBF69" w14:textId="32CF132E" w:rsidR="00161825" w:rsidRPr="00D66293" w:rsidRDefault="00161825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24A2075F" w14:textId="77777777" w:rsidR="00161825" w:rsidRPr="00D66293" w:rsidRDefault="00161825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Overview of the course</w:t>
            </w:r>
          </w:p>
        </w:tc>
        <w:tc>
          <w:tcPr>
            <w:tcW w:w="4536" w:type="dxa"/>
          </w:tcPr>
          <w:p w14:paraId="77019463" w14:textId="77777777" w:rsidR="00161825" w:rsidRPr="00D66293" w:rsidRDefault="00161825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415" w:type="dxa"/>
          </w:tcPr>
          <w:p w14:paraId="12A681BE" w14:textId="77777777" w:rsidR="00161825" w:rsidRPr="00D66293" w:rsidRDefault="00161825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161825" w:rsidRPr="00D66293" w14:paraId="43AB9700" w14:textId="69C76E96" w:rsidTr="00474BE9">
        <w:trPr>
          <w:trHeight w:val="836"/>
        </w:trPr>
        <w:tc>
          <w:tcPr>
            <w:tcW w:w="846" w:type="dxa"/>
          </w:tcPr>
          <w:p w14:paraId="69E25F26" w14:textId="77777777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260" w:type="dxa"/>
          </w:tcPr>
          <w:p w14:paraId="2C691E3B" w14:textId="77777777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To know the present status of chemical industries in India</w:t>
            </w:r>
          </w:p>
        </w:tc>
        <w:tc>
          <w:tcPr>
            <w:tcW w:w="4536" w:type="dxa"/>
          </w:tcPr>
          <w:p w14:paraId="207097DE" w14:textId="20F7F033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Classification of Chemical Industries</w:t>
            </w:r>
          </w:p>
          <w:p w14:paraId="57B986B6" w14:textId="25F76F2B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Chemical Industries – Facts and figures</w:t>
            </w:r>
          </w:p>
        </w:tc>
        <w:tc>
          <w:tcPr>
            <w:tcW w:w="1415" w:type="dxa"/>
          </w:tcPr>
          <w:p w14:paraId="79C60D35" w14:textId="24071673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 A-B, T1</w:t>
            </w:r>
          </w:p>
          <w:p w14:paraId="0371E6B0" w14:textId="1B3198F3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Class notes</w:t>
            </w:r>
          </w:p>
        </w:tc>
      </w:tr>
      <w:tr w:rsidR="00161825" w:rsidRPr="00D66293" w14:paraId="5E4FE824" w14:textId="14A7C8B9" w:rsidTr="00474BE9">
        <w:tc>
          <w:tcPr>
            <w:tcW w:w="846" w:type="dxa"/>
          </w:tcPr>
          <w:p w14:paraId="28CCA328" w14:textId="16AFB357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3 </w:t>
            </w:r>
          </w:p>
        </w:tc>
        <w:tc>
          <w:tcPr>
            <w:tcW w:w="3260" w:type="dxa"/>
          </w:tcPr>
          <w:p w14:paraId="137C53B4" w14:textId="12AF5C68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Concepts of unit operations and unit processes.</w:t>
            </w:r>
          </w:p>
          <w:p w14:paraId="4D9C0C4C" w14:textId="576CDCBF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General Principles applied in Chemical Industries</w:t>
            </w:r>
          </w:p>
        </w:tc>
        <w:tc>
          <w:tcPr>
            <w:tcW w:w="4536" w:type="dxa"/>
          </w:tcPr>
          <w:p w14:paraId="7690A67C" w14:textId="7DE28B76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Lab tour: Drying (Try drier), Filtration (rotary drum vacuum filtration), Sedimentation, Adsorption, Evaporation, Size reduction (</w:t>
            </w:r>
            <w:proofErr w:type="spellStart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fibres</w:t>
            </w:r>
            <w:proofErr w:type="spellEnd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, particles), Size enlargement (Granulation)</w:t>
            </w:r>
          </w:p>
        </w:tc>
        <w:tc>
          <w:tcPr>
            <w:tcW w:w="1415" w:type="dxa"/>
          </w:tcPr>
          <w:p w14:paraId="264FCBF3" w14:textId="3EF5000F" w:rsidR="00161825" w:rsidRPr="00D66293" w:rsidRDefault="00161825">
            <w:pPr>
              <w:contextualSpacing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 C-D, T1</w:t>
            </w:r>
          </w:p>
        </w:tc>
      </w:tr>
      <w:tr w:rsidR="00161825" w:rsidRPr="00D66293" w14:paraId="39223869" w14:textId="46B295B6" w:rsidTr="00474BE9">
        <w:tc>
          <w:tcPr>
            <w:tcW w:w="846" w:type="dxa"/>
          </w:tcPr>
          <w:p w14:paraId="1E4AA8AA" w14:textId="3B4668FA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4-8</w:t>
            </w:r>
          </w:p>
        </w:tc>
        <w:tc>
          <w:tcPr>
            <w:tcW w:w="3260" w:type="dxa"/>
          </w:tcPr>
          <w:p w14:paraId="31353635" w14:textId="0C89F991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To understand the Nitrogen-based fertilizers production</w:t>
            </w:r>
          </w:p>
        </w:tc>
        <w:tc>
          <w:tcPr>
            <w:tcW w:w="4536" w:type="dxa"/>
          </w:tcPr>
          <w:p w14:paraId="616D6EC9" w14:textId="0B037CC1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Urea Production Processes; Ammonium Nitrate and </w:t>
            </w:r>
            <w:proofErr w:type="spellStart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Nitrolime</w:t>
            </w:r>
            <w:proofErr w:type="spellEnd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Production Process</w:t>
            </w:r>
          </w:p>
        </w:tc>
        <w:tc>
          <w:tcPr>
            <w:tcW w:w="1415" w:type="dxa"/>
          </w:tcPr>
          <w:p w14:paraId="3E400590" w14:textId="5954F78A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 E, T1; R1</w:t>
            </w:r>
          </w:p>
        </w:tc>
      </w:tr>
      <w:tr w:rsidR="00161825" w:rsidRPr="00D66293" w14:paraId="0A839C29" w14:textId="74A7B0E0" w:rsidTr="00474BE9">
        <w:tc>
          <w:tcPr>
            <w:tcW w:w="846" w:type="dxa"/>
          </w:tcPr>
          <w:p w14:paraId="19CAA838" w14:textId="01BAFAD0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9-12</w:t>
            </w:r>
          </w:p>
        </w:tc>
        <w:tc>
          <w:tcPr>
            <w:tcW w:w="3260" w:type="dxa"/>
          </w:tcPr>
          <w:p w14:paraId="0EA42C30" w14:textId="647D8202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To understand the importance of NPK fertilizer and its production </w:t>
            </w:r>
          </w:p>
        </w:tc>
        <w:tc>
          <w:tcPr>
            <w:tcW w:w="4536" w:type="dxa"/>
          </w:tcPr>
          <w:p w14:paraId="4B3FD79F" w14:textId="3DF16450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Production of Phosphoric acid, Superphosphate and DAP</w:t>
            </w:r>
          </w:p>
        </w:tc>
        <w:tc>
          <w:tcPr>
            <w:tcW w:w="1415" w:type="dxa"/>
          </w:tcPr>
          <w:p w14:paraId="6B3FD2B7" w14:textId="6C462060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 F, T1; R1</w:t>
            </w:r>
          </w:p>
        </w:tc>
      </w:tr>
      <w:tr w:rsidR="00161825" w:rsidRPr="00D66293" w14:paraId="5C4EC975" w14:textId="1A748DC6" w:rsidTr="00474BE9">
        <w:tc>
          <w:tcPr>
            <w:tcW w:w="846" w:type="dxa"/>
          </w:tcPr>
          <w:p w14:paraId="3A899621" w14:textId="5A2C0906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13-14</w:t>
            </w:r>
          </w:p>
        </w:tc>
        <w:tc>
          <w:tcPr>
            <w:tcW w:w="3260" w:type="dxa"/>
          </w:tcPr>
          <w:p w14:paraId="4B513CCA" w14:textId="77777777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To understand the cement manufacturing process</w:t>
            </w:r>
          </w:p>
        </w:tc>
        <w:tc>
          <w:tcPr>
            <w:tcW w:w="4536" w:type="dxa"/>
          </w:tcPr>
          <w:p w14:paraId="0695F232" w14:textId="77777777" w:rsidR="00161825" w:rsidRPr="00D66293" w:rsidRDefault="00161825" w:rsidP="00534197">
            <w:pPr>
              <w:pStyle w:val="Heading1"/>
              <w:rPr>
                <w:rFonts w:eastAsia="Calibri" w:cs="Times New Roman"/>
                <w:sz w:val="22"/>
                <w:szCs w:val="22"/>
              </w:rPr>
            </w:pPr>
            <w:r w:rsidRPr="00D66293">
              <w:rPr>
                <w:rFonts w:eastAsia="Calibri" w:cs="Times New Roman"/>
                <w:sz w:val="22"/>
                <w:szCs w:val="22"/>
              </w:rPr>
              <w:t>Cement properties, limestone beneficiation, Portland cement manufacturing</w:t>
            </w:r>
          </w:p>
        </w:tc>
        <w:tc>
          <w:tcPr>
            <w:tcW w:w="1415" w:type="dxa"/>
          </w:tcPr>
          <w:p w14:paraId="41790F5A" w14:textId="3CA04A10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Ch-IIK, T1</w:t>
            </w:r>
          </w:p>
        </w:tc>
      </w:tr>
      <w:tr w:rsidR="00161825" w:rsidRPr="00D66293" w14:paraId="2A04E1EF" w14:textId="47C6847F" w:rsidTr="00474BE9">
        <w:tc>
          <w:tcPr>
            <w:tcW w:w="846" w:type="dxa"/>
          </w:tcPr>
          <w:p w14:paraId="55937E92" w14:textId="5D2CD3ED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15-18</w:t>
            </w:r>
          </w:p>
        </w:tc>
        <w:tc>
          <w:tcPr>
            <w:tcW w:w="3260" w:type="dxa"/>
          </w:tcPr>
          <w:p w14:paraId="166B848D" w14:textId="67278A41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To understand the crude oil refining processes</w:t>
            </w:r>
          </w:p>
        </w:tc>
        <w:tc>
          <w:tcPr>
            <w:tcW w:w="4536" w:type="dxa"/>
          </w:tcPr>
          <w:p w14:paraId="35C8E313" w14:textId="64F28AD3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Origin and classification of petroleum; Refining operations (atmospheric and vacuum distillation), Catalytic cracking, Reforming</w:t>
            </w:r>
          </w:p>
        </w:tc>
        <w:tc>
          <w:tcPr>
            <w:tcW w:w="1415" w:type="dxa"/>
          </w:tcPr>
          <w:p w14:paraId="76BC1F2C" w14:textId="2A27316F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Ch-III H, T1; R1</w:t>
            </w:r>
          </w:p>
        </w:tc>
      </w:tr>
      <w:tr w:rsidR="00161825" w:rsidRPr="00D66293" w14:paraId="7A067D8A" w14:textId="18843DBA" w:rsidTr="00474BE9">
        <w:tc>
          <w:tcPr>
            <w:tcW w:w="846" w:type="dxa"/>
          </w:tcPr>
          <w:p w14:paraId="185C468C" w14:textId="0827133A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lastRenderedPageBreak/>
              <w:t>19-20</w:t>
            </w:r>
          </w:p>
        </w:tc>
        <w:tc>
          <w:tcPr>
            <w:tcW w:w="3260" w:type="dxa"/>
          </w:tcPr>
          <w:p w14:paraId="270B2F98" w14:textId="62A48D03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To understand the petrochemical processes</w:t>
            </w:r>
          </w:p>
        </w:tc>
        <w:tc>
          <w:tcPr>
            <w:tcW w:w="4536" w:type="dxa"/>
          </w:tcPr>
          <w:p w14:paraId="732D9FAD" w14:textId="5DC295F6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Chemicals from C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  <w:vertAlign w:val="subscript"/>
              </w:rPr>
              <w:t>1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compounds, Chemicals from C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  <w:vertAlign w:val="subscript"/>
              </w:rPr>
              <w:t>2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compounds (Ethylene and acetylene production)</w:t>
            </w:r>
          </w:p>
        </w:tc>
        <w:tc>
          <w:tcPr>
            <w:tcW w:w="1415" w:type="dxa"/>
          </w:tcPr>
          <w:p w14:paraId="3853984C" w14:textId="7214FC7D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Ch-IV B-D, T1; R1 </w:t>
            </w:r>
          </w:p>
        </w:tc>
      </w:tr>
      <w:tr w:rsidR="00161825" w:rsidRPr="00D66293" w14:paraId="2C7DFEC6" w14:textId="63B43BEF" w:rsidTr="00474BE9">
        <w:tc>
          <w:tcPr>
            <w:tcW w:w="846" w:type="dxa"/>
          </w:tcPr>
          <w:p w14:paraId="660B007B" w14:textId="4FB866C4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21-23</w:t>
            </w:r>
          </w:p>
        </w:tc>
        <w:tc>
          <w:tcPr>
            <w:tcW w:w="3260" w:type="dxa"/>
          </w:tcPr>
          <w:p w14:paraId="4F1E5782" w14:textId="0C864370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To understand the processes in polymer technology (thermoplastics and thermosets including </w:t>
            </w:r>
            <w:proofErr w:type="spellStart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fibres</w:t>
            </w:r>
            <w:proofErr w:type="spellEnd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536" w:type="dxa"/>
          </w:tcPr>
          <w:p w14:paraId="5A0FF47C" w14:textId="4AF7BADC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Modes of Polymerization, Structure-properties of polymers, Processing of polyolefins (PE), PVC, Phenol-formaldehyde and Epoxy resins. Production of viscose, Nylon, Polyester and Carbon </w:t>
            </w:r>
            <w:proofErr w:type="spellStart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fibres</w:t>
            </w:r>
            <w:proofErr w:type="spellEnd"/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15" w:type="dxa"/>
          </w:tcPr>
          <w:p w14:paraId="31232638" w14:textId="74837463" w:rsidR="00161825" w:rsidRPr="00D66293" w:rsidRDefault="00161825" w:rsidP="00534197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Ch-V A-B, T1, R1, notes</w:t>
            </w:r>
          </w:p>
        </w:tc>
      </w:tr>
      <w:tr w:rsidR="00161825" w:rsidRPr="00D66293" w14:paraId="12FDCC0C" w14:textId="13BC6DF0" w:rsidTr="00474BE9">
        <w:tc>
          <w:tcPr>
            <w:tcW w:w="846" w:type="dxa"/>
          </w:tcPr>
          <w:p w14:paraId="78A3AFE4" w14:textId="17462B72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24-25</w:t>
            </w:r>
          </w:p>
        </w:tc>
        <w:tc>
          <w:tcPr>
            <w:tcW w:w="3260" w:type="dxa"/>
          </w:tcPr>
          <w:p w14:paraId="3A9FC659" w14:textId="0C1961DD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Chlor-Alkali Industries</w:t>
            </w:r>
          </w:p>
        </w:tc>
        <w:tc>
          <w:tcPr>
            <w:tcW w:w="4536" w:type="dxa"/>
          </w:tcPr>
          <w:p w14:paraId="1E891C60" w14:textId="76ECD13E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Soda Ash, Sodium hydroxide, Chlorine</w:t>
            </w:r>
          </w:p>
        </w:tc>
        <w:tc>
          <w:tcPr>
            <w:tcW w:w="1415" w:type="dxa"/>
          </w:tcPr>
          <w:p w14:paraId="0D1252C3" w14:textId="245800ED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 H, T1, R1</w:t>
            </w:r>
          </w:p>
        </w:tc>
      </w:tr>
      <w:tr w:rsidR="00161825" w:rsidRPr="00D66293" w14:paraId="440704DC" w14:textId="271558EB" w:rsidTr="00474BE9">
        <w:tc>
          <w:tcPr>
            <w:tcW w:w="846" w:type="dxa"/>
          </w:tcPr>
          <w:p w14:paraId="2D89AD98" w14:textId="1B07D840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26-27</w:t>
            </w:r>
          </w:p>
        </w:tc>
        <w:tc>
          <w:tcPr>
            <w:tcW w:w="3260" w:type="dxa"/>
          </w:tcPr>
          <w:p w14:paraId="15D573C4" w14:textId="5C1677A2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To understand the coal-based technologies</w:t>
            </w:r>
          </w:p>
        </w:tc>
        <w:tc>
          <w:tcPr>
            <w:tcW w:w="4536" w:type="dxa"/>
          </w:tcPr>
          <w:p w14:paraId="38C6EDFC" w14:textId="64F85BC3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Coking of coal, Coal gasification, Hydrogenation of Coal, Ash</w:t>
            </w:r>
          </w:p>
        </w:tc>
        <w:tc>
          <w:tcPr>
            <w:tcW w:w="1415" w:type="dxa"/>
          </w:tcPr>
          <w:p w14:paraId="42A4B6D6" w14:textId="15D5E54C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Ch-III G, T1; R1</w:t>
            </w:r>
          </w:p>
        </w:tc>
      </w:tr>
      <w:tr w:rsidR="00161825" w:rsidRPr="00D66293" w14:paraId="0A04C8D8" w14:textId="34F3EF02" w:rsidTr="00474BE9">
        <w:tc>
          <w:tcPr>
            <w:tcW w:w="846" w:type="dxa"/>
          </w:tcPr>
          <w:p w14:paraId="5C5252F2" w14:textId="16671336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28-34</w:t>
            </w:r>
          </w:p>
        </w:tc>
        <w:tc>
          <w:tcPr>
            <w:tcW w:w="3260" w:type="dxa"/>
          </w:tcPr>
          <w:p w14:paraId="5D4504C0" w14:textId="2D096D6B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Paints and Coatings</w:t>
            </w:r>
          </w:p>
        </w:tc>
        <w:tc>
          <w:tcPr>
            <w:tcW w:w="4536" w:type="dxa"/>
          </w:tcPr>
          <w:p w14:paraId="3BD416BD" w14:textId="59A9AF75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Dispersions, resins, additives in Paints, varnishes, powder coat, EMI shield, Coating failure</w:t>
            </w:r>
          </w:p>
        </w:tc>
        <w:tc>
          <w:tcPr>
            <w:tcW w:w="1415" w:type="dxa"/>
          </w:tcPr>
          <w:p w14:paraId="52791418" w14:textId="49CA64A2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Ch-III C, T1, R1 Class notes</w:t>
            </w:r>
          </w:p>
        </w:tc>
      </w:tr>
      <w:tr w:rsidR="00161825" w:rsidRPr="00D66293" w14:paraId="6DBA2A73" w14:textId="5F7E3639" w:rsidTr="00474BE9">
        <w:tc>
          <w:tcPr>
            <w:tcW w:w="846" w:type="dxa"/>
          </w:tcPr>
          <w:p w14:paraId="7499BE10" w14:textId="5D46EDA7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35-36</w:t>
            </w:r>
          </w:p>
        </w:tc>
        <w:tc>
          <w:tcPr>
            <w:tcW w:w="3260" w:type="dxa"/>
          </w:tcPr>
          <w:p w14:paraId="491D6379" w14:textId="351E84BE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Energy Industries</w:t>
            </w:r>
          </w:p>
        </w:tc>
        <w:tc>
          <w:tcPr>
            <w:tcW w:w="4536" w:type="dxa"/>
          </w:tcPr>
          <w:p w14:paraId="077DF5F2" w14:textId="7E1FD276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Production of Li-ion batteries and Green- H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15" w:type="dxa"/>
          </w:tcPr>
          <w:p w14:paraId="0651085A" w14:textId="66F1858D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Class notes</w:t>
            </w:r>
          </w:p>
        </w:tc>
      </w:tr>
      <w:tr w:rsidR="00161825" w:rsidRPr="00D66293" w14:paraId="3E5D0B64" w14:textId="150554DF" w:rsidTr="00474BE9">
        <w:tc>
          <w:tcPr>
            <w:tcW w:w="846" w:type="dxa"/>
          </w:tcPr>
          <w:p w14:paraId="19FB821A" w14:textId="1D27AC55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37-39</w:t>
            </w:r>
          </w:p>
        </w:tc>
        <w:tc>
          <w:tcPr>
            <w:tcW w:w="3260" w:type="dxa"/>
          </w:tcPr>
          <w:p w14:paraId="60BAF0E4" w14:textId="79160941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Pharmaceutical Industry</w:t>
            </w:r>
          </w:p>
        </w:tc>
        <w:tc>
          <w:tcPr>
            <w:tcW w:w="4536" w:type="dxa"/>
          </w:tcPr>
          <w:p w14:paraId="7EB845AC" w14:textId="0BC4313E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Development and Manufacture of API, Manufacture of paracetamol tablets, Manufacture of flu vaccine</w:t>
            </w:r>
          </w:p>
        </w:tc>
        <w:tc>
          <w:tcPr>
            <w:tcW w:w="1415" w:type="dxa"/>
          </w:tcPr>
          <w:p w14:paraId="7E55D86F" w14:textId="0255BF27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Ch-IV H, T1, R1, Class notes</w:t>
            </w:r>
          </w:p>
        </w:tc>
      </w:tr>
      <w:tr w:rsidR="00161825" w:rsidRPr="00D66293" w14:paraId="2DBD9420" w14:textId="73C5F632" w:rsidTr="00474BE9">
        <w:tc>
          <w:tcPr>
            <w:tcW w:w="846" w:type="dxa"/>
          </w:tcPr>
          <w:p w14:paraId="128AD8EB" w14:textId="70EF3DD0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3260" w:type="dxa"/>
          </w:tcPr>
          <w:p w14:paraId="73B05DD3" w14:textId="59CAAA01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Production of Silicon wafers for microelectronics</w:t>
            </w:r>
          </w:p>
        </w:tc>
        <w:tc>
          <w:tcPr>
            <w:tcW w:w="4536" w:type="dxa"/>
          </w:tcPr>
          <w:p w14:paraId="500C592B" w14:textId="0B24F42A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Silicon production, crystal growth, and Basic steps of wafer production</w:t>
            </w:r>
          </w:p>
        </w:tc>
        <w:tc>
          <w:tcPr>
            <w:tcW w:w="1415" w:type="dxa"/>
          </w:tcPr>
          <w:p w14:paraId="04C5A7A8" w14:textId="09A30541" w:rsidR="00161825" w:rsidRPr="00D66293" w:rsidRDefault="00161825" w:rsidP="008E690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Class notes</w:t>
            </w:r>
          </w:p>
        </w:tc>
      </w:tr>
    </w:tbl>
    <w:p w14:paraId="2BF78DBD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b/>
          <w:sz w:val="22"/>
          <w:szCs w:val="22"/>
        </w:rPr>
      </w:pPr>
    </w:p>
    <w:p w14:paraId="53054B59" w14:textId="77777777" w:rsidR="00E0727A" w:rsidRPr="00D66293" w:rsidRDefault="00E41D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Evaluation Scheme:</w:t>
      </w:r>
    </w:p>
    <w:tbl>
      <w:tblPr>
        <w:tblStyle w:val="a0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821"/>
        <w:gridCol w:w="1581"/>
        <w:gridCol w:w="2268"/>
        <w:gridCol w:w="1266"/>
      </w:tblGrid>
      <w:tr w:rsidR="00E0727A" w:rsidRPr="00D66293" w14:paraId="1A07FBEB" w14:textId="77777777" w:rsidTr="001B1551">
        <w:trPr>
          <w:trHeight w:val="567"/>
        </w:trPr>
        <w:tc>
          <w:tcPr>
            <w:tcW w:w="3114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287E4F" w14:textId="77777777" w:rsidR="00E0727A" w:rsidRPr="001B1551" w:rsidRDefault="00E41DE1" w:rsidP="001B1551">
            <w:pPr>
              <w:pStyle w:val="Heading1"/>
              <w:spacing w:line="276" w:lineRule="auto"/>
              <w:jc w:val="center"/>
              <w:rPr>
                <w:rFonts w:eastAsia="Calibri" w:cs="Times New Roman"/>
                <w:b/>
                <w:bCs/>
                <w:sz w:val="22"/>
                <w:szCs w:val="22"/>
              </w:rPr>
            </w:pPr>
            <w:r w:rsidRPr="001B1551">
              <w:rPr>
                <w:rFonts w:eastAsia="Calibri" w:cs="Times New Roman"/>
                <w:b/>
                <w:bCs/>
                <w:sz w:val="22"/>
                <w:szCs w:val="22"/>
              </w:rPr>
              <w:t>Evaluation Component</w:t>
            </w:r>
          </w:p>
        </w:tc>
        <w:tc>
          <w:tcPr>
            <w:tcW w:w="1821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826288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1581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0AE055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Weightage (%)</w:t>
            </w:r>
          </w:p>
        </w:tc>
        <w:tc>
          <w:tcPr>
            <w:tcW w:w="2268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4D106A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Date &amp;Time</w:t>
            </w:r>
          </w:p>
        </w:tc>
        <w:tc>
          <w:tcPr>
            <w:tcW w:w="12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7BB627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Nature of Component</w:t>
            </w:r>
          </w:p>
        </w:tc>
      </w:tr>
      <w:tr w:rsidR="00E0727A" w:rsidRPr="00D66293" w14:paraId="3E8DD59A" w14:textId="77777777" w:rsidTr="001B1551">
        <w:trPr>
          <w:trHeight w:val="392"/>
        </w:trPr>
        <w:tc>
          <w:tcPr>
            <w:tcW w:w="31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5822B0" w14:textId="0529D1C9" w:rsidR="00E0727A" w:rsidRPr="00D66293" w:rsidRDefault="00C857CD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Mid-semester test</w:t>
            </w:r>
          </w:p>
        </w:tc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79C3F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90 min</w:t>
            </w:r>
          </w:p>
        </w:tc>
        <w:tc>
          <w:tcPr>
            <w:tcW w:w="15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1DC59" w14:textId="7E34194A" w:rsidR="00E0727A" w:rsidRPr="00D66293" w:rsidRDefault="00474BE9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1F3CC3" w14:textId="45163640" w:rsidR="00E0727A" w:rsidRPr="00D66293" w:rsidRDefault="00DD4361" w:rsidP="001B1551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t>17/03 4.00 - 5.30PM</w:t>
            </w:r>
          </w:p>
        </w:tc>
        <w:tc>
          <w:tcPr>
            <w:tcW w:w="12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6AFD8C" w14:textId="28BD3552" w:rsidR="00E0727A" w:rsidRPr="00D66293" w:rsidRDefault="0037478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CB</w:t>
            </w:r>
          </w:p>
        </w:tc>
      </w:tr>
      <w:tr w:rsidR="00E0727A" w:rsidRPr="00D66293" w14:paraId="02A67000" w14:textId="77777777" w:rsidTr="001B1551">
        <w:trPr>
          <w:trHeight w:val="473"/>
        </w:trPr>
        <w:tc>
          <w:tcPr>
            <w:tcW w:w="31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484471" w14:textId="2F9A6C61" w:rsidR="00E0727A" w:rsidRPr="00D66293" w:rsidRDefault="00F65755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Quizzes</w:t>
            </w:r>
            <w:r w:rsidR="00443E28"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(2 best of 3)</w:t>
            </w:r>
          </w:p>
        </w:tc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6988B" w14:textId="21B63ABA" w:rsidR="00E0727A" w:rsidRPr="00D66293" w:rsidRDefault="003C1CAA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4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0 min</w:t>
            </w:r>
          </w:p>
        </w:tc>
        <w:tc>
          <w:tcPr>
            <w:tcW w:w="15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C6B8C8" w14:textId="3CA24234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  <w:r w:rsidR="00474BE9">
              <w:rPr>
                <w:rFonts w:ascii="Times New Roman" w:eastAsia="Calibri" w:hAnsi="Times New Roman" w:cs="Times New Roman"/>
                <w:sz w:val="22"/>
                <w:szCs w:val="22"/>
              </w:rPr>
              <w:t>5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AB918B" w14:textId="0BE6153E" w:rsidR="00E0727A" w:rsidRPr="00D66293" w:rsidRDefault="00152260" w:rsidP="001B1551">
            <w:pPr>
              <w:spacing w:line="276" w:lineRule="auto"/>
              <w:ind w:left="720" w:hanging="720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TBA</w:t>
            </w:r>
          </w:p>
        </w:tc>
        <w:tc>
          <w:tcPr>
            <w:tcW w:w="12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B66DF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OB</w:t>
            </w:r>
          </w:p>
        </w:tc>
      </w:tr>
      <w:tr w:rsidR="00E0727A" w:rsidRPr="00D66293" w14:paraId="4FB069DE" w14:textId="77777777" w:rsidTr="001B1551">
        <w:trPr>
          <w:trHeight w:val="278"/>
        </w:trPr>
        <w:tc>
          <w:tcPr>
            <w:tcW w:w="31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23748F" w14:textId="2DB226ED" w:rsidR="00E0727A" w:rsidRPr="00D66293" w:rsidRDefault="0037478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Project </w:t>
            </w:r>
            <w:r w:rsidR="00443E28"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Seminar</w:t>
            </w:r>
          </w:p>
        </w:tc>
        <w:tc>
          <w:tcPr>
            <w:tcW w:w="18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B7382" w14:textId="77777777" w:rsidR="00E0727A" w:rsidRPr="00D66293" w:rsidRDefault="00E0727A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5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CB1FBC" w14:textId="6E7B9534" w:rsidR="00E0727A" w:rsidRPr="00D66293" w:rsidRDefault="003C1CAA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20</w:t>
            </w: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D6384" w14:textId="55B880EF" w:rsidR="00E0727A" w:rsidRPr="00D66293" w:rsidRDefault="00152260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TBA</w:t>
            </w:r>
          </w:p>
        </w:tc>
        <w:tc>
          <w:tcPr>
            <w:tcW w:w="12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2F67DD" w14:textId="77777777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OB</w:t>
            </w:r>
          </w:p>
        </w:tc>
      </w:tr>
      <w:tr w:rsidR="00E0727A" w:rsidRPr="00D66293" w14:paraId="660F1833" w14:textId="77777777" w:rsidTr="001B1551">
        <w:trPr>
          <w:trHeight w:val="383"/>
        </w:trPr>
        <w:tc>
          <w:tcPr>
            <w:tcW w:w="3114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A48A8" w14:textId="66F7A5A5" w:rsidR="00E0727A" w:rsidRPr="00D66293" w:rsidRDefault="00E41DE1" w:rsidP="001B1551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Comprehensive Exam</w:t>
            </w:r>
          </w:p>
        </w:tc>
        <w:tc>
          <w:tcPr>
            <w:tcW w:w="1821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223B28" w14:textId="4562244B" w:rsidR="00E0727A" w:rsidRPr="00D66293" w:rsidRDefault="0037478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3 hours</w:t>
            </w:r>
          </w:p>
        </w:tc>
        <w:tc>
          <w:tcPr>
            <w:tcW w:w="1581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445D7A" w14:textId="17FEA911" w:rsidR="00E0727A" w:rsidRPr="00D66293" w:rsidRDefault="0037478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40%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C2D32E" w14:textId="527B62C1" w:rsidR="00E0727A" w:rsidRPr="00D66293" w:rsidRDefault="00DD436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12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2C7EF4" w14:textId="6087E183" w:rsidR="00E0727A" w:rsidRPr="00D66293" w:rsidRDefault="00E41DE1" w:rsidP="001B155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D66293">
              <w:rPr>
                <w:rFonts w:ascii="Times New Roman" w:eastAsia="Calibri" w:hAnsi="Times New Roman" w:cs="Times New Roman"/>
                <w:sz w:val="22"/>
                <w:szCs w:val="22"/>
              </w:rPr>
              <w:t>CB</w:t>
            </w:r>
          </w:p>
        </w:tc>
      </w:tr>
    </w:tbl>
    <w:p w14:paraId="3F24C462" w14:textId="0CE70EEA" w:rsidR="00E0727A" w:rsidRPr="00D66293" w:rsidRDefault="00E41DE1" w:rsidP="00854C8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>NOTE</w:t>
      </w:r>
      <w:r w:rsidR="003C1CAA">
        <w:rPr>
          <w:rFonts w:ascii="Times New Roman" w:eastAsia="Calibri" w:hAnsi="Times New Roman" w:cs="Times New Roman"/>
          <w:sz w:val="22"/>
          <w:szCs w:val="22"/>
        </w:rPr>
        <w:t>: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857CD" w:rsidRPr="00D66293">
        <w:rPr>
          <w:rFonts w:ascii="Times New Roman" w:eastAsia="Calibri" w:hAnsi="Times New Roman" w:cs="Times New Roman"/>
          <w:sz w:val="22"/>
          <w:szCs w:val="22"/>
        </w:rPr>
        <w:t>A total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857CD" w:rsidRPr="00D66293">
        <w:rPr>
          <w:rFonts w:ascii="Times New Roman" w:eastAsia="Calibri" w:hAnsi="Times New Roman" w:cs="Times New Roman"/>
          <w:sz w:val="22"/>
          <w:szCs w:val="22"/>
        </w:rPr>
        <w:t xml:space="preserve">of </w:t>
      </w:r>
      <w:r w:rsidRPr="00D66293">
        <w:rPr>
          <w:rFonts w:ascii="Times New Roman" w:eastAsia="Calibri" w:hAnsi="Times New Roman" w:cs="Times New Roman"/>
          <w:sz w:val="22"/>
          <w:szCs w:val="22"/>
        </w:rPr>
        <w:t>t</w:t>
      </w:r>
      <w:r w:rsidR="00443E28" w:rsidRPr="00D66293">
        <w:rPr>
          <w:rFonts w:ascii="Times New Roman" w:eastAsia="Calibri" w:hAnsi="Times New Roman" w:cs="Times New Roman"/>
          <w:sz w:val="22"/>
          <w:szCs w:val="22"/>
        </w:rPr>
        <w:t>hree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65755" w:rsidRPr="00D66293">
        <w:rPr>
          <w:rFonts w:ascii="Times New Roman" w:eastAsia="Calibri" w:hAnsi="Times New Roman" w:cs="Times New Roman"/>
          <w:sz w:val="22"/>
          <w:szCs w:val="22"/>
        </w:rPr>
        <w:t>quizzes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will be conducted</w:t>
      </w:r>
      <w:r w:rsidR="00443E28" w:rsidRPr="00D66293">
        <w:rPr>
          <w:rFonts w:ascii="Times New Roman" w:eastAsia="Calibri" w:hAnsi="Times New Roman" w:cs="Times New Roman"/>
          <w:sz w:val="22"/>
          <w:szCs w:val="22"/>
        </w:rPr>
        <w:t>. Two best of three will be considered.</w:t>
      </w:r>
    </w:p>
    <w:p w14:paraId="008EAC70" w14:textId="77777777" w:rsidR="00E0727A" w:rsidRPr="00D66293" w:rsidRDefault="00E0727A" w:rsidP="00854C81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7C79E714" w14:textId="335D23FF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1" w:name="_heading=h.gjdgxs" w:colFirst="0" w:colLast="0"/>
      <w:bookmarkEnd w:id="1"/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6. 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>Chamber Consultation Hour: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To be announced in the class.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 xml:space="preserve"> (</w:t>
      </w:r>
      <w:r w:rsidR="00D66293" w:rsidRPr="00D66293">
        <w:rPr>
          <w:rFonts w:ascii="Times New Roman" w:eastAsia="Calibri" w:hAnsi="Times New Roman" w:cs="Times New Roman"/>
          <w:b/>
          <w:sz w:val="22"/>
          <w:szCs w:val="22"/>
        </w:rPr>
        <w:t>Chamber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 xml:space="preserve">: D </w:t>
      </w:r>
      <w:r w:rsidR="00374781" w:rsidRPr="00D66293">
        <w:rPr>
          <w:rFonts w:ascii="Times New Roman" w:eastAsia="Calibri" w:hAnsi="Times New Roman" w:cs="Times New Roman"/>
          <w:b/>
          <w:sz w:val="22"/>
          <w:szCs w:val="22"/>
        </w:rPr>
        <w:t>321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>)</w:t>
      </w:r>
    </w:p>
    <w:p w14:paraId="6BA2D26A" w14:textId="77777777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7. 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>Notice: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Notice will be displayed on CMS</w:t>
      </w:r>
    </w:p>
    <w:p w14:paraId="606F2451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22D1225A" w14:textId="4F4F9B4F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sz w:val="22"/>
          <w:szCs w:val="22"/>
        </w:rPr>
        <w:t>Make-up policy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: </w:t>
      </w:r>
      <w:r w:rsidR="00443E28" w:rsidRPr="00D66293">
        <w:rPr>
          <w:rFonts w:ascii="Times New Roman" w:eastAsia="Calibri" w:hAnsi="Times New Roman" w:cs="Times New Roman"/>
          <w:sz w:val="22"/>
          <w:szCs w:val="22"/>
        </w:rPr>
        <w:t xml:space="preserve">No make-up for the quizzes in any case.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Make-up </w:t>
      </w:r>
      <w:r w:rsidR="00F65755" w:rsidRPr="00D66293">
        <w:rPr>
          <w:rFonts w:ascii="Times New Roman" w:eastAsia="Calibri" w:hAnsi="Times New Roman" w:cs="Times New Roman"/>
          <w:sz w:val="22"/>
          <w:szCs w:val="22"/>
        </w:rPr>
        <w:t xml:space="preserve">for the mid-semester test and comprehensive exam </w:t>
      </w:r>
      <w:r w:rsidR="00E019E8">
        <w:rPr>
          <w:rFonts w:ascii="Times New Roman" w:eastAsia="Calibri" w:hAnsi="Times New Roman" w:cs="Times New Roman"/>
          <w:sz w:val="22"/>
          <w:szCs w:val="22"/>
        </w:rPr>
        <w:t>may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be granted </w:t>
      </w:r>
      <w:r w:rsidR="00F65755" w:rsidRPr="00D66293">
        <w:rPr>
          <w:rFonts w:ascii="Times New Roman" w:eastAsia="Calibri" w:hAnsi="Times New Roman" w:cs="Times New Roman"/>
          <w:sz w:val="22"/>
          <w:szCs w:val="22"/>
        </w:rPr>
        <w:t>only if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65755" w:rsidRPr="00D66293">
        <w:rPr>
          <w:rFonts w:ascii="Times New Roman" w:eastAsia="Calibri" w:hAnsi="Times New Roman" w:cs="Times New Roman"/>
          <w:b/>
          <w:color w:val="FF0000"/>
          <w:sz w:val="22"/>
          <w:szCs w:val="22"/>
        </w:rPr>
        <w:t>the student</w:t>
      </w:r>
      <w:r w:rsidRPr="00D66293">
        <w:rPr>
          <w:rFonts w:ascii="Times New Roman" w:eastAsia="Calibri" w:hAnsi="Times New Roman" w:cs="Times New Roman"/>
          <w:b/>
          <w:color w:val="FF0000"/>
          <w:sz w:val="22"/>
          <w:szCs w:val="22"/>
        </w:rPr>
        <w:t xml:space="preserve"> maintains </w:t>
      </w:r>
      <w:r w:rsidR="006A7A0D">
        <w:rPr>
          <w:rFonts w:ascii="Times New Roman" w:eastAsia="Calibri" w:hAnsi="Times New Roman" w:cs="Times New Roman"/>
          <w:b/>
          <w:color w:val="FF0000"/>
          <w:sz w:val="22"/>
          <w:szCs w:val="22"/>
        </w:rPr>
        <w:t xml:space="preserve">a minimum of </w:t>
      </w:r>
      <w:r w:rsidRPr="00D66293">
        <w:rPr>
          <w:rFonts w:ascii="Times New Roman" w:eastAsia="Calibri" w:hAnsi="Times New Roman" w:cs="Times New Roman"/>
          <w:b/>
          <w:color w:val="FF0000"/>
          <w:sz w:val="22"/>
          <w:szCs w:val="22"/>
        </w:rPr>
        <w:t>50% attendance in class</w:t>
      </w:r>
      <w:r w:rsidRPr="00D66293">
        <w:rPr>
          <w:rFonts w:ascii="Times New Roman" w:eastAsia="Calibri" w:hAnsi="Times New Roman" w:cs="Times New Roman"/>
          <w:color w:val="FF0000"/>
          <w:sz w:val="22"/>
          <w:szCs w:val="22"/>
        </w:rPr>
        <w:t xml:space="preserve">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and has genuine reasons not to appear in the regular test. Prior permission from IC is </w:t>
      </w:r>
      <w:r w:rsidR="00F65755" w:rsidRPr="00D66293">
        <w:rPr>
          <w:rFonts w:ascii="Times New Roman" w:eastAsia="Calibri" w:hAnsi="Times New Roman" w:cs="Times New Roman"/>
          <w:sz w:val="22"/>
          <w:szCs w:val="22"/>
        </w:rPr>
        <w:t xml:space="preserve">a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must for any make-up. </w:t>
      </w:r>
    </w:p>
    <w:p w14:paraId="4C1F91E3" w14:textId="77777777" w:rsidR="00E0727A" w:rsidRPr="00D66293" w:rsidRDefault="00E0727A">
      <w:pPr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722C9E55" w14:textId="77777777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b/>
          <w:sz w:val="22"/>
          <w:szCs w:val="22"/>
        </w:rPr>
        <w:t xml:space="preserve">Academic </w:t>
      </w:r>
      <w:r w:rsidRPr="00D66293">
        <w:rPr>
          <w:rFonts w:ascii="Times New Roman" w:eastAsia="Calibri" w:hAnsi="Times New Roman" w:cs="Times New Roman"/>
          <w:b/>
          <w:sz w:val="22"/>
          <w:szCs w:val="22"/>
        </w:rPr>
        <w:t>Honesty and Integrity Policy: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14:paraId="291A1C32" w14:textId="649245FE" w:rsidR="0001502A" w:rsidRDefault="00E41DE1" w:rsidP="00D66293">
      <w:pPr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      </w:t>
      </w:r>
    </w:p>
    <w:p w14:paraId="5A940FF1" w14:textId="7D347540" w:rsidR="00474BE9" w:rsidRDefault="00474BE9" w:rsidP="00D66293">
      <w:pPr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60831D3F" w14:textId="77777777" w:rsidR="00474BE9" w:rsidRDefault="00474BE9" w:rsidP="00D66293">
      <w:pPr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01D0BBAB" w14:textId="6D77D458" w:rsidR="00D66293" w:rsidRDefault="00E41DE1" w:rsidP="00D66293">
      <w:pPr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</w:t>
      </w: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                      </w:t>
      </w:r>
    </w:p>
    <w:p w14:paraId="34C32029" w14:textId="0D1853C4" w:rsidR="00E0727A" w:rsidRPr="0001502A" w:rsidRDefault="00D66293" w:rsidP="00D66293">
      <w:pPr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>
        <w:rPr>
          <w:rFonts w:ascii="Times New Roman" w:eastAsia="Calibri" w:hAnsi="Times New Roman" w:cs="Times New Roman"/>
          <w:sz w:val="22"/>
          <w:szCs w:val="22"/>
        </w:rPr>
        <w:t xml:space="preserve">  </w:t>
      </w:r>
      <w:r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ab/>
      </w:r>
      <w:r>
        <w:rPr>
          <w:rFonts w:ascii="Times New Roman" w:eastAsia="Calibri" w:hAnsi="Times New Roman" w:cs="Times New Roman"/>
          <w:sz w:val="22"/>
          <w:szCs w:val="22"/>
        </w:rPr>
        <w:tab/>
        <w:t xml:space="preserve">       </w:t>
      </w:r>
      <w:r w:rsidRPr="0001502A">
        <w:rPr>
          <w:rFonts w:ascii="Times New Roman" w:eastAsia="Calibri" w:hAnsi="Times New Roman" w:cs="Times New Roman"/>
          <w:b/>
          <w:bCs/>
          <w:sz w:val="22"/>
          <w:szCs w:val="22"/>
        </w:rPr>
        <w:t>Instructor-in-charge</w:t>
      </w:r>
    </w:p>
    <w:p w14:paraId="3CB59358" w14:textId="5A20E446" w:rsidR="00E0727A" w:rsidRPr="00D66293" w:rsidRDefault="00E41DE1">
      <w:pPr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ab/>
      </w:r>
      <w:r w:rsidRPr="00D66293">
        <w:rPr>
          <w:rFonts w:ascii="Times New Roman" w:eastAsia="Calibri" w:hAnsi="Times New Roman" w:cs="Times New Roman"/>
          <w:sz w:val="22"/>
          <w:szCs w:val="22"/>
        </w:rPr>
        <w:tab/>
      </w:r>
      <w:r w:rsidRPr="00D66293">
        <w:rPr>
          <w:rFonts w:ascii="Times New Roman" w:eastAsia="Calibri" w:hAnsi="Times New Roman" w:cs="Times New Roman"/>
          <w:sz w:val="22"/>
          <w:szCs w:val="22"/>
        </w:rPr>
        <w:tab/>
      </w:r>
      <w:r w:rsidRPr="00D66293">
        <w:rPr>
          <w:rFonts w:ascii="Times New Roman" w:eastAsia="Calibri" w:hAnsi="Times New Roman" w:cs="Times New Roman"/>
          <w:sz w:val="22"/>
          <w:szCs w:val="22"/>
        </w:rPr>
        <w:tab/>
      </w:r>
      <w:r w:rsidRPr="00D66293">
        <w:rPr>
          <w:rFonts w:ascii="Times New Roman" w:eastAsia="Calibri" w:hAnsi="Times New Roman" w:cs="Times New Roman"/>
          <w:sz w:val="22"/>
          <w:szCs w:val="22"/>
        </w:rPr>
        <w:tab/>
      </w:r>
      <w:r w:rsidR="00D6629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</w:t>
      </w:r>
      <w:r w:rsidR="00374781" w:rsidRPr="00D66293">
        <w:rPr>
          <w:rFonts w:ascii="Times New Roman" w:eastAsia="Calibri" w:hAnsi="Times New Roman" w:cs="Times New Roman"/>
          <w:sz w:val="22"/>
          <w:szCs w:val="22"/>
        </w:rPr>
        <w:t>Dr. Ramendra Kishor Pal</w:t>
      </w:r>
    </w:p>
    <w:p w14:paraId="1CE277A1" w14:textId="7B98C976" w:rsidR="00E0727A" w:rsidRPr="00D66293" w:rsidRDefault="00E41DE1">
      <w:pPr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D6629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</w:t>
      </w:r>
      <w:r w:rsidR="00374781" w:rsidRPr="00D66293">
        <w:rPr>
          <w:rFonts w:ascii="Times New Roman" w:eastAsia="Calibri" w:hAnsi="Times New Roman" w:cs="Times New Roman"/>
          <w:sz w:val="22"/>
          <w:szCs w:val="22"/>
        </w:rPr>
        <w:t xml:space="preserve">                                                                 </w:t>
      </w:r>
      <w:r w:rsidRPr="00D66293">
        <w:rPr>
          <w:rFonts w:ascii="Times New Roman" w:eastAsia="Calibri" w:hAnsi="Times New Roman" w:cs="Times New Roman"/>
          <w:sz w:val="22"/>
          <w:szCs w:val="22"/>
        </w:rPr>
        <w:t>CHE</w:t>
      </w:r>
      <w:r w:rsidR="00374781" w:rsidRPr="00D66293">
        <w:rPr>
          <w:rFonts w:ascii="Times New Roman" w:eastAsia="Calibri" w:hAnsi="Times New Roman" w:cs="Times New Roman"/>
          <w:sz w:val="22"/>
          <w:szCs w:val="22"/>
        </w:rPr>
        <w:t>-</w:t>
      </w:r>
      <w:r w:rsidRPr="00D66293">
        <w:rPr>
          <w:rFonts w:ascii="Times New Roman" w:eastAsia="Calibri" w:hAnsi="Times New Roman" w:cs="Times New Roman"/>
          <w:sz w:val="22"/>
          <w:szCs w:val="22"/>
        </w:rPr>
        <w:t>F</w:t>
      </w:r>
      <w:r w:rsidR="0001502A" w:rsidRPr="00D66293">
        <w:rPr>
          <w:rFonts w:ascii="Times New Roman" w:eastAsia="Calibri" w:hAnsi="Times New Roman" w:cs="Times New Roman"/>
          <w:sz w:val="22"/>
          <w:szCs w:val="22"/>
        </w:rPr>
        <w:t>41</w:t>
      </w:r>
      <w:r w:rsidR="0001502A">
        <w:rPr>
          <w:rFonts w:ascii="Times New Roman" w:eastAsia="Calibri" w:hAnsi="Times New Roman" w:cs="Times New Roman"/>
          <w:sz w:val="22"/>
          <w:szCs w:val="22"/>
        </w:rPr>
        <w:t xml:space="preserve"> (</w:t>
      </w:r>
      <w:r w:rsidRPr="00D66293">
        <w:rPr>
          <w:rFonts w:ascii="Times New Roman" w:eastAsia="Calibri" w:hAnsi="Times New Roman" w:cs="Times New Roman"/>
          <w:sz w:val="22"/>
          <w:szCs w:val="22"/>
        </w:rPr>
        <w:t>Chemical Process Technology)</w:t>
      </w:r>
    </w:p>
    <w:sectPr w:rsidR="00E0727A" w:rsidRPr="00D66293">
      <w:headerReference w:type="default" r:id="rId8"/>
      <w:pgSz w:w="11909" w:h="16834"/>
      <w:pgMar w:top="1135" w:right="1152" w:bottom="851" w:left="115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BF46" w14:textId="77777777" w:rsidR="00E41DE1" w:rsidRDefault="00E41DE1" w:rsidP="004A281A">
      <w:r>
        <w:separator/>
      </w:r>
    </w:p>
  </w:endnote>
  <w:endnote w:type="continuationSeparator" w:id="0">
    <w:p w14:paraId="5A159229" w14:textId="77777777" w:rsidR="00E41DE1" w:rsidRDefault="00E41DE1" w:rsidP="004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2F2A8" w14:textId="77777777" w:rsidR="00E41DE1" w:rsidRDefault="00E41DE1" w:rsidP="004A281A">
      <w:r>
        <w:separator/>
      </w:r>
    </w:p>
  </w:footnote>
  <w:footnote w:type="continuationSeparator" w:id="0">
    <w:p w14:paraId="01D04FCB" w14:textId="77777777" w:rsidR="00E41DE1" w:rsidRDefault="00E41DE1" w:rsidP="004A2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ED459" w14:textId="53A5990D" w:rsidR="004A281A" w:rsidRDefault="004A281A" w:rsidP="004A281A">
    <w:pPr>
      <w:pStyle w:val="Header"/>
      <w:jc w:val="center"/>
    </w:pPr>
    <w:r>
      <w:rPr>
        <w:b/>
        <w:bCs/>
        <w:noProof/>
        <w:color w:val="000000"/>
        <w:bdr w:val="none" w:sz="0" w:space="0" w:color="auto" w:frame="1"/>
        <w:lang w:val="en-IN"/>
      </w:rPr>
      <w:drawing>
        <wp:inline distT="0" distB="0" distL="0" distR="0" wp14:anchorId="0F88B7A7" wp14:editId="0AFA4508">
          <wp:extent cx="4921250" cy="1022350"/>
          <wp:effectExtent l="0" t="0" r="0" b="6350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682949" w14:textId="77777777" w:rsidR="004A281A" w:rsidRDefault="004A2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686E"/>
    <w:multiLevelType w:val="multilevel"/>
    <w:tmpl w:val="1FA443D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449D"/>
    <w:multiLevelType w:val="multilevel"/>
    <w:tmpl w:val="AEEE6C58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" w15:restartNumberingAfterBreak="0">
    <w:nsid w:val="5C8C42A5"/>
    <w:multiLevelType w:val="multilevel"/>
    <w:tmpl w:val="AEEE6C58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yNDK3NDQxNDC3NDdS0lEKTi0uzszPAymwrAUAJHBsXiwAAAA="/>
  </w:docVars>
  <w:rsids>
    <w:rsidRoot w:val="00E0727A"/>
    <w:rsid w:val="0001502A"/>
    <w:rsid w:val="0005181E"/>
    <w:rsid w:val="00053433"/>
    <w:rsid w:val="00152260"/>
    <w:rsid w:val="00161825"/>
    <w:rsid w:val="001976F2"/>
    <w:rsid w:val="001B1551"/>
    <w:rsid w:val="001B5809"/>
    <w:rsid w:val="002609C1"/>
    <w:rsid w:val="002A5CD6"/>
    <w:rsid w:val="0030650E"/>
    <w:rsid w:val="00374781"/>
    <w:rsid w:val="003C1CAA"/>
    <w:rsid w:val="003D7998"/>
    <w:rsid w:val="003E0541"/>
    <w:rsid w:val="00443E28"/>
    <w:rsid w:val="00474BE9"/>
    <w:rsid w:val="004A281A"/>
    <w:rsid w:val="00507CC2"/>
    <w:rsid w:val="00521862"/>
    <w:rsid w:val="00534197"/>
    <w:rsid w:val="005B189D"/>
    <w:rsid w:val="005B3D90"/>
    <w:rsid w:val="006219C2"/>
    <w:rsid w:val="00631799"/>
    <w:rsid w:val="006A7A0D"/>
    <w:rsid w:val="006C718A"/>
    <w:rsid w:val="00796347"/>
    <w:rsid w:val="00854C81"/>
    <w:rsid w:val="00856A0E"/>
    <w:rsid w:val="008E6909"/>
    <w:rsid w:val="00B26637"/>
    <w:rsid w:val="00B52BA2"/>
    <w:rsid w:val="00B74CF6"/>
    <w:rsid w:val="00C857CD"/>
    <w:rsid w:val="00D66293"/>
    <w:rsid w:val="00D93B90"/>
    <w:rsid w:val="00DD4361"/>
    <w:rsid w:val="00E019E8"/>
    <w:rsid w:val="00E0727A"/>
    <w:rsid w:val="00E41DE1"/>
    <w:rsid w:val="00EB3E53"/>
    <w:rsid w:val="00F16C18"/>
    <w:rsid w:val="00F6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9674"/>
  <w15:docId w15:val="{19F0957A-A3DC-4CB8-AECC-27B3BC5D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55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rsid w:val="00A95D55"/>
    <w:pPr>
      <w:keepNext/>
      <w:suppressAutoHyphens/>
      <w:jc w:val="both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95D55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A95D55"/>
    <w:rPr>
      <w:sz w:val="24"/>
    </w:rPr>
  </w:style>
  <w:style w:type="character" w:customStyle="1" w:styleId="EquationCaption">
    <w:name w:val="_Equation Caption"/>
    <w:rsid w:val="00A95D55"/>
  </w:style>
  <w:style w:type="paragraph" w:styleId="ListParagraph">
    <w:name w:val="List Paragraph"/>
    <w:basedOn w:val="Normal"/>
    <w:uiPriority w:val="99"/>
    <w:qFormat/>
    <w:rsid w:val="004755F0"/>
    <w:pPr>
      <w:overflowPunct/>
      <w:autoSpaceDE/>
      <w:autoSpaceDN/>
      <w:adjustRightInd/>
      <w:ind w:left="720" w:hanging="567"/>
      <w:jc w:val="both"/>
      <w:textAlignment w:val="auto"/>
    </w:pPr>
    <w:rPr>
      <w:rFonts w:ascii="Times New Roman" w:hAnsi="Times New Roman"/>
      <w:sz w:val="24"/>
      <w:szCs w:val="24"/>
    </w:rPr>
  </w:style>
  <w:style w:type="character" w:customStyle="1" w:styleId="title-text">
    <w:name w:val="title-text"/>
    <w:basedOn w:val="DefaultParagraphFont"/>
    <w:rsid w:val="002D68AF"/>
  </w:style>
  <w:style w:type="paragraph" w:styleId="BalloonText">
    <w:name w:val="Balloon Text"/>
    <w:basedOn w:val="Normal"/>
    <w:link w:val="BalloonTextChar"/>
    <w:semiHidden/>
    <w:unhideWhenUsed/>
    <w:rsid w:val="005C17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172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Revision">
    <w:name w:val="Revision"/>
    <w:hidden/>
    <w:uiPriority w:val="99"/>
    <w:semiHidden/>
    <w:rsid w:val="001B5809"/>
  </w:style>
  <w:style w:type="paragraph" w:styleId="Header">
    <w:name w:val="header"/>
    <w:basedOn w:val="Normal"/>
    <w:link w:val="HeaderChar"/>
    <w:uiPriority w:val="99"/>
    <w:unhideWhenUsed/>
    <w:rsid w:val="004A2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81A"/>
  </w:style>
  <w:style w:type="paragraph" w:styleId="Footer">
    <w:name w:val="footer"/>
    <w:basedOn w:val="Normal"/>
    <w:link w:val="FooterChar"/>
    <w:uiPriority w:val="99"/>
    <w:unhideWhenUsed/>
    <w:rsid w:val="004A2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iqLm8cquMyitJ5be8dQIGlCiw==">AMUW2mUKSE9qzHrBZguCgAG/TDv0yrgAbJHPB3/3zbpg86iEuuGKMHgpudgrbsJebF6hYptI9tm76yrazFIylYrJrYF2Ugc9t3W76vRQA2BiIgGyh2oKq+44SsK4hrprGLbBVnPuNFZP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bsj</dc:creator>
  <cp:lastModifiedBy>Windows User</cp:lastModifiedBy>
  <cp:revision>9</cp:revision>
  <dcterms:created xsi:type="dcterms:W3CDTF">2023-01-10T03:19:00Z</dcterms:created>
  <dcterms:modified xsi:type="dcterms:W3CDTF">2023-01-16T05:56:00Z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cf43d60eb8f2fee67254938b1fe404a05df9ff9245fb96e37da53e1822a2a5f3</vt:lpwstr>
  </property>
</Properties>
</file>