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BE3" w:rsidRDefault="00A07B19">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924425" cy="1019175"/>
                    </a:xfrm>
                    <a:prstGeom prst="rect">
                      <a:avLst/>
                    </a:prstGeom>
                    <a:noFill/>
                    <a:ln>
                      <a:noFill/>
                    </a:ln>
                  </pic:spPr>
                </pic:pic>
              </a:graphicData>
            </a:graphic>
          </wp:inline>
        </w:drawing>
      </w:r>
    </w:p>
    <w:p w:rsidR="00785BE3" w:rsidRDefault="00A07B19">
      <w:pPr>
        <w:jc w:val="center"/>
        <w:rPr>
          <w:b/>
          <w:bCs/>
        </w:rPr>
      </w:pPr>
      <w:r>
        <w:rPr>
          <w:b/>
          <w:bCs/>
        </w:rPr>
        <w:t>Second Semester 2022-2023</w:t>
      </w:r>
    </w:p>
    <w:p w:rsidR="00785BE3" w:rsidRDefault="00A07B19">
      <w:pPr>
        <w:pStyle w:val="Heading1"/>
        <w:jc w:val="center"/>
      </w:pPr>
      <w:r>
        <w:t>Course Handout Part II</w:t>
      </w:r>
    </w:p>
    <w:p w:rsidR="00785BE3" w:rsidRDefault="00A07B19">
      <w:pPr>
        <w:jc w:val="right"/>
      </w:pPr>
      <w:r>
        <w:tab/>
      </w:r>
      <w:r>
        <w:tab/>
      </w:r>
      <w:r>
        <w:tab/>
      </w:r>
      <w:r>
        <w:tab/>
      </w:r>
      <w:r>
        <w:tab/>
      </w:r>
      <w:r>
        <w:tab/>
      </w:r>
      <w:r>
        <w:tab/>
      </w:r>
      <w:r>
        <w:tab/>
      </w:r>
      <w:r>
        <w:tab/>
      </w:r>
      <w:r>
        <w:tab/>
        <w:t xml:space="preserve">    Date: 1</w:t>
      </w:r>
      <w:r w:rsidR="004E29EB">
        <w:t>6</w:t>
      </w:r>
      <w:r>
        <w:t xml:space="preserve">-01-2023 </w:t>
      </w:r>
    </w:p>
    <w:p w:rsidR="00785BE3" w:rsidRDefault="00785BE3">
      <w:pPr>
        <w:pStyle w:val="BodyText"/>
      </w:pPr>
    </w:p>
    <w:p w:rsidR="00785BE3" w:rsidRDefault="00A07B19">
      <w:pPr>
        <w:pStyle w:val="BodyText"/>
      </w:pPr>
      <w:r>
        <w:t>In addition to part-I (General Handout for all courses appended to the time table) this portion gives further specific details regarding the course.</w:t>
      </w:r>
    </w:p>
    <w:p w:rsidR="00785BE3" w:rsidRDefault="00785BE3"/>
    <w:p w:rsidR="00785BE3" w:rsidRDefault="00A07B19">
      <w:pPr>
        <w:rPr>
          <w:iCs/>
        </w:rPr>
      </w:pPr>
      <w:r>
        <w:rPr>
          <w:i/>
          <w:iCs/>
        </w:rPr>
        <w:t>Course No.</w:t>
      </w:r>
      <w:r>
        <w:tab/>
      </w:r>
      <w:r>
        <w:tab/>
      </w:r>
      <w:r>
        <w:tab/>
        <w:t xml:space="preserve">: </w:t>
      </w:r>
      <w:r>
        <w:rPr>
          <w:b/>
        </w:rPr>
        <w:t>PHA F313</w:t>
      </w:r>
    </w:p>
    <w:p w:rsidR="00785BE3" w:rsidRDefault="00A07B19">
      <w:pPr>
        <w:pStyle w:val="Heading2"/>
        <w:rPr>
          <w:b/>
          <w:bCs/>
          <w:i w:val="0"/>
          <w:iCs w:val="0"/>
        </w:rPr>
      </w:pPr>
      <w:r>
        <w:t>Course Title</w:t>
      </w:r>
      <w:r>
        <w:rPr>
          <w:i w:val="0"/>
          <w:iCs w:val="0"/>
        </w:rPr>
        <w:tab/>
      </w:r>
      <w:r>
        <w:rPr>
          <w:i w:val="0"/>
          <w:iCs w:val="0"/>
        </w:rPr>
        <w:tab/>
      </w:r>
      <w:r>
        <w:rPr>
          <w:i w:val="0"/>
          <w:iCs w:val="0"/>
        </w:rPr>
        <w:tab/>
        <w:t xml:space="preserve">: </w:t>
      </w:r>
      <w:r>
        <w:rPr>
          <w:b/>
          <w:i w:val="0"/>
        </w:rPr>
        <w:t>Instrumental Methods of Analysis</w:t>
      </w:r>
    </w:p>
    <w:p w:rsidR="00785BE3" w:rsidRDefault="00A07B19">
      <w:pPr>
        <w:pStyle w:val="Heading2"/>
        <w:rPr>
          <w:b/>
          <w:i w:val="0"/>
        </w:rPr>
      </w:pPr>
      <w:r>
        <w:t>Instructor-in-Charge</w:t>
      </w:r>
      <w:r>
        <w:rPr>
          <w:i w:val="0"/>
          <w:iCs w:val="0"/>
        </w:rPr>
        <w:tab/>
      </w:r>
      <w:r>
        <w:rPr>
          <w:i w:val="0"/>
          <w:iCs w:val="0"/>
        </w:rPr>
        <w:tab/>
        <w:t xml:space="preserve">: </w:t>
      </w:r>
      <w:r>
        <w:rPr>
          <w:b/>
          <w:i w:val="0"/>
        </w:rPr>
        <w:t>A. SAJELI BEGUM</w:t>
      </w:r>
    </w:p>
    <w:p w:rsidR="00785BE3" w:rsidRDefault="00A07B19">
      <w:r>
        <w:rPr>
          <w:i/>
        </w:rPr>
        <w:t>Instructors</w:t>
      </w:r>
      <w:r>
        <w:tab/>
      </w:r>
      <w:r>
        <w:tab/>
      </w:r>
      <w:r>
        <w:tab/>
        <w:t xml:space="preserve">: Sai Sanjay, Shreya Chauhan, </w:t>
      </w:r>
      <w:proofErr w:type="spellStart"/>
      <w:r>
        <w:t>Suraj</w:t>
      </w:r>
      <w:proofErr w:type="spellEnd"/>
      <w:r>
        <w:t xml:space="preserve"> Gupta, </w:t>
      </w:r>
      <w:proofErr w:type="spellStart"/>
      <w:r>
        <w:t>Shridula</w:t>
      </w:r>
      <w:proofErr w:type="spellEnd"/>
      <w:r>
        <w:t xml:space="preserve"> S., </w:t>
      </w:r>
      <w:proofErr w:type="spellStart"/>
      <w:r>
        <w:t>Velmurugan</w:t>
      </w:r>
      <w:proofErr w:type="spellEnd"/>
    </w:p>
    <w:p w:rsidR="00785BE3" w:rsidRDefault="00785BE3"/>
    <w:p w:rsidR="00785BE3" w:rsidRDefault="00A07B19">
      <w:pPr>
        <w:rPr>
          <w:b/>
          <w:bCs/>
        </w:rPr>
      </w:pPr>
      <w:r>
        <w:rPr>
          <w:b/>
          <w:bCs/>
        </w:rPr>
        <w:t>Scope and Objective of the Course:</w:t>
      </w:r>
    </w:p>
    <w:p w:rsidR="00785BE3" w:rsidRDefault="00A07B19">
      <w:pPr>
        <w:pStyle w:val="BodyText"/>
      </w:pPr>
      <w:r>
        <w:t>The course is aimed at exposing the students to modern analytical techniques in relevance to pharmaceutical industries. Training with respect to the handling of sophisticated instruments and their operation, interpretation of results obtained with relevance to the identification and characterization of molecules, their qualitative and quantitative evaluation and control are emphasized.</w:t>
      </w:r>
    </w:p>
    <w:p w:rsidR="00785BE3" w:rsidRDefault="00785BE3">
      <w:pPr>
        <w:pStyle w:val="BodyText"/>
        <w:rPr>
          <w:b/>
        </w:rPr>
      </w:pPr>
    </w:p>
    <w:p w:rsidR="00785BE3" w:rsidRDefault="00A07B19">
      <w:pPr>
        <w:pStyle w:val="BodyText"/>
        <w:rPr>
          <w:b/>
        </w:rPr>
      </w:pPr>
      <w:r>
        <w:rPr>
          <w:b/>
        </w:rPr>
        <w:t>Learning Outcome:</w:t>
      </w:r>
    </w:p>
    <w:p w:rsidR="00785BE3" w:rsidRDefault="00A07B19">
      <w:pPr>
        <w:pStyle w:val="BodyText"/>
        <w:numPr>
          <w:ilvl w:val="0"/>
          <w:numId w:val="1"/>
        </w:numPr>
      </w:pPr>
      <w:r>
        <w:t xml:space="preserve">Handling of analytical instruments for performing qualitative and quantitative analyses of drugs. </w:t>
      </w:r>
    </w:p>
    <w:p w:rsidR="00785BE3" w:rsidRDefault="00A07B19">
      <w:pPr>
        <w:pStyle w:val="BodyText"/>
        <w:numPr>
          <w:ilvl w:val="0"/>
          <w:numId w:val="1"/>
        </w:numPr>
      </w:pPr>
      <w:r>
        <w:t xml:space="preserve">Design and development of suitable analytical methods for drugs based on their </w:t>
      </w:r>
      <w:proofErr w:type="spellStart"/>
      <w:r>
        <w:t>physico</w:t>
      </w:r>
      <w:proofErr w:type="spellEnd"/>
      <w:r>
        <w:t>-chemical characters meeting the standard requirements.</w:t>
      </w:r>
    </w:p>
    <w:p w:rsidR="00785BE3" w:rsidRDefault="00A07B19">
      <w:pPr>
        <w:pStyle w:val="BodyText"/>
        <w:numPr>
          <w:ilvl w:val="0"/>
          <w:numId w:val="1"/>
        </w:numPr>
      </w:pPr>
      <w:r>
        <w:t>Ability to interpret the analytical graphs and spectra for drug identification, characterization, evaluation and decision making</w:t>
      </w:r>
    </w:p>
    <w:p w:rsidR="00785BE3" w:rsidRDefault="00785BE3">
      <w:pPr>
        <w:pStyle w:val="BodyText"/>
      </w:pPr>
    </w:p>
    <w:p w:rsidR="00785BE3" w:rsidRDefault="00A07B19">
      <w:pPr>
        <w:pStyle w:val="BodyText"/>
        <w:rPr>
          <w:bCs/>
        </w:rPr>
      </w:pPr>
      <w:r>
        <w:rPr>
          <w:b/>
          <w:bCs/>
        </w:rPr>
        <w:t>Textbooks:</w:t>
      </w:r>
    </w:p>
    <w:p w:rsidR="00785BE3" w:rsidRDefault="00A07B19">
      <w:pPr>
        <w:pStyle w:val="ListParagraph"/>
        <w:ind w:left="0"/>
        <w:rPr>
          <w:szCs w:val="24"/>
        </w:rPr>
      </w:pPr>
      <w:r>
        <w:rPr>
          <w:szCs w:val="24"/>
        </w:rPr>
        <w:t>T1. Willard H.H., et al., "Instrumental Methods of Analysis", CBS Pub., New Delhi, 7</w:t>
      </w:r>
      <w:r>
        <w:rPr>
          <w:szCs w:val="24"/>
          <w:vertAlign w:val="superscript"/>
        </w:rPr>
        <w:t>th</w:t>
      </w:r>
      <w:r>
        <w:rPr>
          <w:szCs w:val="24"/>
        </w:rPr>
        <w:t xml:space="preserve"> ed., 1988</w:t>
      </w:r>
    </w:p>
    <w:p w:rsidR="00785BE3" w:rsidRDefault="00A07B19">
      <w:pPr>
        <w:pStyle w:val="ListParagraph"/>
        <w:ind w:left="0"/>
        <w:rPr>
          <w:szCs w:val="24"/>
        </w:rPr>
      </w:pPr>
      <w:r>
        <w:rPr>
          <w:szCs w:val="24"/>
        </w:rPr>
        <w:t xml:space="preserve">T2. </w:t>
      </w:r>
      <w:proofErr w:type="spellStart"/>
      <w:r>
        <w:rPr>
          <w:szCs w:val="24"/>
        </w:rPr>
        <w:t>Parimoo</w:t>
      </w:r>
      <w:proofErr w:type="spellEnd"/>
      <w:r>
        <w:rPr>
          <w:szCs w:val="24"/>
        </w:rPr>
        <w:t xml:space="preserve"> P, Pharmaceutical Analysis", CBSI, 1988</w:t>
      </w:r>
    </w:p>
    <w:p w:rsidR="00785BE3" w:rsidRDefault="00785BE3">
      <w:pPr>
        <w:jc w:val="both"/>
        <w:rPr>
          <w:b/>
          <w:bCs/>
        </w:rPr>
      </w:pPr>
    </w:p>
    <w:p w:rsidR="00785BE3" w:rsidRDefault="00A07B19">
      <w:pPr>
        <w:jc w:val="both"/>
        <w:rPr>
          <w:b/>
          <w:bCs/>
        </w:rPr>
      </w:pPr>
      <w:r>
        <w:rPr>
          <w:b/>
          <w:bCs/>
        </w:rPr>
        <w:t>Reference books</w:t>
      </w:r>
    </w:p>
    <w:p w:rsidR="00785BE3" w:rsidRDefault="00A07B19">
      <w:pPr>
        <w:pStyle w:val="ListParagraph"/>
        <w:ind w:left="360"/>
        <w:jc w:val="both"/>
        <w:rPr>
          <w:szCs w:val="24"/>
        </w:rPr>
      </w:pPr>
      <w:r>
        <w:rPr>
          <w:szCs w:val="24"/>
        </w:rPr>
        <w:t>R1. Robert M Silverstein, Francis X Webster -"Spectroscopic Identification of Organic Compounds", Eighth Edition, John Wiley and Sons, Inc., N.Y., 2014.</w:t>
      </w:r>
    </w:p>
    <w:p w:rsidR="00785BE3" w:rsidRDefault="00A07B19">
      <w:pPr>
        <w:pStyle w:val="ListParagraph"/>
        <w:ind w:left="360"/>
        <w:jc w:val="both"/>
        <w:rPr>
          <w:szCs w:val="24"/>
        </w:rPr>
      </w:pPr>
      <w:r>
        <w:rPr>
          <w:szCs w:val="24"/>
        </w:rPr>
        <w:t xml:space="preserve">R2. Yuri </w:t>
      </w:r>
      <w:proofErr w:type="spellStart"/>
      <w:r>
        <w:rPr>
          <w:szCs w:val="24"/>
        </w:rPr>
        <w:t>Kazakevich</w:t>
      </w:r>
      <w:proofErr w:type="spellEnd"/>
      <w:r>
        <w:rPr>
          <w:szCs w:val="24"/>
        </w:rPr>
        <w:t xml:space="preserve"> and Rosario </w:t>
      </w:r>
      <w:proofErr w:type="spellStart"/>
      <w:r>
        <w:rPr>
          <w:szCs w:val="24"/>
        </w:rPr>
        <w:t>Lobrutto</w:t>
      </w:r>
      <w:proofErr w:type="spellEnd"/>
      <w:r>
        <w:rPr>
          <w:szCs w:val="24"/>
        </w:rPr>
        <w:t>. HPLC for pharmaceutical Scientists. John Wiley and Sons, Inc., N.Y., 2007</w:t>
      </w:r>
    </w:p>
    <w:p w:rsidR="00785BE3" w:rsidRDefault="00A07B19">
      <w:pPr>
        <w:pStyle w:val="ListParagraph"/>
        <w:ind w:left="360"/>
        <w:rPr>
          <w:szCs w:val="24"/>
        </w:rPr>
      </w:pPr>
      <w:r>
        <w:rPr>
          <w:szCs w:val="24"/>
        </w:rPr>
        <w:t xml:space="preserve">R3. A.H. Beckett and J.B. </w:t>
      </w:r>
      <w:proofErr w:type="spellStart"/>
      <w:r>
        <w:rPr>
          <w:szCs w:val="24"/>
        </w:rPr>
        <w:t>Stenlake</w:t>
      </w:r>
      <w:proofErr w:type="spellEnd"/>
      <w:r>
        <w:rPr>
          <w:szCs w:val="24"/>
        </w:rPr>
        <w:t xml:space="preserve"> -"Practical Pharmaceutical Analysis", Fourth Edition, CBS Pub., New Delhi., Vol. I &amp; II, 1988. </w:t>
      </w:r>
    </w:p>
    <w:p w:rsidR="00785BE3" w:rsidRDefault="00A07B19">
      <w:pPr>
        <w:pStyle w:val="ListParagraph"/>
        <w:ind w:left="0" w:firstLine="360"/>
        <w:jc w:val="both"/>
        <w:rPr>
          <w:szCs w:val="24"/>
        </w:rPr>
      </w:pPr>
      <w:r>
        <w:rPr>
          <w:szCs w:val="24"/>
        </w:rPr>
        <w:t xml:space="preserve">R4. Maureen Melvin,-"Electrophoresis", John Wiley and Sons, Inc., N.Y., 1987. </w:t>
      </w:r>
    </w:p>
    <w:p w:rsidR="00785BE3" w:rsidRDefault="00A07B19">
      <w:pPr>
        <w:pStyle w:val="ListParagraph"/>
        <w:ind w:left="360"/>
        <w:jc w:val="both"/>
        <w:rPr>
          <w:szCs w:val="24"/>
        </w:rPr>
      </w:pPr>
      <w:r>
        <w:rPr>
          <w:szCs w:val="24"/>
        </w:rPr>
        <w:t xml:space="preserve">R5. </w:t>
      </w:r>
      <w:proofErr w:type="spellStart"/>
      <w:r>
        <w:rPr>
          <w:szCs w:val="24"/>
        </w:rPr>
        <w:t>B.G.Nagavi</w:t>
      </w:r>
      <w:proofErr w:type="spellEnd"/>
      <w:r>
        <w:rPr>
          <w:szCs w:val="24"/>
        </w:rPr>
        <w:t xml:space="preserve">,-"Laboratory Handbook of Instrumental Drug Analysis", </w:t>
      </w:r>
      <w:proofErr w:type="spellStart"/>
      <w:r>
        <w:rPr>
          <w:szCs w:val="24"/>
        </w:rPr>
        <w:t>Vallabh</w:t>
      </w:r>
      <w:proofErr w:type="spellEnd"/>
      <w:r>
        <w:rPr>
          <w:szCs w:val="24"/>
        </w:rPr>
        <w:t xml:space="preserve"> </w:t>
      </w:r>
      <w:proofErr w:type="spellStart"/>
      <w:r>
        <w:rPr>
          <w:szCs w:val="24"/>
        </w:rPr>
        <w:t>Prakashan</w:t>
      </w:r>
      <w:proofErr w:type="spellEnd"/>
      <w:r>
        <w:rPr>
          <w:szCs w:val="24"/>
        </w:rPr>
        <w:t xml:space="preserve">, New Delhi, 1996.   </w:t>
      </w:r>
    </w:p>
    <w:p w:rsidR="00785BE3" w:rsidRDefault="00A07B19">
      <w:pPr>
        <w:pStyle w:val="ListParagraph"/>
        <w:ind w:left="360"/>
        <w:jc w:val="both"/>
        <w:rPr>
          <w:szCs w:val="24"/>
        </w:rPr>
      </w:pPr>
      <w:r>
        <w:rPr>
          <w:szCs w:val="24"/>
        </w:rPr>
        <w:t xml:space="preserve">R6. Mahesh, R &amp; Others </w:t>
      </w:r>
      <w:proofErr w:type="spellStart"/>
      <w:r>
        <w:rPr>
          <w:szCs w:val="24"/>
        </w:rPr>
        <w:t>Instru</w:t>
      </w:r>
      <w:proofErr w:type="spellEnd"/>
      <w:r>
        <w:rPr>
          <w:szCs w:val="24"/>
        </w:rPr>
        <w:t>. Methods of Analysis Lab Manual Notes EDD, 2007.</w:t>
      </w:r>
    </w:p>
    <w:p w:rsidR="00785BE3" w:rsidRDefault="00785BE3">
      <w:pPr>
        <w:pStyle w:val="ListParagraph"/>
        <w:jc w:val="both"/>
        <w:rPr>
          <w:szCs w:val="24"/>
        </w:rPr>
      </w:pPr>
    </w:p>
    <w:p w:rsidR="00785BE3" w:rsidRDefault="00A07B19">
      <w:pPr>
        <w:jc w:val="both"/>
        <w:rPr>
          <w:b/>
          <w:bCs/>
        </w:rPr>
      </w:pPr>
      <w:r>
        <w:rPr>
          <w:b/>
          <w:bCs/>
        </w:rPr>
        <w:lastRenderedPageBreak/>
        <w:t>Course Plan:</w:t>
      </w:r>
    </w:p>
    <w:p w:rsidR="00785BE3" w:rsidRDefault="00A07B19">
      <w:pPr>
        <w:pStyle w:val="ListParagraph"/>
        <w:numPr>
          <w:ilvl w:val="0"/>
          <w:numId w:val="2"/>
        </w:numPr>
        <w:rPr>
          <w:b/>
          <w:szCs w:val="24"/>
          <w:u w:val="single"/>
        </w:rPr>
      </w:pPr>
      <w:r>
        <w:rPr>
          <w:b/>
          <w:szCs w:val="24"/>
          <w:u w:val="single"/>
        </w:rPr>
        <w:t>Lecture and Tutorial Plan</w:t>
      </w:r>
    </w:p>
    <w:p w:rsidR="00785BE3" w:rsidRDefault="00785BE3">
      <w:pPr>
        <w:pStyle w:val="ListParagraph"/>
        <w:rPr>
          <w:b/>
          <w:szCs w:val="24"/>
          <w:u w:val="single"/>
        </w:rPr>
      </w:pPr>
    </w:p>
    <w:tbl>
      <w:tblPr>
        <w:tblW w:w="9982" w:type="dxa"/>
        <w:jc w:val="center"/>
        <w:tblBorders>
          <w:top w:val="single" w:sz="6" w:space="0" w:color="000000"/>
          <w:left w:val="single" w:sz="6" w:space="0" w:color="000000"/>
          <w:bottom w:val="single" w:sz="6" w:space="0" w:color="000000"/>
          <w:right w:val="single" w:sz="6" w:space="0" w:color="000000"/>
        </w:tblBorders>
        <w:tblLayout w:type="fixed"/>
        <w:tblLook w:val="04A0" w:firstRow="1" w:lastRow="0" w:firstColumn="1" w:lastColumn="0" w:noHBand="0" w:noVBand="1"/>
      </w:tblPr>
      <w:tblGrid>
        <w:gridCol w:w="1481"/>
        <w:gridCol w:w="4369"/>
        <w:gridCol w:w="2520"/>
        <w:gridCol w:w="1612"/>
      </w:tblGrid>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rPr>
                <w:bCs/>
              </w:rPr>
            </w:pPr>
            <w:proofErr w:type="spellStart"/>
            <w:r>
              <w:rPr>
                <w:bCs/>
              </w:rPr>
              <w:t>Lect</w:t>
            </w:r>
            <w:proofErr w:type="spellEnd"/>
            <w:r>
              <w:rPr>
                <w:bCs/>
              </w:rPr>
              <w:t xml:space="preserve"> (L) and Tut. (T)</w:t>
            </w:r>
          </w:p>
          <w:p w:rsidR="00785BE3" w:rsidRDefault="00A07B19">
            <w:pPr>
              <w:rPr>
                <w:bCs/>
              </w:rPr>
            </w:pPr>
            <w:r>
              <w:rPr>
                <w:bCs/>
              </w:rPr>
              <w:t>No.</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Learning Objectives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Topics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Chapter in the Text Book</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1</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Introduction of various analytical techniques applicable in field of Pharmacy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Introduction to Instrumental Methods of Analysis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1-5; TB-2: 1,2</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2-4 (L)</w:t>
            </w:r>
          </w:p>
          <w:p w:rsidR="00785BE3" w:rsidRDefault="00A07B19">
            <w:pPr>
              <w:jc w:val="center"/>
              <w:rPr>
                <w:bCs/>
              </w:rPr>
            </w:pPr>
            <w:r>
              <w:rPr>
                <w:bCs/>
              </w:rPr>
              <w:t>5-6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Learn the principle, instrumentation and application - Difference, Derivative Spectroscopy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UV Spectroscopy</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6, 7; TB-2: 14,15</w:t>
            </w:r>
          </w:p>
          <w:p w:rsidR="00785BE3" w:rsidRDefault="00A07B19">
            <w:pPr>
              <w:jc w:val="both"/>
              <w:rPr>
                <w:bCs/>
              </w:rPr>
            </w:pPr>
            <w:r>
              <w:rPr>
                <w:bCs/>
              </w:rPr>
              <w:t>TB-1: 2,3; TB-2:14,15 and R4</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7-9 (L)</w:t>
            </w:r>
          </w:p>
          <w:p w:rsidR="00785BE3" w:rsidRDefault="00A07B19">
            <w:pPr>
              <w:jc w:val="center"/>
              <w:rPr>
                <w:bCs/>
              </w:rPr>
            </w:pPr>
            <w:r>
              <w:rPr>
                <w:bCs/>
              </w:rPr>
              <w:t>10-11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 xml:space="preserve">Learn the theory, instrumentation, spectral data analysis followed by applications in </w:t>
            </w:r>
            <w:proofErr w:type="spellStart"/>
            <w:r>
              <w:rPr>
                <w:bCs/>
              </w:rPr>
              <w:t>preformulation</w:t>
            </w:r>
            <w:proofErr w:type="spellEnd"/>
            <w:r>
              <w:rPr>
                <w:bCs/>
              </w:rPr>
              <w:t xml:space="preserve"> studies </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 xml:space="preserve">IR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11 ; TB-2: 18; R2-3</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12-13</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Theory and factors governing X-ray spectroscopy</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X-ray spectroscopy</w:t>
            </w:r>
            <w:r>
              <w:rPr>
                <w:bCs/>
              </w:rPr>
              <w:tab/>
              <w:t xml:space="preserve">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13</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14-20 (L) 21-23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Knowledge on proton and carbon NMR – Theory and spectra interpretation</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 xml:space="preserve">NMR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15; TB-2: 19; R2-4 &amp; 5</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24-26 (L) 27-28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 xml:space="preserve">Theory, various instrumental aspects and spectra analysis. </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 xml:space="preserve">Mass Spectroscopy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16; TB-2: 20; R2-2</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 xml:space="preserve">29-31 (L) </w:t>
            </w:r>
          </w:p>
          <w:p w:rsidR="00785BE3" w:rsidRDefault="00A07B19">
            <w:pPr>
              <w:jc w:val="center"/>
              <w:rPr>
                <w:bCs/>
              </w:rPr>
            </w:pPr>
            <w:r>
              <w:rPr>
                <w:bCs/>
              </w:rPr>
              <w:t>32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Theory and applications of DSC and TGA</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Thermography</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25; TB-2: 25</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33-37 (L) 38-40 (T)</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Design and development of analytical methods for the separation,  purification and quantitative analysis of drugs through various chromatographic techniques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Chromatographic Techniques</w:t>
            </w:r>
          </w:p>
          <w:p w:rsidR="00785BE3" w:rsidRDefault="00A07B19">
            <w:pPr>
              <w:pStyle w:val="ListParagraph"/>
              <w:numPr>
                <w:ilvl w:val="0"/>
                <w:numId w:val="3"/>
              </w:numPr>
              <w:jc w:val="both"/>
              <w:rPr>
                <w:bCs/>
                <w:szCs w:val="24"/>
                <w:lang w:eastAsia="en-US"/>
              </w:rPr>
            </w:pPr>
            <w:r>
              <w:rPr>
                <w:bCs/>
                <w:szCs w:val="24"/>
                <w:lang w:eastAsia="en-US"/>
              </w:rPr>
              <w:t>Introduction</w:t>
            </w:r>
          </w:p>
          <w:p w:rsidR="00785BE3" w:rsidRDefault="00A07B19">
            <w:pPr>
              <w:pStyle w:val="ListParagraph"/>
              <w:numPr>
                <w:ilvl w:val="0"/>
                <w:numId w:val="3"/>
              </w:numPr>
              <w:jc w:val="both"/>
              <w:rPr>
                <w:bCs/>
                <w:szCs w:val="24"/>
                <w:lang w:eastAsia="en-US"/>
              </w:rPr>
            </w:pPr>
            <w:r>
              <w:rPr>
                <w:bCs/>
                <w:szCs w:val="24"/>
                <w:lang w:eastAsia="en-US"/>
              </w:rPr>
              <w:t>Gas Chromatography</w:t>
            </w:r>
          </w:p>
          <w:p w:rsidR="00785BE3" w:rsidRDefault="00A07B19">
            <w:pPr>
              <w:pStyle w:val="ListParagraph"/>
              <w:numPr>
                <w:ilvl w:val="0"/>
                <w:numId w:val="3"/>
              </w:numPr>
              <w:jc w:val="both"/>
              <w:rPr>
                <w:bCs/>
                <w:szCs w:val="24"/>
                <w:lang w:eastAsia="en-US"/>
              </w:rPr>
            </w:pPr>
            <w:r>
              <w:rPr>
                <w:bCs/>
                <w:szCs w:val="24"/>
                <w:lang w:eastAsia="en-US"/>
              </w:rPr>
              <w:t>HPLC</w:t>
            </w:r>
          </w:p>
          <w:p w:rsidR="00785BE3" w:rsidRDefault="00A07B19">
            <w:pPr>
              <w:pStyle w:val="ListParagraph"/>
              <w:numPr>
                <w:ilvl w:val="0"/>
                <w:numId w:val="3"/>
              </w:numPr>
              <w:jc w:val="both"/>
              <w:rPr>
                <w:bCs/>
                <w:szCs w:val="24"/>
                <w:lang w:eastAsia="en-US"/>
              </w:rPr>
            </w:pPr>
            <w:r>
              <w:rPr>
                <w:bCs/>
                <w:szCs w:val="24"/>
                <w:lang w:eastAsia="en-US"/>
              </w:rPr>
              <w:t>Hyphenated LC techniques, HPTLC</w:t>
            </w:r>
          </w:p>
          <w:p w:rsidR="00785BE3" w:rsidRDefault="00A07B19">
            <w:pPr>
              <w:pStyle w:val="ListParagraph"/>
              <w:numPr>
                <w:ilvl w:val="0"/>
                <w:numId w:val="3"/>
              </w:numPr>
              <w:jc w:val="both"/>
              <w:rPr>
                <w:bCs/>
                <w:szCs w:val="24"/>
                <w:lang w:eastAsia="en-US"/>
              </w:rPr>
            </w:pPr>
            <w:r>
              <w:rPr>
                <w:bCs/>
                <w:szCs w:val="24"/>
                <w:lang w:eastAsia="en-US"/>
              </w:rPr>
              <w:t>High Voltage/ Gel Electrophoresis</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17; TB-2: 21</w:t>
            </w:r>
          </w:p>
          <w:p w:rsidR="00785BE3" w:rsidRDefault="00A07B19">
            <w:pPr>
              <w:jc w:val="both"/>
              <w:rPr>
                <w:bCs/>
              </w:rPr>
            </w:pPr>
            <w:r>
              <w:rPr>
                <w:bCs/>
              </w:rPr>
              <w:t>TB-1: 18; TB-2: 21</w:t>
            </w:r>
          </w:p>
          <w:p w:rsidR="00785BE3" w:rsidRDefault="00A07B19">
            <w:pPr>
              <w:jc w:val="both"/>
              <w:rPr>
                <w:bCs/>
              </w:rPr>
            </w:pPr>
            <w:r>
              <w:rPr>
                <w:bCs/>
              </w:rPr>
              <w:t>TB-1: 19,20; TB-2: 21</w:t>
            </w:r>
          </w:p>
          <w:p w:rsidR="00785BE3" w:rsidRDefault="00A07B19">
            <w:pPr>
              <w:jc w:val="both"/>
              <w:rPr>
                <w:bCs/>
              </w:rPr>
            </w:pPr>
            <w:r>
              <w:rPr>
                <w:bCs/>
              </w:rPr>
              <w:t>TB-2:  21,22; R-5 and class notes</w:t>
            </w:r>
          </w:p>
        </w:tc>
      </w:tr>
      <w:tr w:rsidR="00785BE3">
        <w:trPr>
          <w:jc w:val="center"/>
        </w:trPr>
        <w:tc>
          <w:tcPr>
            <w:tcW w:w="148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center"/>
              <w:rPr>
                <w:bCs/>
              </w:rPr>
            </w:pPr>
            <w:r>
              <w:rPr>
                <w:bCs/>
              </w:rPr>
              <w:t>41-42</w:t>
            </w:r>
          </w:p>
        </w:tc>
        <w:tc>
          <w:tcPr>
            <w:tcW w:w="4369" w:type="dxa"/>
            <w:tcBorders>
              <w:top w:val="single" w:sz="6" w:space="0" w:color="000000"/>
              <w:left w:val="single" w:sz="6" w:space="0" w:color="000000"/>
              <w:bottom w:val="single" w:sz="6" w:space="0" w:color="000000"/>
              <w:right w:val="single" w:sz="6" w:space="0" w:color="000000"/>
            </w:tcBorders>
            <w:shd w:val="clear" w:color="auto" w:fill="E6E6E6"/>
          </w:tcPr>
          <w:p w:rsidR="00785BE3" w:rsidRDefault="00A07B19">
            <w:pPr>
              <w:jc w:val="both"/>
              <w:rPr>
                <w:bCs/>
              </w:rPr>
            </w:pPr>
            <w:r>
              <w:rPr>
                <w:bCs/>
              </w:rPr>
              <w:t>Analysis of heavy metals and inorganic drugs</w:t>
            </w:r>
          </w:p>
        </w:tc>
        <w:tc>
          <w:tcPr>
            <w:tcW w:w="25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 xml:space="preserve">Flame photometry and A.A.S                                        </w:t>
            </w:r>
          </w:p>
        </w:tc>
        <w:tc>
          <w:tcPr>
            <w:tcW w:w="16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85BE3" w:rsidRDefault="00A07B19">
            <w:pPr>
              <w:jc w:val="both"/>
              <w:rPr>
                <w:bCs/>
              </w:rPr>
            </w:pPr>
            <w:r>
              <w:rPr>
                <w:bCs/>
              </w:rPr>
              <w:t>TB-1: 9,10; TB-2: 16</w:t>
            </w:r>
          </w:p>
        </w:tc>
      </w:tr>
    </w:tbl>
    <w:p w:rsidR="00785BE3" w:rsidRDefault="00785BE3">
      <w:pPr>
        <w:pStyle w:val="ListParagraph"/>
        <w:rPr>
          <w:b/>
          <w:szCs w:val="24"/>
          <w:u w:val="single"/>
        </w:rPr>
      </w:pPr>
    </w:p>
    <w:p w:rsidR="00785BE3" w:rsidRDefault="00785BE3">
      <w:pPr>
        <w:pStyle w:val="ListParagraph"/>
        <w:rPr>
          <w:b/>
          <w:szCs w:val="24"/>
          <w:u w:val="single"/>
        </w:rPr>
      </w:pPr>
    </w:p>
    <w:p w:rsidR="00785BE3" w:rsidRDefault="00A07B19">
      <w:pPr>
        <w:pStyle w:val="ListParagraph"/>
        <w:numPr>
          <w:ilvl w:val="0"/>
          <w:numId w:val="2"/>
        </w:numPr>
        <w:rPr>
          <w:b/>
          <w:szCs w:val="24"/>
          <w:u w:val="single"/>
        </w:rPr>
      </w:pPr>
      <w:r>
        <w:rPr>
          <w:b/>
          <w:szCs w:val="24"/>
          <w:u w:val="single"/>
        </w:rPr>
        <w:t xml:space="preserve">Plan for Laboratory: </w:t>
      </w:r>
    </w:p>
    <w:p w:rsidR="00785BE3" w:rsidRDefault="00A07B19">
      <w:pPr>
        <w:pStyle w:val="ListParagraph"/>
        <w:jc w:val="both"/>
        <w:rPr>
          <w:szCs w:val="24"/>
        </w:rPr>
      </w:pPr>
      <w:r>
        <w:rPr>
          <w:szCs w:val="24"/>
        </w:rPr>
        <w:lastRenderedPageBreak/>
        <w:t>Laboratory sessions will be conducted so that students get hands on experience on all the sophisticated analytical instruments. Certain instruments will only be demonstrated to the students. The comprehensive list of experiments is given below.</w:t>
      </w:r>
    </w:p>
    <w:p w:rsidR="00785BE3" w:rsidRDefault="00785BE3">
      <w:pPr>
        <w:rPr>
          <w:b/>
          <w:i/>
        </w:rPr>
      </w:pPr>
    </w:p>
    <w:tbl>
      <w:tblPr>
        <w:tblW w:w="927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8507"/>
      </w:tblGrid>
      <w:tr w:rsidR="00785BE3">
        <w:tc>
          <w:tcPr>
            <w:tcW w:w="763" w:type="dxa"/>
            <w:shd w:val="clear" w:color="auto" w:fill="auto"/>
          </w:tcPr>
          <w:p w:rsidR="00785BE3" w:rsidRDefault="00A07B19">
            <w:pPr>
              <w:jc w:val="center"/>
              <w:rPr>
                <w:rFonts w:eastAsia="Calibri"/>
                <w:b/>
              </w:rPr>
            </w:pPr>
            <w:proofErr w:type="spellStart"/>
            <w:r>
              <w:rPr>
                <w:rFonts w:eastAsia="Calibri"/>
                <w:b/>
              </w:rPr>
              <w:t>S.No</w:t>
            </w:r>
            <w:proofErr w:type="spellEnd"/>
            <w:r>
              <w:rPr>
                <w:rFonts w:eastAsia="Calibri"/>
                <w:b/>
              </w:rPr>
              <w:t>.</w:t>
            </w:r>
          </w:p>
        </w:tc>
        <w:tc>
          <w:tcPr>
            <w:tcW w:w="8507" w:type="dxa"/>
            <w:shd w:val="clear" w:color="auto" w:fill="auto"/>
          </w:tcPr>
          <w:p w:rsidR="00785BE3" w:rsidRDefault="00A07B19">
            <w:pPr>
              <w:jc w:val="center"/>
              <w:rPr>
                <w:rFonts w:eastAsia="Calibri"/>
                <w:b/>
              </w:rPr>
            </w:pPr>
            <w:r>
              <w:rPr>
                <w:rFonts w:eastAsia="Calibri"/>
                <w:b/>
              </w:rPr>
              <w:t>Name of Experiments</w:t>
            </w:r>
          </w:p>
        </w:tc>
      </w:tr>
      <w:tr w:rsidR="00785BE3">
        <w:tc>
          <w:tcPr>
            <w:tcW w:w="9270" w:type="dxa"/>
            <w:gridSpan w:val="2"/>
            <w:shd w:val="clear" w:color="auto" w:fill="auto"/>
          </w:tcPr>
          <w:p w:rsidR="00785BE3" w:rsidRDefault="00A07B19">
            <w:pPr>
              <w:jc w:val="center"/>
              <w:rPr>
                <w:rFonts w:eastAsia="Calibri"/>
                <w:b/>
              </w:rPr>
            </w:pPr>
            <w:r>
              <w:rPr>
                <w:rFonts w:eastAsia="Calibri"/>
                <w:b/>
              </w:rPr>
              <w:t>Experiments Involving Hands On Experience</w:t>
            </w:r>
          </w:p>
        </w:tc>
      </w:tr>
      <w:tr w:rsidR="00785BE3">
        <w:tc>
          <w:tcPr>
            <w:tcW w:w="763" w:type="dxa"/>
            <w:shd w:val="clear" w:color="auto" w:fill="auto"/>
          </w:tcPr>
          <w:p w:rsidR="00785BE3" w:rsidRDefault="00A07B19">
            <w:pPr>
              <w:rPr>
                <w:rFonts w:eastAsia="Calibri"/>
              </w:rPr>
            </w:pPr>
            <w:r>
              <w:rPr>
                <w:rFonts w:eastAsia="Calibri"/>
              </w:rPr>
              <w:t>1</w:t>
            </w:r>
          </w:p>
        </w:tc>
        <w:tc>
          <w:tcPr>
            <w:tcW w:w="8507" w:type="dxa"/>
            <w:shd w:val="clear" w:color="auto" w:fill="auto"/>
          </w:tcPr>
          <w:p w:rsidR="00785BE3" w:rsidRDefault="00A07B19">
            <w:pPr>
              <w:rPr>
                <w:rFonts w:eastAsia="Calibri"/>
                <w:b/>
              </w:rPr>
            </w:pPr>
            <w:r>
              <w:rPr>
                <w:rFonts w:eastAsia="Calibri"/>
                <w:b/>
              </w:rPr>
              <w:t>UV – Visible</w:t>
            </w:r>
          </w:p>
          <w:p w:rsidR="00785BE3" w:rsidRDefault="00A07B19">
            <w:pPr>
              <w:rPr>
                <w:rFonts w:eastAsia="Calibri"/>
              </w:rPr>
            </w:pPr>
            <w:r>
              <w:rPr>
                <w:rFonts w:eastAsia="Calibri"/>
              </w:rPr>
              <w:t xml:space="preserve">Determination of  </w:t>
            </w:r>
            <w:proofErr w:type="spellStart"/>
            <w:r>
              <w:rPr>
                <w:rFonts w:eastAsia="Calibri"/>
              </w:rPr>
              <w:t>λmax</w:t>
            </w:r>
            <w:proofErr w:type="spellEnd"/>
            <w:r>
              <w:rPr>
                <w:rFonts w:eastAsia="Calibri"/>
              </w:rPr>
              <w:t>, verification of Beer-Lambert’s Law</w:t>
            </w:r>
          </w:p>
          <w:p w:rsidR="00785BE3" w:rsidRDefault="00A07B19">
            <w:pPr>
              <w:rPr>
                <w:rFonts w:eastAsia="Calibri"/>
              </w:rPr>
            </w:pPr>
            <w:r>
              <w:rPr>
                <w:rFonts w:eastAsia="Calibri"/>
              </w:rPr>
              <w:t>Determination of binary mixtures</w:t>
            </w:r>
          </w:p>
          <w:p w:rsidR="00785BE3" w:rsidRDefault="00A07B19">
            <w:pPr>
              <w:rPr>
                <w:rFonts w:eastAsia="Calibri"/>
              </w:rPr>
            </w:pPr>
            <w:r>
              <w:rPr>
                <w:rFonts w:eastAsia="Calibri"/>
              </w:rPr>
              <w:t>Difference, derivative spectroscopy</w:t>
            </w:r>
          </w:p>
          <w:p w:rsidR="00785BE3" w:rsidRDefault="00A07B19">
            <w:pPr>
              <w:rPr>
                <w:rFonts w:eastAsia="Calibri"/>
              </w:rPr>
            </w:pPr>
            <w:r>
              <w:rPr>
                <w:rFonts w:eastAsia="Calibri"/>
              </w:rPr>
              <w:t>Unknowns – interpretation and analysis</w:t>
            </w:r>
          </w:p>
        </w:tc>
      </w:tr>
      <w:tr w:rsidR="00785BE3">
        <w:tc>
          <w:tcPr>
            <w:tcW w:w="763" w:type="dxa"/>
            <w:shd w:val="clear" w:color="auto" w:fill="auto"/>
          </w:tcPr>
          <w:p w:rsidR="00785BE3" w:rsidRDefault="00A07B19">
            <w:pPr>
              <w:rPr>
                <w:rFonts w:eastAsia="Calibri"/>
              </w:rPr>
            </w:pPr>
            <w:r>
              <w:rPr>
                <w:rFonts w:eastAsia="Calibri"/>
              </w:rPr>
              <w:t>2</w:t>
            </w:r>
          </w:p>
        </w:tc>
        <w:tc>
          <w:tcPr>
            <w:tcW w:w="8507" w:type="dxa"/>
            <w:shd w:val="clear" w:color="auto" w:fill="auto"/>
          </w:tcPr>
          <w:p w:rsidR="00785BE3" w:rsidRDefault="00A07B19">
            <w:pPr>
              <w:rPr>
                <w:rFonts w:eastAsia="Calibri"/>
                <w:b/>
              </w:rPr>
            </w:pPr>
            <w:r>
              <w:rPr>
                <w:rFonts w:eastAsia="Calibri"/>
                <w:b/>
              </w:rPr>
              <w:t>IR</w:t>
            </w:r>
          </w:p>
          <w:p w:rsidR="00785BE3" w:rsidRDefault="00A07B19">
            <w:pPr>
              <w:rPr>
                <w:rFonts w:eastAsia="Calibri"/>
              </w:rPr>
            </w:pPr>
            <w:r>
              <w:rPr>
                <w:rFonts w:eastAsia="Calibri"/>
              </w:rPr>
              <w:t>Handling solid samples using various techniques</w:t>
            </w:r>
          </w:p>
          <w:p w:rsidR="00785BE3" w:rsidRDefault="00A07B19">
            <w:pPr>
              <w:rPr>
                <w:rFonts w:eastAsia="Calibri"/>
              </w:rPr>
            </w:pPr>
            <w:r>
              <w:rPr>
                <w:rFonts w:eastAsia="Calibri"/>
              </w:rPr>
              <w:t>Unknowns – interpretation, functional group analysis</w:t>
            </w:r>
          </w:p>
        </w:tc>
      </w:tr>
      <w:tr w:rsidR="00785BE3">
        <w:trPr>
          <w:trHeight w:val="782"/>
        </w:trPr>
        <w:tc>
          <w:tcPr>
            <w:tcW w:w="763" w:type="dxa"/>
            <w:shd w:val="clear" w:color="auto" w:fill="auto"/>
          </w:tcPr>
          <w:p w:rsidR="00785BE3" w:rsidRDefault="00A07B19">
            <w:pPr>
              <w:rPr>
                <w:rFonts w:eastAsia="Calibri"/>
              </w:rPr>
            </w:pPr>
            <w:r>
              <w:rPr>
                <w:rFonts w:eastAsia="Calibri"/>
              </w:rPr>
              <w:t>3</w:t>
            </w:r>
          </w:p>
        </w:tc>
        <w:tc>
          <w:tcPr>
            <w:tcW w:w="8507" w:type="dxa"/>
            <w:shd w:val="clear" w:color="auto" w:fill="auto"/>
          </w:tcPr>
          <w:p w:rsidR="00785BE3" w:rsidRDefault="00A07B19">
            <w:pPr>
              <w:rPr>
                <w:rFonts w:eastAsia="Calibri"/>
                <w:b/>
              </w:rPr>
            </w:pPr>
            <w:r>
              <w:rPr>
                <w:rFonts w:eastAsia="Calibri"/>
                <w:b/>
              </w:rPr>
              <w:t>GC</w:t>
            </w:r>
          </w:p>
          <w:p w:rsidR="00785BE3" w:rsidRDefault="00A07B19">
            <w:pPr>
              <w:rPr>
                <w:rFonts w:eastAsia="Calibri"/>
              </w:rPr>
            </w:pPr>
            <w:r>
              <w:rPr>
                <w:rFonts w:eastAsia="Calibri"/>
              </w:rPr>
              <w:t>Instrumentation, method development approaches.</w:t>
            </w:r>
          </w:p>
          <w:p w:rsidR="00785BE3" w:rsidRDefault="00A07B19">
            <w:pPr>
              <w:rPr>
                <w:rFonts w:eastAsia="Calibri"/>
              </w:rPr>
            </w:pPr>
            <w:r>
              <w:rPr>
                <w:rFonts w:eastAsia="Calibri"/>
              </w:rPr>
              <w:t>Separation and estimation of selected drug samples</w:t>
            </w:r>
          </w:p>
          <w:p w:rsidR="00785BE3" w:rsidRDefault="00A07B19">
            <w:pPr>
              <w:rPr>
                <w:rFonts w:eastAsia="Calibri"/>
                <w:b/>
              </w:rPr>
            </w:pPr>
            <w:r>
              <w:rPr>
                <w:rFonts w:eastAsia="Calibri"/>
              </w:rPr>
              <w:t>Unknown identification, applications</w:t>
            </w:r>
          </w:p>
        </w:tc>
      </w:tr>
      <w:tr w:rsidR="00785BE3">
        <w:tc>
          <w:tcPr>
            <w:tcW w:w="763" w:type="dxa"/>
            <w:shd w:val="clear" w:color="auto" w:fill="auto"/>
          </w:tcPr>
          <w:p w:rsidR="00785BE3" w:rsidRDefault="00A07B19">
            <w:pPr>
              <w:rPr>
                <w:rFonts w:eastAsia="Calibri"/>
              </w:rPr>
            </w:pPr>
            <w:r>
              <w:rPr>
                <w:rFonts w:eastAsia="Calibri"/>
              </w:rPr>
              <w:t>4</w:t>
            </w:r>
          </w:p>
        </w:tc>
        <w:tc>
          <w:tcPr>
            <w:tcW w:w="8507" w:type="dxa"/>
            <w:shd w:val="clear" w:color="auto" w:fill="auto"/>
          </w:tcPr>
          <w:p w:rsidR="00785BE3" w:rsidRDefault="00A07B19">
            <w:pPr>
              <w:rPr>
                <w:rFonts w:eastAsia="Calibri"/>
                <w:b/>
              </w:rPr>
            </w:pPr>
            <w:proofErr w:type="spellStart"/>
            <w:r>
              <w:rPr>
                <w:rFonts w:eastAsia="Calibri"/>
                <w:b/>
              </w:rPr>
              <w:t>Spectrofluorimetry</w:t>
            </w:r>
            <w:proofErr w:type="spellEnd"/>
          </w:p>
          <w:p w:rsidR="00785BE3" w:rsidRDefault="00A07B19">
            <w:pPr>
              <w:rPr>
                <w:rFonts w:eastAsia="Calibri"/>
              </w:rPr>
            </w:pPr>
            <w:r>
              <w:rPr>
                <w:rFonts w:eastAsia="Calibri"/>
              </w:rPr>
              <w:t>Estimation of selected drugs compounds, unknown</w:t>
            </w:r>
          </w:p>
          <w:p w:rsidR="00785BE3" w:rsidRDefault="00A07B19">
            <w:pPr>
              <w:rPr>
                <w:rFonts w:eastAsia="Calibri"/>
              </w:rPr>
            </w:pPr>
            <w:r>
              <w:rPr>
                <w:rFonts w:eastAsia="Calibri"/>
              </w:rPr>
              <w:t>Quenching effect and its significance</w:t>
            </w:r>
          </w:p>
          <w:p w:rsidR="00785BE3" w:rsidRDefault="00A07B19">
            <w:pPr>
              <w:rPr>
                <w:rFonts w:eastAsia="Calibri"/>
              </w:rPr>
            </w:pPr>
            <w:r>
              <w:rPr>
                <w:rFonts w:eastAsia="Calibri"/>
              </w:rPr>
              <w:t>Evaluation of drug in formulations</w:t>
            </w:r>
          </w:p>
        </w:tc>
      </w:tr>
      <w:tr w:rsidR="00785BE3">
        <w:tc>
          <w:tcPr>
            <w:tcW w:w="763" w:type="dxa"/>
            <w:shd w:val="clear" w:color="auto" w:fill="auto"/>
          </w:tcPr>
          <w:p w:rsidR="00785BE3" w:rsidRDefault="00A07B19">
            <w:pPr>
              <w:rPr>
                <w:rFonts w:eastAsia="Calibri"/>
              </w:rPr>
            </w:pPr>
            <w:r>
              <w:rPr>
                <w:rFonts w:eastAsia="Calibri"/>
              </w:rPr>
              <w:t>5</w:t>
            </w:r>
          </w:p>
        </w:tc>
        <w:tc>
          <w:tcPr>
            <w:tcW w:w="8507" w:type="dxa"/>
            <w:shd w:val="clear" w:color="auto" w:fill="auto"/>
          </w:tcPr>
          <w:p w:rsidR="00785BE3" w:rsidRDefault="00A07B19">
            <w:pPr>
              <w:rPr>
                <w:rFonts w:eastAsia="Calibri"/>
                <w:b/>
              </w:rPr>
            </w:pPr>
            <w:r>
              <w:rPr>
                <w:rFonts w:eastAsia="Calibri"/>
                <w:b/>
              </w:rPr>
              <w:t>Paper Electrophoresis / Gel Electrophoresis</w:t>
            </w:r>
          </w:p>
          <w:p w:rsidR="00785BE3" w:rsidRDefault="00A07B19">
            <w:pPr>
              <w:rPr>
                <w:rFonts w:eastAsia="Calibri"/>
              </w:rPr>
            </w:pPr>
            <w:r>
              <w:rPr>
                <w:rFonts w:eastAsia="Calibri"/>
              </w:rPr>
              <w:t>Instrumentation, applications – separation of proteins / cell components</w:t>
            </w:r>
          </w:p>
          <w:p w:rsidR="00785BE3" w:rsidRDefault="00A07B19">
            <w:pPr>
              <w:rPr>
                <w:rFonts w:eastAsia="Calibri"/>
              </w:rPr>
            </w:pPr>
            <w:r>
              <w:rPr>
                <w:rFonts w:eastAsia="Calibri"/>
              </w:rPr>
              <w:t>Identification/separation/purification of samples</w:t>
            </w:r>
          </w:p>
        </w:tc>
      </w:tr>
      <w:tr w:rsidR="00785BE3">
        <w:tc>
          <w:tcPr>
            <w:tcW w:w="763" w:type="dxa"/>
            <w:shd w:val="clear" w:color="auto" w:fill="auto"/>
          </w:tcPr>
          <w:p w:rsidR="00785BE3" w:rsidRDefault="00A07B19">
            <w:pPr>
              <w:rPr>
                <w:rFonts w:eastAsia="Calibri"/>
              </w:rPr>
            </w:pPr>
            <w:r>
              <w:rPr>
                <w:rFonts w:eastAsia="Calibri"/>
              </w:rPr>
              <w:t>6</w:t>
            </w:r>
          </w:p>
        </w:tc>
        <w:tc>
          <w:tcPr>
            <w:tcW w:w="8507" w:type="dxa"/>
            <w:shd w:val="clear" w:color="auto" w:fill="auto"/>
          </w:tcPr>
          <w:p w:rsidR="00785BE3" w:rsidRDefault="00A07B19">
            <w:pPr>
              <w:rPr>
                <w:rFonts w:eastAsia="Calibri"/>
                <w:b/>
              </w:rPr>
            </w:pPr>
            <w:r>
              <w:rPr>
                <w:rFonts w:eastAsia="Calibri"/>
                <w:b/>
              </w:rPr>
              <w:t>HPLC</w:t>
            </w:r>
          </w:p>
          <w:p w:rsidR="00785BE3" w:rsidRDefault="00A07B19">
            <w:pPr>
              <w:rPr>
                <w:rFonts w:eastAsia="Calibri"/>
              </w:rPr>
            </w:pPr>
            <w:r>
              <w:rPr>
                <w:rFonts w:eastAsia="Calibri"/>
              </w:rPr>
              <w:t>Instrumentation, method development approaches.</w:t>
            </w:r>
          </w:p>
          <w:p w:rsidR="00785BE3" w:rsidRDefault="00A07B19">
            <w:pPr>
              <w:rPr>
                <w:rFonts w:eastAsia="Calibri"/>
              </w:rPr>
            </w:pPr>
            <w:r>
              <w:rPr>
                <w:rFonts w:eastAsia="Calibri"/>
              </w:rPr>
              <w:t>Separation and estimation of selected drug samples</w:t>
            </w:r>
          </w:p>
          <w:p w:rsidR="00785BE3" w:rsidRDefault="00A07B19">
            <w:pPr>
              <w:rPr>
                <w:rFonts w:eastAsia="Calibri"/>
              </w:rPr>
            </w:pPr>
            <w:r>
              <w:rPr>
                <w:rFonts w:eastAsia="Calibri"/>
              </w:rPr>
              <w:t>Unknown identification, applications</w:t>
            </w:r>
          </w:p>
        </w:tc>
      </w:tr>
      <w:tr w:rsidR="00785BE3">
        <w:tc>
          <w:tcPr>
            <w:tcW w:w="763" w:type="dxa"/>
            <w:shd w:val="clear" w:color="auto" w:fill="auto"/>
          </w:tcPr>
          <w:p w:rsidR="00785BE3" w:rsidRDefault="00A07B19">
            <w:pPr>
              <w:rPr>
                <w:rFonts w:eastAsia="Calibri"/>
              </w:rPr>
            </w:pPr>
            <w:r>
              <w:rPr>
                <w:rFonts w:eastAsia="Calibri"/>
              </w:rPr>
              <w:t>7</w:t>
            </w:r>
          </w:p>
        </w:tc>
        <w:tc>
          <w:tcPr>
            <w:tcW w:w="8507" w:type="dxa"/>
            <w:shd w:val="clear" w:color="auto" w:fill="auto"/>
          </w:tcPr>
          <w:p w:rsidR="00785BE3" w:rsidRDefault="00A07B19">
            <w:pPr>
              <w:rPr>
                <w:rFonts w:eastAsia="Calibri"/>
                <w:b/>
              </w:rPr>
            </w:pPr>
            <w:r>
              <w:rPr>
                <w:rFonts w:eastAsia="Calibri"/>
                <w:b/>
              </w:rPr>
              <w:t>Thermography</w:t>
            </w:r>
          </w:p>
          <w:p w:rsidR="00785BE3" w:rsidRDefault="00A07B19">
            <w:pPr>
              <w:tabs>
                <w:tab w:val="left" w:pos="1800"/>
              </w:tabs>
              <w:rPr>
                <w:rFonts w:eastAsia="Calibri"/>
                <w:bCs/>
              </w:rPr>
            </w:pPr>
            <w:r>
              <w:rPr>
                <w:rFonts w:eastAsia="Calibri"/>
                <w:bCs/>
              </w:rPr>
              <w:t>Instrumentation, calibration of DSC, TGA</w:t>
            </w:r>
          </w:p>
          <w:p w:rsidR="00785BE3" w:rsidRDefault="00A07B19">
            <w:pPr>
              <w:tabs>
                <w:tab w:val="left" w:pos="1800"/>
              </w:tabs>
              <w:rPr>
                <w:rFonts w:eastAsia="Calibri"/>
              </w:rPr>
            </w:pPr>
            <w:r>
              <w:rPr>
                <w:rFonts w:eastAsia="Calibri"/>
                <w:bCs/>
              </w:rPr>
              <w:t>Unknown-identification, applications</w:t>
            </w:r>
          </w:p>
        </w:tc>
      </w:tr>
      <w:tr w:rsidR="00785BE3">
        <w:tc>
          <w:tcPr>
            <w:tcW w:w="763" w:type="dxa"/>
            <w:shd w:val="clear" w:color="auto" w:fill="auto"/>
          </w:tcPr>
          <w:p w:rsidR="00785BE3" w:rsidRDefault="00A07B19">
            <w:pPr>
              <w:rPr>
                <w:rFonts w:eastAsia="Calibri"/>
              </w:rPr>
            </w:pPr>
            <w:r>
              <w:rPr>
                <w:rFonts w:eastAsia="Calibri"/>
              </w:rPr>
              <w:t>8</w:t>
            </w:r>
          </w:p>
        </w:tc>
        <w:tc>
          <w:tcPr>
            <w:tcW w:w="8507" w:type="dxa"/>
            <w:shd w:val="clear" w:color="auto" w:fill="auto"/>
          </w:tcPr>
          <w:p w:rsidR="00785BE3" w:rsidRDefault="00A07B19">
            <w:pPr>
              <w:rPr>
                <w:rFonts w:eastAsia="Calibri"/>
                <w:b/>
              </w:rPr>
            </w:pPr>
            <w:r>
              <w:rPr>
                <w:rFonts w:eastAsia="Calibri"/>
                <w:b/>
              </w:rPr>
              <w:t>AAS</w:t>
            </w:r>
          </w:p>
          <w:p w:rsidR="00785BE3" w:rsidRDefault="00A07B19">
            <w:pPr>
              <w:rPr>
                <w:rFonts w:eastAsia="Calibri"/>
              </w:rPr>
            </w:pPr>
            <w:r>
              <w:rPr>
                <w:rFonts w:eastAsia="Calibri"/>
              </w:rPr>
              <w:t>Analysis of heavy metals</w:t>
            </w:r>
          </w:p>
        </w:tc>
      </w:tr>
      <w:tr w:rsidR="00785BE3">
        <w:tc>
          <w:tcPr>
            <w:tcW w:w="9270" w:type="dxa"/>
            <w:gridSpan w:val="2"/>
            <w:shd w:val="clear" w:color="auto" w:fill="auto"/>
          </w:tcPr>
          <w:p w:rsidR="00785BE3" w:rsidRDefault="00A07B19">
            <w:pPr>
              <w:jc w:val="center"/>
              <w:rPr>
                <w:rFonts w:eastAsia="Calibri"/>
                <w:b/>
              </w:rPr>
            </w:pPr>
            <w:r>
              <w:rPr>
                <w:rFonts w:eastAsia="Calibri"/>
                <w:b/>
              </w:rPr>
              <w:t>Demonstration Based Experiments</w:t>
            </w:r>
          </w:p>
        </w:tc>
      </w:tr>
      <w:tr w:rsidR="00785BE3">
        <w:tc>
          <w:tcPr>
            <w:tcW w:w="763" w:type="dxa"/>
            <w:shd w:val="clear" w:color="auto" w:fill="auto"/>
          </w:tcPr>
          <w:p w:rsidR="00785BE3" w:rsidRDefault="00A07B19">
            <w:pPr>
              <w:rPr>
                <w:rFonts w:eastAsia="Calibri"/>
              </w:rPr>
            </w:pPr>
            <w:r>
              <w:rPr>
                <w:rFonts w:eastAsia="Calibri"/>
              </w:rPr>
              <w:t>09</w:t>
            </w:r>
          </w:p>
        </w:tc>
        <w:tc>
          <w:tcPr>
            <w:tcW w:w="8507" w:type="dxa"/>
            <w:shd w:val="clear" w:color="auto" w:fill="auto"/>
          </w:tcPr>
          <w:p w:rsidR="00785BE3" w:rsidRDefault="00A07B19">
            <w:pPr>
              <w:rPr>
                <w:rFonts w:eastAsia="Calibri"/>
                <w:b/>
              </w:rPr>
            </w:pPr>
            <w:r>
              <w:rPr>
                <w:rFonts w:eastAsia="Calibri"/>
                <w:b/>
              </w:rPr>
              <w:t>LC-MS</w:t>
            </w:r>
          </w:p>
          <w:p w:rsidR="00785BE3" w:rsidRDefault="00A07B19">
            <w:pPr>
              <w:rPr>
                <w:rFonts w:eastAsia="Calibri"/>
              </w:rPr>
            </w:pPr>
            <w:r>
              <w:rPr>
                <w:rFonts w:eastAsia="Calibri"/>
              </w:rPr>
              <w:t>Identification of unknown compounds in the mixture using MS</w:t>
            </w:r>
          </w:p>
        </w:tc>
      </w:tr>
      <w:tr w:rsidR="00785BE3">
        <w:tc>
          <w:tcPr>
            <w:tcW w:w="763" w:type="dxa"/>
            <w:shd w:val="clear" w:color="auto" w:fill="auto"/>
          </w:tcPr>
          <w:p w:rsidR="00785BE3" w:rsidRDefault="00A07B19">
            <w:pPr>
              <w:rPr>
                <w:rFonts w:eastAsia="Calibri"/>
              </w:rPr>
            </w:pPr>
            <w:r>
              <w:rPr>
                <w:rFonts w:eastAsia="Calibri"/>
              </w:rPr>
              <w:t>10</w:t>
            </w:r>
          </w:p>
        </w:tc>
        <w:tc>
          <w:tcPr>
            <w:tcW w:w="8507" w:type="dxa"/>
            <w:shd w:val="clear" w:color="auto" w:fill="auto"/>
          </w:tcPr>
          <w:p w:rsidR="00785BE3" w:rsidRDefault="00A07B19">
            <w:pPr>
              <w:rPr>
                <w:rFonts w:eastAsia="Calibri"/>
                <w:b/>
              </w:rPr>
            </w:pPr>
            <w:r>
              <w:rPr>
                <w:rFonts w:eastAsia="Calibri"/>
                <w:b/>
              </w:rPr>
              <w:t>NMR and Mass</w:t>
            </w:r>
          </w:p>
          <w:p w:rsidR="00785BE3" w:rsidRDefault="00A07B19">
            <w:pPr>
              <w:rPr>
                <w:rFonts w:eastAsia="Calibri"/>
                <w:b/>
              </w:rPr>
            </w:pPr>
            <w:r>
              <w:rPr>
                <w:rFonts w:eastAsia="Calibri"/>
              </w:rPr>
              <w:t>Interpretation of spectra and characterization of organic compounds based upon IR, NMR and Mass</w:t>
            </w:r>
          </w:p>
        </w:tc>
      </w:tr>
      <w:tr w:rsidR="00785BE3">
        <w:tc>
          <w:tcPr>
            <w:tcW w:w="763" w:type="dxa"/>
            <w:shd w:val="clear" w:color="auto" w:fill="auto"/>
          </w:tcPr>
          <w:p w:rsidR="00785BE3" w:rsidRDefault="00A07B19">
            <w:pPr>
              <w:rPr>
                <w:rFonts w:eastAsia="Calibri"/>
              </w:rPr>
            </w:pPr>
            <w:r>
              <w:rPr>
                <w:rFonts w:eastAsia="Calibri"/>
              </w:rPr>
              <w:t>11</w:t>
            </w:r>
          </w:p>
        </w:tc>
        <w:tc>
          <w:tcPr>
            <w:tcW w:w="8507" w:type="dxa"/>
            <w:shd w:val="clear" w:color="auto" w:fill="auto"/>
          </w:tcPr>
          <w:p w:rsidR="00785BE3" w:rsidRDefault="00A07B19">
            <w:pPr>
              <w:rPr>
                <w:rFonts w:eastAsia="Calibri"/>
              </w:rPr>
            </w:pPr>
            <w:r>
              <w:rPr>
                <w:rFonts w:eastAsia="Calibri"/>
                <w:b/>
              </w:rPr>
              <w:t xml:space="preserve">XRD </w:t>
            </w:r>
            <w:r>
              <w:rPr>
                <w:rFonts w:eastAsia="Calibri"/>
              </w:rPr>
              <w:t>Analysis</w:t>
            </w:r>
          </w:p>
        </w:tc>
      </w:tr>
    </w:tbl>
    <w:p w:rsidR="00785BE3" w:rsidRDefault="00785BE3">
      <w:pPr>
        <w:rPr>
          <w:b/>
          <w:i/>
        </w:rPr>
      </w:pPr>
    </w:p>
    <w:p w:rsidR="00785BE3" w:rsidRDefault="00A07B19">
      <w:pPr>
        <w:ind w:left="810" w:hanging="810"/>
        <w:jc w:val="both"/>
      </w:pPr>
      <w:r>
        <w:rPr>
          <w:b/>
          <w:u w:val="single"/>
        </w:rPr>
        <w:t>Note</w:t>
      </w:r>
      <w:r>
        <w:t xml:space="preserve">:  </w:t>
      </w:r>
    </w:p>
    <w:p w:rsidR="00785BE3" w:rsidRDefault="00A07B19">
      <w:pPr>
        <w:pStyle w:val="ListParagraph"/>
        <w:numPr>
          <w:ilvl w:val="0"/>
          <w:numId w:val="4"/>
        </w:numPr>
        <w:jc w:val="both"/>
        <w:rPr>
          <w:szCs w:val="24"/>
        </w:rPr>
      </w:pPr>
      <w:r>
        <w:rPr>
          <w:szCs w:val="24"/>
        </w:rPr>
        <w:t>Modifications/adjustments would be made in the theory/experimental pattern / part, if necessary as and when situation arises.</w:t>
      </w:r>
    </w:p>
    <w:p w:rsidR="00785BE3" w:rsidRDefault="00A07B19">
      <w:pPr>
        <w:pStyle w:val="ListParagraph"/>
        <w:numPr>
          <w:ilvl w:val="0"/>
          <w:numId w:val="4"/>
        </w:numPr>
        <w:jc w:val="both"/>
        <w:rPr>
          <w:szCs w:val="24"/>
        </w:rPr>
      </w:pPr>
      <w:r>
        <w:rPr>
          <w:szCs w:val="24"/>
        </w:rPr>
        <w:t xml:space="preserve">Students should maintain and bring updated record note-books for every practical class. </w:t>
      </w:r>
    </w:p>
    <w:p w:rsidR="00785BE3" w:rsidRDefault="00A07B19">
      <w:pPr>
        <w:pStyle w:val="ListParagraph"/>
        <w:numPr>
          <w:ilvl w:val="0"/>
          <w:numId w:val="4"/>
        </w:numPr>
        <w:jc w:val="both"/>
        <w:rPr>
          <w:szCs w:val="24"/>
        </w:rPr>
      </w:pPr>
      <w:r>
        <w:rPr>
          <w:szCs w:val="24"/>
        </w:rPr>
        <w:lastRenderedPageBreak/>
        <w:t>Make-ups for practical are not always possible. However, depending upon the genuineness of                   the situations, students may be permitted to perform back-log experiments, if any instructor is                free, outside regular class hours.</w:t>
      </w:r>
    </w:p>
    <w:p w:rsidR="00785BE3" w:rsidRDefault="00A07B19">
      <w:pPr>
        <w:pStyle w:val="ListParagraph"/>
        <w:numPr>
          <w:ilvl w:val="0"/>
          <w:numId w:val="4"/>
        </w:numPr>
        <w:jc w:val="both"/>
        <w:rPr>
          <w:szCs w:val="24"/>
        </w:rPr>
      </w:pPr>
      <w:r>
        <w:rPr>
          <w:szCs w:val="24"/>
        </w:rPr>
        <w:t>It is imperative that all students come prepared for the experiment in the next turn completing all pending work concerned with the previous experiment. Adequate preparation for the practical in terms of principles and operation of the instrument as per instructions, familiarization of protocols involved, outside class hours, is mandatory.</w:t>
      </w:r>
    </w:p>
    <w:p w:rsidR="00785BE3" w:rsidRDefault="00785BE3">
      <w:pPr>
        <w:jc w:val="both"/>
      </w:pPr>
    </w:p>
    <w:p w:rsidR="00785BE3" w:rsidRDefault="00A07B19">
      <w:pPr>
        <w:jc w:val="both"/>
        <w:rPr>
          <w:b/>
          <w:bCs/>
        </w:rPr>
      </w:pPr>
      <w:r>
        <w:rPr>
          <w:b/>
          <w:bCs/>
        </w:rPr>
        <w:t>Evaluation Scheme:</w:t>
      </w:r>
    </w:p>
    <w:p w:rsidR="00785BE3" w:rsidRDefault="00785BE3">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04"/>
        <w:gridCol w:w="1710"/>
        <w:gridCol w:w="1440"/>
        <w:gridCol w:w="1620"/>
        <w:gridCol w:w="1553"/>
      </w:tblGrid>
      <w:tr w:rsidR="00785BE3">
        <w:trPr>
          <w:trHeight w:val="422"/>
          <w:jc w:val="center"/>
        </w:trPr>
        <w:tc>
          <w:tcPr>
            <w:tcW w:w="2904"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Component</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Weightage (%)</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Date &amp; Time</w:t>
            </w:r>
          </w:p>
        </w:tc>
        <w:tc>
          <w:tcPr>
            <w:tcW w:w="1553" w:type="dxa"/>
            <w:tcBorders>
              <w:top w:val="single" w:sz="4" w:space="0" w:color="auto"/>
              <w:left w:val="single" w:sz="4" w:space="0" w:color="auto"/>
              <w:bottom w:val="single" w:sz="4" w:space="0" w:color="auto"/>
              <w:right w:val="single" w:sz="4" w:space="0" w:color="auto"/>
            </w:tcBorders>
            <w:shd w:val="clear" w:color="auto" w:fill="E6E6E6"/>
            <w:vAlign w:val="center"/>
          </w:tcPr>
          <w:p w:rsidR="00785BE3" w:rsidRDefault="00A07B19">
            <w:pPr>
              <w:jc w:val="center"/>
              <w:rPr>
                <w:b/>
                <w:bCs/>
              </w:rPr>
            </w:pPr>
            <w:r>
              <w:rPr>
                <w:b/>
                <w:bCs/>
              </w:rPr>
              <w:t>Nature of Component</w:t>
            </w:r>
          </w:p>
        </w:tc>
      </w:tr>
      <w:tr w:rsidR="00785BE3">
        <w:trPr>
          <w:trHeight w:val="422"/>
          <w:jc w:val="center"/>
        </w:trPr>
        <w:tc>
          <w:tcPr>
            <w:tcW w:w="2904" w:type="dxa"/>
            <w:tcBorders>
              <w:top w:val="single" w:sz="4" w:space="0" w:color="auto"/>
              <w:left w:val="single" w:sz="4" w:space="0" w:color="auto"/>
              <w:bottom w:val="single" w:sz="4" w:space="0" w:color="auto"/>
              <w:right w:val="single" w:sz="4" w:space="0" w:color="auto"/>
            </w:tcBorders>
          </w:tcPr>
          <w:p w:rsidR="00785BE3" w:rsidRDefault="00A07B19">
            <w:pPr>
              <w:snapToGrid w:val="0"/>
              <w:rPr>
                <w:spacing w:val="-2"/>
              </w:rPr>
            </w:pPr>
            <w:r>
              <w:rPr>
                <w:spacing w:val="-2"/>
              </w:rPr>
              <w:t xml:space="preserve">Mid </w:t>
            </w:r>
            <w:proofErr w:type="spellStart"/>
            <w:r>
              <w:rPr>
                <w:spacing w:val="-2"/>
              </w:rPr>
              <w:t>Sem</w:t>
            </w:r>
            <w:proofErr w:type="spellEnd"/>
            <w:r>
              <w:rPr>
                <w:spacing w:val="-2"/>
              </w:rPr>
              <w:t xml:space="preserve"> Test </w:t>
            </w:r>
          </w:p>
        </w:tc>
        <w:tc>
          <w:tcPr>
            <w:tcW w:w="1710"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90 min</w:t>
            </w:r>
          </w:p>
        </w:tc>
        <w:tc>
          <w:tcPr>
            <w:tcW w:w="1440" w:type="dxa"/>
            <w:tcBorders>
              <w:top w:val="single" w:sz="4" w:space="0" w:color="auto"/>
              <w:left w:val="single" w:sz="4" w:space="0" w:color="auto"/>
              <w:bottom w:val="single" w:sz="4" w:space="0" w:color="auto"/>
              <w:right w:val="single" w:sz="4" w:space="0" w:color="auto"/>
            </w:tcBorders>
            <w:vAlign w:val="center"/>
          </w:tcPr>
          <w:p w:rsidR="00785BE3" w:rsidRDefault="00A07B19">
            <w:pPr>
              <w:snapToGrid w:val="0"/>
              <w:jc w:val="center"/>
              <w:rPr>
                <w:spacing w:val="-2"/>
              </w:rPr>
            </w:pPr>
            <w:r>
              <w:rPr>
                <w:spacing w:val="-2"/>
              </w:rPr>
              <w:t>25</w:t>
            </w:r>
          </w:p>
        </w:tc>
        <w:tc>
          <w:tcPr>
            <w:tcW w:w="1620" w:type="dxa"/>
            <w:tcBorders>
              <w:top w:val="single" w:sz="4" w:space="0" w:color="auto"/>
              <w:left w:val="single" w:sz="4" w:space="0" w:color="auto"/>
              <w:bottom w:val="single" w:sz="4" w:space="0" w:color="auto"/>
              <w:right w:val="single" w:sz="4" w:space="0" w:color="auto"/>
            </w:tcBorders>
          </w:tcPr>
          <w:p w:rsidR="00785BE3" w:rsidRDefault="004E29EB">
            <w:pPr>
              <w:rPr>
                <w:sz w:val="18"/>
                <w:szCs w:val="18"/>
              </w:rPr>
            </w:pPr>
            <w:r>
              <w:t>14/03 9.30 - 11.00AM</w:t>
            </w:r>
          </w:p>
        </w:tc>
        <w:tc>
          <w:tcPr>
            <w:tcW w:w="1553"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CB</w:t>
            </w:r>
          </w:p>
        </w:tc>
      </w:tr>
      <w:tr w:rsidR="00785BE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785BE3" w:rsidRDefault="00A07B19">
            <w:pPr>
              <w:snapToGrid w:val="0"/>
              <w:rPr>
                <w:spacing w:val="-2"/>
              </w:rPr>
            </w:pPr>
            <w:r>
              <w:rPr>
                <w:spacing w:val="-2"/>
              </w:rPr>
              <w:t>Laboratory**</w:t>
            </w:r>
          </w:p>
        </w:tc>
        <w:tc>
          <w:tcPr>
            <w:tcW w:w="1710"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w:t>
            </w:r>
          </w:p>
        </w:tc>
        <w:tc>
          <w:tcPr>
            <w:tcW w:w="1440" w:type="dxa"/>
            <w:tcBorders>
              <w:top w:val="single" w:sz="4" w:space="0" w:color="auto"/>
              <w:left w:val="single" w:sz="4" w:space="0" w:color="auto"/>
              <w:bottom w:val="single" w:sz="4" w:space="0" w:color="auto"/>
              <w:right w:val="single" w:sz="4" w:space="0" w:color="auto"/>
            </w:tcBorders>
            <w:vAlign w:val="center"/>
          </w:tcPr>
          <w:p w:rsidR="00785BE3" w:rsidRDefault="00A07B19">
            <w:pPr>
              <w:snapToGrid w:val="0"/>
              <w:jc w:val="center"/>
              <w:rPr>
                <w:spacing w:val="-2"/>
              </w:rPr>
            </w:pPr>
            <w:r>
              <w:rPr>
                <w:spacing w:val="-2"/>
              </w:rPr>
              <w:t>20</w:t>
            </w:r>
          </w:p>
        </w:tc>
        <w:tc>
          <w:tcPr>
            <w:tcW w:w="1620" w:type="dxa"/>
            <w:tcBorders>
              <w:top w:val="single" w:sz="4" w:space="0" w:color="auto"/>
              <w:left w:val="single" w:sz="4" w:space="0" w:color="auto"/>
              <w:bottom w:val="single" w:sz="4" w:space="0" w:color="auto"/>
              <w:right w:val="single" w:sz="4" w:space="0" w:color="auto"/>
            </w:tcBorders>
            <w:vAlign w:val="center"/>
          </w:tcPr>
          <w:p w:rsidR="00785BE3" w:rsidRDefault="00785BE3">
            <w:pPr>
              <w:rPr>
                <w:sz w:val="18"/>
                <w:szCs w:val="18"/>
              </w:rPr>
            </w:pPr>
          </w:p>
        </w:tc>
        <w:tc>
          <w:tcPr>
            <w:tcW w:w="1553" w:type="dxa"/>
            <w:tcBorders>
              <w:top w:val="single" w:sz="4" w:space="0" w:color="auto"/>
              <w:left w:val="single" w:sz="4" w:space="0" w:color="auto"/>
              <w:bottom w:val="single" w:sz="4" w:space="0" w:color="auto"/>
              <w:right w:val="single" w:sz="4" w:space="0" w:color="auto"/>
            </w:tcBorders>
          </w:tcPr>
          <w:p w:rsidR="00785BE3" w:rsidRDefault="00A07B19">
            <w:pPr>
              <w:jc w:val="center"/>
            </w:pPr>
            <w:r>
              <w:t>OB</w:t>
            </w:r>
          </w:p>
        </w:tc>
      </w:tr>
      <w:tr w:rsidR="00785BE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785BE3" w:rsidRDefault="00A07B19">
            <w:pPr>
              <w:snapToGrid w:val="0"/>
              <w:rPr>
                <w:spacing w:val="-2"/>
              </w:rPr>
            </w:pPr>
            <w:r>
              <w:rPr>
                <w:spacing w:val="-2"/>
              </w:rPr>
              <w:t>Comprehensive Lab Viva-Voce / Quiz</w:t>
            </w:r>
          </w:p>
        </w:tc>
        <w:tc>
          <w:tcPr>
            <w:tcW w:w="1710"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w:t>
            </w:r>
          </w:p>
        </w:tc>
        <w:tc>
          <w:tcPr>
            <w:tcW w:w="1440" w:type="dxa"/>
            <w:tcBorders>
              <w:top w:val="single" w:sz="4" w:space="0" w:color="auto"/>
              <w:left w:val="single" w:sz="4" w:space="0" w:color="auto"/>
              <w:bottom w:val="single" w:sz="4" w:space="0" w:color="auto"/>
              <w:right w:val="single" w:sz="4" w:space="0" w:color="auto"/>
            </w:tcBorders>
            <w:vAlign w:val="center"/>
          </w:tcPr>
          <w:p w:rsidR="00785BE3" w:rsidRDefault="00A07B19">
            <w:pPr>
              <w:snapToGrid w:val="0"/>
              <w:jc w:val="center"/>
              <w:rPr>
                <w:spacing w:val="-2"/>
              </w:rPr>
            </w:pPr>
            <w:r>
              <w:rPr>
                <w:spacing w:val="-2"/>
              </w:rPr>
              <w:t>10+5</w:t>
            </w:r>
          </w:p>
        </w:tc>
        <w:tc>
          <w:tcPr>
            <w:tcW w:w="1620" w:type="dxa"/>
            <w:tcBorders>
              <w:top w:val="single" w:sz="4" w:space="0" w:color="auto"/>
              <w:left w:val="single" w:sz="4" w:space="0" w:color="auto"/>
              <w:bottom w:val="single" w:sz="4" w:space="0" w:color="auto"/>
              <w:right w:val="single" w:sz="4" w:space="0" w:color="auto"/>
            </w:tcBorders>
            <w:vAlign w:val="center"/>
          </w:tcPr>
          <w:p w:rsidR="00785BE3" w:rsidRDefault="00785BE3">
            <w:pPr>
              <w:rPr>
                <w:sz w:val="18"/>
                <w:szCs w:val="18"/>
              </w:rPr>
            </w:pPr>
          </w:p>
        </w:tc>
        <w:tc>
          <w:tcPr>
            <w:tcW w:w="1553" w:type="dxa"/>
            <w:tcBorders>
              <w:top w:val="single" w:sz="4" w:space="0" w:color="auto"/>
              <w:left w:val="single" w:sz="4" w:space="0" w:color="auto"/>
              <w:bottom w:val="single" w:sz="4" w:space="0" w:color="auto"/>
              <w:right w:val="single" w:sz="4" w:space="0" w:color="auto"/>
            </w:tcBorders>
          </w:tcPr>
          <w:p w:rsidR="00785BE3" w:rsidRDefault="00A07B19">
            <w:pPr>
              <w:jc w:val="center"/>
            </w:pPr>
            <w:r>
              <w:t>CB</w:t>
            </w:r>
          </w:p>
        </w:tc>
      </w:tr>
      <w:tr w:rsidR="00785BE3">
        <w:trPr>
          <w:trHeight w:val="350"/>
          <w:jc w:val="center"/>
        </w:trPr>
        <w:tc>
          <w:tcPr>
            <w:tcW w:w="2904" w:type="dxa"/>
            <w:tcBorders>
              <w:top w:val="single" w:sz="4" w:space="0" w:color="auto"/>
              <w:left w:val="single" w:sz="4" w:space="0" w:color="auto"/>
              <w:bottom w:val="single" w:sz="4" w:space="0" w:color="auto"/>
              <w:right w:val="single" w:sz="4" w:space="0" w:color="auto"/>
            </w:tcBorders>
          </w:tcPr>
          <w:p w:rsidR="00785BE3" w:rsidRDefault="00A07B19">
            <w:pPr>
              <w:snapToGrid w:val="0"/>
              <w:rPr>
                <w:spacing w:val="-2"/>
              </w:rPr>
            </w:pPr>
            <w:proofErr w:type="spellStart"/>
            <w:r>
              <w:rPr>
                <w:spacing w:val="-2"/>
              </w:rPr>
              <w:t>Compre</w:t>
            </w:r>
            <w:proofErr w:type="spellEnd"/>
            <w:r>
              <w:rPr>
                <w:spacing w:val="-2"/>
              </w:rPr>
              <w:t>. Exam.</w:t>
            </w:r>
          </w:p>
        </w:tc>
        <w:tc>
          <w:tcPr>
            <w:tcW w:w="1710"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180 min</w:t>
            </w:r>
          </w:p>
        </w:tc>
        <w:tc>
          <w:tcPr>
            <w:tcW w:w="1440" w:type="dxa"/>
            <w:tcBorders>
              <w:top w:val="single" w:sz="4" w:space="0" w:color="auto"/>
              <w:left w:val="single" w:sz="4" w:space="0" w:color="auto"/>
              <w:bottom w:val="single" w:sz="4" w:space="0" w:color="auto"/>
              <w:right w:val="single" w:sz="4" w:space="0" w:color="auto"/>
            </w:tcBorders>
            <w:vAlign w:val="center"/>
          </w:tcPr>
          <w:p w:rsidR="00785BE3" w:rsidRDefault="00A07B19">
            <w:pPr>
              <w:snapToGrid w:val="0"/>
              <w:jc w:val="center"/>
              <w:rPr>
                <w:spacing w:val="-2"/>
              </w:rPr>
            </w:pPr>
            <w:r>
              <w:rPr>
                <w:spacing w:val="-2"/>
              </w:rPr>
              <w:t>40</w:t>
            </w:r>
          </w:p>
        </w:tc>
        <w:tc>
          <w:tcPr>
            <w:tcW w:w="1620" w:type="dxa"/>
            <w:tcBorders>
              <w:top w:val="single" w:sz="4" w:space="0" w:color="auto"/>
              <w:left w:val="single" w:sz="4" w:space="0" w:color="auto"/>
              <w:bottom w:val="single" w:sz="4" w:space="0" w:color="auto"/>
              <w:right w:val="single" w:sz="4" w:space="0" w:color="auto"/>
            </w:tcBorders>
            <w:vAlign w:val="center"/>
          </w:tcPr>
          <w:p w:rsidR="00785BE3" w:rsidRDefault="004E29EB">
            <w:pPr>
              <w:rPr>
                <w:sz w:val="18"/>
                <w:szCs w:val="18"/>
              </w:rPr>
            </w:pPr>
            <w:r>
              <w:t>10/05 FN</w:t>
            </w:r>
            <w:bookmarkStart w:id="0" w:name="_GoBack"/>
            <w:bookmarkEnd w:id="0"/>
          </w:p>
        </w:tc>
        <w:tc>
          <w:tcPr>
            <w:tcW w:w="1553" w:type="dxa"/>
            <w:tcBorders>
              <w:top w:val="single" w:sz="4" w:space="0" w:color="auto"/>
              <w:left w:val="single" w:sz="4" w:space="0" w:color="auto"/>
              <w:bottom w:val="single" w:sz="4" w:space="0" w:color="auto"/>
              <w:right w:val="single" w:sz="4" w:space="0" w:color="auto"/>
            </w:tcBorders>
          </w:tcPr>
          <w:p w:rsidR="00785BE3" w:rsidRDefault="00A07B19">
            <w:pPr>
              <w:snapToGrid w:val="0"/>
              <w:jc w:val="center"/>
              <w:rPr>
                <w:spacing w:val="-2"/>
              </w:rPr>
            </w:pPr>
            <w:r>
              <w:rPr>
                <w:spacing w:val="-2"/>
              </w:rPr>
              <w:t>CB+OB (50:50)</w:t>
            </w:r>
          </w:p>
        </w:tc>
      </w:tr>
    </w:tbl>
    <w:p w:rsidR="00785BE3" w:rsidRDefault="00785BE3">
      <w:pPr>
        <w:jc w:val="both"/>
      </w:pPr>
    </w:p>
    <w:p w:rsidR="00785BE3" w:rsidRDefault="00A07B19">
      <w:pPr>
        <w:rPr>
          <w:b/>
          <w:u w:val="single"/>
        </w:rPr>
      </w:pPr>
      <w:r>
        <w:rPr>
          <w:b/>
          <w:u w:val="single"/>
        </w:rPr>
        <w:t>Note:</w:t>
      </w:r>
    </w:p>
    <w:p w:rsidR="00785BE3" w:rsidRDefault="00A07B19">
      <w:pPr>
        <w:pStyle w:val="BodyTextIndent"/>
      </w:pPr>
      <w:r>
        <w:t xml:space="preserve">** Laboratory component may include assignments, which will be practical or theoretical type that would include interpretation of IR, NMR, Mass spectral, Elemental data - characterization of compounds etc., besides identification and estimation of known and unknown drugs in given samples based on experiments demonstrated through online.   </w:t>
      </w:r>
    </w:p>
    <w:p w:rsidR="00785BE3" w:rsidRDefault="00785BE3">
      <w:pPr>
        <w:jc w:val="both"/>
        <w:rPr>
          <w:b/>
          <w:bCs/>
        </w:rPr>
      </w:pPr>
    </w:p>
    <w:p w:rsidR="00785BE3" w:rsidRDefault="00A07B19">
      <w:pPr>
        <w:jc w:val="both"/>
      </w:pPr>
      <w:r>
        <w:rPr>
          <w:b/>
          <w:bCs/>
        </w:rPr>
        <w:t>Chamber Consultation Hour:</w:t>
      </w:r>
      <w:r>
        <w:t xml:space="preserve"> After the practical class </w:t>
      </w:r>
    </w:p>
    <w:p w:rsidR="00785BE3" w:rsidRDefault="00785BE3">
      <w:pPr>
        <w:jc w:val="both"/>
      </w:pPr>
    </w:p>
    <w:p w:rsidR="00785BE3" w:rsidRDefault="00A07B19">
      <w:pPr>
        <w:jc w:val="both"/>
      </w:pPr>
      <w:r>
        <w:rPr>
          <w:b/>
          <w:bCs/>
        </w:rPr>
        <w:t>Notices:</w:t>
      </w:r>
      <w:r>
        <w:t xml:space="preserve"> Notices concerning the course will be through CMS/Google Classroom</w:t>
      </w:r>
    </w:p>
    <w:p w:rsidR="00785BE3" w:rsidRDefault="00785BE3">
      <w:pPr>
        <w:jc w:val="both"/>
      </w:pPr>
    </w:p>
    <w:p w:rsidR="00785BE3" w:rsidRDefault="00A07B19">
      <w:pPr>
        <w:jc w:val="both"/>
      </w:pPr>
      <w:r>
        <w:rPr>
          <w:b/>
        </w:rPr>
        <w:t xml:space="preserve">Make-up Policy: </w:t>
      </w:r>
      <w:r>
        <w:t>Make-Ups are not given as a routine. It is solely dependent upon the GENUINENESS OF THE CIRCUMSTANCES under which a student fails to appear in a scheduled evaluation component. In such circumstances, prior permission should be obtained from the Instructor-in-Charge. IN NO CASE THE MAKE-UP APPLICATION BE SLIPPED INSIDE THE CHAMBER OF THE INSTRUCTOR-IN-CHARGE. However, the decision of the Instructor-in-Charge in the above matter will be final.</w:t>
      </w:r>
    </w:p>
    <w:p w:rsidR="00785BE3" w:rsidRDefault="00785BE3">
      <w:pPr>
        <w:jc w:val="both"/>
        <w:rPr>
          <w:b/>
        </w:rPr>
      </w:pPr>
    </w:p>
    <w:p w:rsidR="00785BE3" w:rsidRDefault="00A07B19">
      <w:pPr>
        <w:jc w:val="both"/>
        <w:rPr>
          <w:b/>
        </w:rPr>
      </w:pPr>
      <w:r>
        <w:rPr>
          <w:b/>
          <w:u w:val="single"/>
        </w:rPr>
        <w:t>Academic Honesty and Integrity Policy</w:t>
      </w:r>
      <w:r>
        <w:t>: Academic honesty and integrity are to be maintained by all the students throughout the semester and no type of academic dishonesty is acceptable.</w:t>
      </w:r>
      <w:r>
        <w:rPr>
          <w:b/>
          <w:bCs/>
        </w:rPr>
        <w:t xml:space="preserve"> </w:t>
      </w:r>
      <w:r>
        <w:t xml:space="preserve">       </w:t>
      </w:r>
    </w:p>
    <w:p w:rsidR="00785BE3" w:rsidRDefault="00785BE3">
      <w:pPr>
        <w:jc w:val="right"/>
      </w:pPr>
    </w:p>
    <w:p w:rsidR="00785BE3" w:rsidRDefault="00A07B19">
      <w:pPr>
        <w:jc w:val="right"/>
        <w:rPr>
          <w:b/>
          <w:bCs/>
        </w:rPr>
      </w:pPr>
      <w:r>
        <w:rPr>
          <w:b/>
          <w:bCs/>
        </w:rPr>
        <w:t xml:space="preserve"> INSTRUCTOR-IN-CHARGE</w:t>
      </w:r>
    </w:p>
    <w:p w:rsidR="00785BE3" w:rsidRDefault="00A07B19">
      <w:pPr>
        <w:jc w:val="right"/>
        <w:rPr>
          <w:b/>
        </w:rPr>
      </w:pPr>
      <w:r>
        <w:rPr>
          <w:b/>
        </w:rPr>
        <w:t xml:space="preserve">      Instructor -in-Charge</w:t>
      </w:r>
    </w:p>
    <w:p w:rsidR="00785BE3" w:rsidRDefault="00A07B19">
      <w:pPr>
        <w:jc w:val="right"/>
        <w:rPr>
          <w:b/>
          <w:bCs/>
        </w:rPr>
      </w:pPr>
      <w:r>
        <w:rPr>
          <w:b/>
        </w:rPr>
        <w:t xml:space="preserve">     PHA F313</w:t>
      </w:r>
    </w:p>
    <w:p w:rsidR="00785BE3" w:rsidRDefault="00785BE3"/>
    <w:sectPr w:rsidR="00785BE3">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826" w:rsidRDefault="00DA0826">
      <w:r>
        <w:separator/>
      </w:r>
    </w:p>
  </w:endnote>
  <w:endnote w:type="continuationSeparator" w:id="0">
    <w:p w:rsidR="00DA0826" w:rsidRDefault="00DA0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BE3" w:rsidRDefault="00A07B19">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826" w:rsidRDefault="00DA0826">
      <w:r>
        <w:separator/>
      </w:r>
    </w:p>
  </w:footnote>
  <w:footnote w:type="continuationSeparator" w:id="0">
    <w:p w:rsidR="00DA0826" w:rsidRDefault="00DA08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BE3" w:rsidRDefault="00785BE3">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71B2"/>
    <w:multiLevelType w:val="multilevel"/>
    <w:tmpl w:val="2A4271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3E80985"/>
    <w:multiLevelType w:val="multilevel"/>
    <w:tmpl w:val="63E8098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D9440C"/>
    <w:multiLevelType w:val="multilevel"/>
    <w:tmpl w:val="72D9440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A523B6"/>
    <w:multiLevelType w:val="multilevel"/>
    <w:tmpl w:val="78A523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D4"/>
    <w:rsid w:val="00443BC9"/>
    <w:rsid w:val="004D7BB5"/>
    <w:rsid w:val="004E29EB"/>
    <w:rsid w:val="00503912"/>
    <w:rsid w:val="00546714"/>
    <w:rsid w:val="005E4F4A"/>
    <w:rsid w:val="006626B4"/>
    <w:rsid w:val="00675F6E"/>
    <w:rsid w:val="00785BE3"/>
    <w:rsid w:val="00795BD4"/>
    <w:rsid w:val="008F5AC0"/>
    <w:rsid w:val="00956272"/>
    <w:rsid w:val="00A07B19"/>
    <w:rsid w:val="00B25A14"/>
    <w:rsid w:val="00C3460C"/>
    <w:rsid w:val="00C61679"/>
    <w:rsid w:val="00C9769C"/>
    <w:rsid w:val="00DA0826"/>
    <w:rsid w:val="00EE3BDE"/>
    <w:rsid w:val="5B126E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5370"/>
  <w15:docId w15:val="{703E8D95-94C8-4B89-87E4-44709A21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link w:val="Heading2Char"/>
    <w:qFormat/>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jc w:val="both"/>
    </w:pPr>
  </w:style>
  <w:style w:type="paragraph" w:styleId="BodyTextIndent">
    <w:name w:val="Body Text Indent"/>
    <w:basedOn w:val="Normal"/>
    <w:link w:val="BodyTextIndentChar"/>
    <w:semiHidden/>
    <w:qFormat/>
    <w:pPr>
      <w:ind w:left="900" w:hanging="540"/>
      <w:jc w:val="both"/>
    </w:p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u w:val="single"/>
      <w:lang w:val="en-US"/>
    </w:rPr>
  </w:style>
  <w:style w:type="character" w:customStyle="1" w:styleId="Heading2Char">
    <w:name w:val="Heading 2 Char"/>
    <w:basedOn w:val="DefaultParagraphFont"/>
    <w:link w:val="Heading2"/>
    <w:rPr>
      <w:rFonts w:ascii="Times New Roman" w:eastAsia="Times New Roman" w:hAnsi="Times New Roman" w:cs="Times New Roman"/>
      <w:i/>
      <w:iCs/>
      <w:sz w:val="24"/>
      <w:szCs w:val="24"/>
      <w:lang w:val="en-US"/>
    </w:rPr>
  </w:style>
  <w:style w:type="character" w:customStyle="1" w:styleId="BodyTextChar">
    <w:name w:val="Body Text Char"/>
    <w:basedOn w:val="DefaultParagraphFont"/>
    <w:link w:val="BodyText"/>
    <w:semiHidden/>
    <w:qFormat/>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US"/>
    </w:rPr>
  </w:style>
  <w:style w:type="paragraph" w:styleId="ListParagraph">
    <w:name w:val="List Paragraph"/>
    <w:basedOn w:val="Normal"/>
    <w:uiPriority w:val="34"/>
    <w:qFormat/>
    <w:pPr>
      <w:suppressAutoHyphens/>
      <w:ind w:left="720"/>
      <w:contextualSpacing/>
    </w:pPr>
    <w:rPr>
      <w:szCs w:val="20"/>
      <w:lang w:eastAsia="ar-SA"/>
    </w:rPr>
  </w:style>
  <w:style w:type="paragraph" w:styleId="BalloonText">
    <w:name w:val="Balloon Text"/>
    <w:basedOn w:val="Normal"/>
    <w:link w:val="BalloonTextChar"/>
    <w:uiPriority w:val="99"/>
    <w:semiHidden/>
    <w:unhideWhenUsed/>
    <w:rsid w:val="00C9769C"/>
    <w:rPr>
      <w:rFonts w:ascii="Tahoma" w:hAnsi="Tahoma" w:cs="Tahoma"/>
      <w:sz w:val="16"/>
      <w:szCs w:val="16"/>
    </w:rPr>
  </w:style>
  <w:style w:type="character" w:customStyle="1" w:styleId="BalloonTextChar">
    <w:name w:val="Balloon Text Char"/>
    <w:basedOn w:val="DefaultParagraphFont"/>
    <w:link w:val="BalloonText"/>
    <w:uiPriority w:val="99"/>
    <w:semiHidden/>
    <w:rsid w:val="00C9769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3</cp:revision>
  <dcterms:created xsi:type="dcterms:W3CDTF">2023-01-10T10:56:00Z</dcterms:created>
  <dcterms:modified xsi:type="dcterms:W3CDTF">2023-01-16T13:28:00Z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053ECEB9507742719DFFEBD64523AB7B</vt:lpwstr>
  </property>
</Properties>
</file>