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1F5" w:rsidRDefault="00137F02">
      <w:pPr>
        <w:spacing w:before="60" w:after="60"/>
        <w:jc w:val="center"/>
        <w:rPr>
          <w:b/>
          <w:sz w:val="24"/>
          <w:szCs w:val="24"/>
        </w:rPr>
      </w:pPr>
      <w:r>
        <w:rPr>
          <w:b/>
          <w:sz w:val="22"/>
          <w:szCs w:val="22"/>
        </w:rPr>
        <w:t xml:space="preserve"> </w:t>
      </w:r>
      <w:r>
        <w:rPr>
          <w:b/>
          <w:sz w:val="24"/>
          <w:szCs w:val="24"/>
        </w:rPr>
        <w:t>SECOND SEMESTER 2022-2023</w:t>
      </w:r>
    </w:p>
    <w:p w:rsidR="007511F5" w:rsidRDefault="00137F02">
      <w:pPr>
        <w:spacing w:before="60" w:after="60"/>
        <w:jc w:val="center"/>
        <w:rPr>
          <w:b/>
          <w:sz w:val="24"/>
          <w:szCs w:val="24"/>
          <w:u w:val="single"/>
        </w:rPr>
      </w:pPr>
      <w:r>
        <w:rPr>
          <w:b/>
          <w:sz w:val="24"/>
          <w:szCs w:val="24"/>
          <w:u w:val="single"/>
        </w:rPr>
        <w:t>Course Handout (Part II)</w:t>
      </w:r>
    </w:p>
    <w:p w:rsidR="007511F5" w:rsidRDefault="00137F02">
      <w:pPr>
        <w:jc w:val="right"/>
        <w:rPr>
          <w:b/>
          <w:sz w:val="24"/>
          <w:szCs w:val="24"/>
        </w:rPr>
      </w:pPr>
      <w:r>
        <w:rPr>
          <w:b/>
          <w:sz w:val="24"/>
          <w:szCs w:val="24"/>
        </w:rPr>
        <w:t xml:space="preserve">                                                   Date: </w:t>
      </w:r>
      <w:r w:rsidR="00291FFB">
        <w:rPr>
          <w:b/>
          <w:sz w:val="24"/>
          <w:szCs w:val="24"/>
        </w:rPr>
        <w:t>16</w:t>
      </w:r>
      <w:r>
        <w:rPr>
          <w:b/>
          <w:sz w:val="24"/>
          <w:szCs w:val="24"/>
        </w:rPr>
        <w:t xml:space="preserve">/01/2023 </w:t>
      </w:r>
    </w:p>
    <w:p w:rsidR="007511F5" w:rsidRDefault="007511F5">
      <w:pPr>
        <w:jc w:val="right"/>
        <w:rPr>
          <w:b/>
          <w:sz w:val="16"/>
          <w:szCs w:val="16"/>
        </w:rPr>
      </w:pPr>
    </w:p>
    <w:p w:rsidR="007511F5" w:rsidRDefault="007511F5">
      <w:pPr>
        <w:pBdr>
          <w:top w:val="nil"/>
          <w:left w:val="nil"/>
          <w:bottom w:val="nil"/>
          <w:right w:val="nil"/>
          <w:between w:val="nil"/>
        </w:pBdr>
        <w:jc w:val="both"/>
        <w:rPr>
          <w:color w:val="000000"/>
          <w:sz w:val="24"/>
          <w:szCs w:val="24"/>
        </w:rPr>
      </w:pPr>
    </w:p>
    <w:p w:rsidR="007511F5" w:rsidRDefault="00137F02">
      <w:pPr>
        <w:pBdr>
          <w:top w:val="nil"/>
          <w:left w:val="nil"/>
          <w:bottom w:val="nil"/>
          <w:right w:val="nil"/>
          <w:between w:val="nil"/>
        </w:pBdr>
        <w:jc w:val="both"/>
        <w:rPr>
          <w:color w:val="000000"/>
          <w:sz w:val="24"/>
          <w:szCs w:val="24"/>
        </w:rPr>
      </w:pPr>
      <w:r>
        <w:rPr>
          <w:color w:val="000000"/>
          <w:sz w:val="24"/>
          <w:szCs w:val="24"/>
        </w:rPr>
        <w:t>In addition to part-I (General Handout for all courses appended to the time table) this portion gives further specific details regarding the course.</w:t>
      </w:r>
    </w:p>
    <w:p w:rsidR="007511F5" w:rsidRDefault="007511F5">
      <w:pPr>
        <w:jc w:val="both"/>
        <w:rPr>
          <w:sz w:val="16"/>
          <w:szCs w:val="16"/>
        </w:rPr>
      </w:pPr>
    </w:p>
    <w:p w:rsidR="007511F5" w:rsidRDefault="00137F02">
      <w:pPr>
        <w:pStyle w:val="Heading1"/>
      </w:pPr>
      <w:r>
        <w:rPr>
          <w:b w:val="0"/>
        </w:rPr>
        <w:t>Course No.              :</w:t>
      </w:r>
      <w:r>
        <w:t xml:space="preserve">  PHA F417                                                                                             </w:t>
      </w:r>
    </w:p>
    <w:p w:rsidR="007511F5" w:rsidRDefault="00137F02">
      <w:pPr>
        <w:spacing w:before="40" w:after="40"/>
        <w:jc w:val="both"/>
        <w:rPr>
          <w:sz w:val="24"/>
          <w:szCs w:val="24"/>
        </w:rPr>
      </w:pPr>
      <w:r>
        <w:rPr>
          <w:sz w:val="24"/>
          <w:szCs w:val="24"/>
        </w:rPr>
        <w:t xml:space="preserve">Course Title            :  </w:t>
      </w:r>
      <w:proofErr w:type="spellStart"/>
      <w:r>
        <w:rPr>
          <w:sz w:val="24"/>
          <w:szCs w:val="24"/>
        </w:rPr>
        <w:t>Pharmacoeconomics</w:t>
      </w:r>
      <w:proofErr w:type="spellEnd"/>
      <w:r>
        <w:rPr>
          <w:sz w:val="24"/>
          <w:szCs w:val="24"/>
        </w:rPr>
        <w:t xml:space="preserve"> </w:t>
      </w:r>
    </w:p>
    <w:p w:rsidR="007511F5" w:rsidRDefault="00137F02">
      <w:pPr>
        <w:pStyle w:val="Heading1"/>
      </w:pPr>
      <w:r>
        <w:t xml:space="preserve">Instructor In-Charge:  Dr. </w:t>
      </w:r>
      <w:proofErr w:type="spellStart"/>
      <w:r>
        <w:t>Abhijeet</w:t>
      </w:r>
      <w:proofErr w:type="spellEnd"/>
      <w:r>
        <w:t xml:space="preserve"> R Joshi</w:t>
      </w:r>
    </w:p>
    <w:p w:rsidR="007511F5" w:rsidRDefault="007511F5"/>
    <w:p w:rsidR="007511F5" w:rsidRDefault="007511F5">
      <w:pPr>
        <w:pBdr>
          <w:top w:val="nil"/>
          <w:left w:val="nil"/>
          <w:bottom w:val="nil"/>
          <w:right w:val="nil"/>
          <w:between w:val="nil"/>
        </w:pBdr>
        <w:spacing w:before="40" w:after="40"/>
        <w:jc w:val="both"/>
        <w:rPr>
          <w:b/>
          <w:color w:val="000000"/>
          <w:sz w:val="24"/>
          <w:szCs w:val="24"/>
        </w:rPr>
      </w:pPr>
    </w:p>
    <w:p w:rsidR="007511F5" w:rsidRDefault="00137F02">
      <w:pPr>
        <w:pBdr>
          <w:top w:val="nil"/>
          <w:left w:val="nil"/>
          <w:bottom w:val="nil"/>
          <w:right w:val="nil"/>
          <w:between w:val="nil"/>
        </w:pBdr>
        <w:spacing w:before="40" w:after="40"/>
        <w:jc w:val="both"/>
        <w:rPr>
          <w:color w:val="000000"/>
          <w:sz w:val="24"/>
          <w:szCs w:val="24"/>
        </w:rPr>
      </w:pPr>
      <w:r>
        <w:rPr>
          <w:b/>
          <w:color w:val="000000"/>
          <w:sz w:val="24"/>
          <w:szCs w:val="24"/>
        </w:rPr>
        <w:t>1. Course description:</w:t>
      </w:r>
      <w:r>
        <w:rPr>
          <w:color w:val="000000"/>
          <w:sz w:val="24"/>
          <w:szCs w:val="24"/>
        </w:rPr>
        <w:t xml:space="preserve"> This course is designed to understand and apply the principles of </w:t>
      </w:r>
      <w:proofErr w:type="spellStart"/>
      <w:r>
        <w:rPr>
          <w:color w:val="000000"/>
          <w:sz w:val="24"/>
          <w:szCs w:val="24"/>
        </w:rPr>
        <w:t>pharmacoeconomics</w:t>
      </w:r>
      <w:proofErr w:type="spellEnd"/>
      <w:r>
        <w:rPr>
          <w:color w:val="000000"/>
          <w:sz w:val="24"/>
          <w:szCs w:val="24"/>
        </w:rPr>
        <w:t xml:space="preserve"> and </w:t>
      </w:r>
      <w:proofErr w:type="spellStart"/>
      <w:r>
        <w:rPr>
          <w:color w:val="000000"/>
          <w:sz w:val="24"/>
          <w:szCs w:val="24"/>
        </w:rPr>
        <w:t>pharmacoeconomic</w:t>
      </w:r>
      <w:proofErr w:type="spellEnd"/>
      <w:r>
        <w:rPr>
          <w:color w:val="000000"/>
          <w:sz w:val="24"/>
          <w:szCs w:val="24"/>
        </w:rPr>
        <w:t xml:space="preserve"> research through lectures, readings, class participation, and individual assignments. It identifies the role of pharmacists in </w:t>
      </w:r>
      <w:proofErr w:type="spellStart"/>
      <w:r>
        <w:rPr>
          <w:color w:val="000000"/>
          <w:sz w:val="24"/>
          <w:szCs w:val="24"/>
        </w:rPr>
        <w:t>pharmacoeconomics</w:t>
      </w:r>
      <w:proofErr w:type="spellEnd"/>
      <w:r>
        <w:rPr>
          <w:color w:val="000000"/>
          <w:sz w:val="24"/>
          <w:szCs w:val="24"/>
        </w:rPr>
        <w:t xml:space="preserve"> research and to appropriately use the vocabulary of </w:t>
      </w:r>
      <w:proofErr w:type="spellStart"/>
      <w:r>
        <w:rPr>
          <w:color w:val="000000"/>
          <w:sz w:val="24"/>
          <w:szCs w:val="24"/>
        </w:rPr>
        <w:t>pharmacoeconomics</w:t>
      </w:r>
      <w:proofErr w:type="spellEnd"/>
      <w:r>
        <w:rPr>
          <w:color w:val="000000"/>
          <w:sz w:val="24"/>
          <w:szCs w:val="24"/>
        </w:rPr>
        <w:t>.</w:t>
      </w:r>
    </w:p>
    <w:p w:rsidR="007511F5" w:rsidRDefault="007511F5">
      <w:pPr>
        <w:jc w:val="both"/>
        <w:rPr>
          <w:b/>
          <w:sz w:val="16"/>
          <w:szCs w:val="16"/>
        </w:rPr>
      </w:pPr>
    </w:p>
    <w:p w:rsidR="007511F5" w:rsidRDefault="00137F02">
      <w:pPr>
        <w:spacing w:after="80"/>
        <w:jc w:val="both"/>
        <w:rPr>
          <w:b/>
          <w:sz w:val="24"/>
          <w:szCs w:val="24"/>
        </w:rPr>
      </w:pPr>
      <w:r>
        <w:rPr>
          <w:b/>
          <w:sz w:val="24"/>
          <w:szCs w:val="24"/>
        </w:rPr>
        <w:t>2. Scope and objective of the course:</w:t>
      </w:r>
    </w:p>
    <w:p w:rsidR="007511F5" w:rsidRDefault="00137F02">
      <w:pPr>
        <w:jc w:val="both"/>
        <w:rPr>
          <w:sz w:val="24"/>
          <w:szCs w:val="24"/>
        </w:rPr>
      </w:pPr>
      <w:r>
        <w:rPr>
          <w:sz w:val="24"/>
          <w:szCs w:val="24"/>
        </w:rPr>
        <w:t xml:space="preserve">The principal objective of this course is to impart knowledge about some economic aspects of the health care and its applications in the health sector, with a focus on pharmaceuticals. It covers cost-benefit, cost-effectiveness, cost-minimization, and cost-utility analyses to compare the different pharmaceutical products, drug therapy and treatments. Economic concepts such as supply, demand, efficiency, equity, health policy, market failures, health insurance, and pharmaceutical market are covered. Measurement of direct and indirect costs to a health care program, economic issues, pharmaceutical regulations, pricing policy and other economic related topics will be emphasized.        </w:t>
      </w:r>
    </w:p>
    <w:p w:rsidR="007511F5" w:rsidRDefault="007511F5">
      <w:pPr>
        <w:spacing w:after="80"/>
        <w:ind w:left="1350" w:hanging="1350"/>
        <w:jc w:val="both"/>
        <w:rPr>
          <w:b/>
          <w:sz w:val="16"/>
          <w:szCs w:val="16"/>
        </w:rPr>
      </w:pPr>
    </w:p>
    <w:p w:rsidR="007511F5" w:rsidRDefault="00137F02">
      <w:pPr>
        <w:spacing w:after="80"/>
        <w:ind w:left="1350" w:hanging="1350"/>
        <w:jc w:val="both"/>
        <w:rPr>
          <w:sz w:val="24"/>
          <w:szCs w:val="24"/>
        </w:rPr>
      </w:pPr>
      <w:r>
        <w:rPr>
          <w:b/>
          <w:sz w:val="24"/>
          <w:szCs w:val="24"/>
        </w:rPr>
        <w:t>3. Text Book:</w:t>
      </w:r>
      <w:r>
        <w:rPr>
          <w:sz w:val="24"/>
          <w:szCs w:val="24"/>
        </w:rPr>
        <w:t xml:space="preserve"> </w:t>
      </w:r>
    </w:p>
    <w:p w:rsidR="007511F5" w:rsidRDefault="00137F02">
      <w:pPr>
        <w:ind w:left="360" w:hanging="360"/>
        <w:jc w:val="both"/>
        <w:rPr>
          <w:sz w:val="24"/>
          <w:szCs w:val="24"/>
        </w:rPr>
      </w:pPr>
      <w:r>
        <w:rPr>
          <w:sz w:val="24"/>
          <w:szCs w:val="24"/>
        </w:rPr>
        <w:t xml:space="preserve">1) </w:t>
      </w:r>
      <w:proofErr w:type="spellStart"/>
      <w:r>
        <w:rPr>
          <w:sz w:val="24"/>
          <w:szCs w:val="24"/>
        </w:rPr>
        <w:t>Bootman</w:t>
      </w:r>
      <w:proofErr w:type="spellEnd"/>
      <w:r>
        <w:rPr>
          <w:sz w:val="24"/>
          <w:szCs w:val="24"/>
        </w:rPr>
        <w:t xml:space="preserve"> J. L., Townsend R. J., </w:t>
      </w:r>
      <w:proofErr w:type="spellStart"/>
      <w:r>
        <w:rPr>
          <w:sz w:val="24"/>
          <w:szCs w:val="24"/>
        </w:rPr>
        <w:t>McGhan</w:t>
      </w:r>
      <w:proofErr w:type="spellEnd"/>
      <w:r>
        <w:rPr>
          <w:sz w:val="24"/>
          <w:szCs w:val="24"/>
        </w:rPr>
        <w:t xml:space="preserve"> W. F. Principles of </w:t>
      </w:r>
      <w:proofErr w:type="spellStart"/>
      <w:r>
        <w:rPr>
          <w:sz w:val="24"/>
          <w:szCs w:val="24"/>
        </w:rPr>
        <w:t>Pharmacoeconomics</w:t>
      </w:r>
      <w:proofErr w:type="spellEnd"/>
      <w:r>
        <w:rPr>
          <w:sz w:val="24"/>
          <w:szCs w:val="24"/>
        </w:rPr>
        <w:t>. Second edition, Harvey Whitney Books Company, Cincinnati, USA, 2002.</w:t>
      </w:r>
    </w:p>
    <w:p w:rsidR="007511F5" w:rsidRDefault="007511F5">
      <w:pPr>
        <w:ind w:left="1980" w:hanging="1980"/>
        <w:jc w:val="both"/>
        <w:rPr>
          <w:b/>
          <w:sz w:val="16"/>
          <w:szCs w:val="16"/>
        </w:rPr>
      </w:pPr>
    </w:p>
    <w:p w:rsidR="007511F5" w:rsidRDefault="00137F02">
      <w:pPr>
        <w:ind w:left="1980" w:hanging="1980"/>
        <w:jc w:val="both"/>
        <w:rPr>
          <w:sz w:val="24"/>
          <w:szCs w:val="24"/>
        </w:rPr>
      </w:pPr>
      <w:r>
        <w:rPr>
          <w:b/>
          <w:sz w:val="24"/>
          <w:szCs w:val="24"/>
        </w:rPr>
        <w:t>4. Reference Books:</w:t>
      </w:r>
      <w:r>
        <w:rPr>
          <w:sz w:val="24"/>
          <w:szCs w:val="24"/>
        </w:rPr>
        <w:t xml:space="preserve">  </w:t>
      </w:r>
    </w:p>
    <w:p w:rsidR="007511F5" w:rsidRDefault="007511F5">
      <w:pPr>
        <w:ind w:left="360" w:hanging="360"/>
        <w:jc w:val="both"/>
        <w:rPr>
          <w:sz w:val="6"/>
          <w:szCs w:val="6"/>
        </w:rPr>
      </w:pPr>
    </w:p>
    <w:p w:rsidR="007511F5" w:rsidRDefault="00137F02">
      <w:pPr>
        <w:ind w:left="360" w:hanging="360"/>
        <w:jc w:val="both"/>
        <w:rPr>
          <w:sz w:val="24"/>
          <w:szCs w:val="24"/>
        </w:rPr>
      </w:pPr>
      <w:r>
        <w:rPr>
          <w:sz w:val="24"/>
          <w:szCs w:val="24"/>
        </w:rPr>
        <w:t>1) Gold M. R., Siegel J. E., Russell  L. B.,  Weinstein M. C. Cost-Effectiveness in Health and Medicine, Oxford University Press, Oxford, UK, 1996.</w:t>
      </w:r>
    </w:p>
    <w:p w:rsidR="007511F5" w:rsidRDefault="007511F5">
      <w:pPr>
        <w:ind w:left="360" w:hanging="360"/>
        <w:jc w:val="both"/>
        <w:rPr>
          <w:sz w:val="6"/>
          <w:szCs w:val="6"/>
        </w:rPr>
      </w:pPr>
    </w:p>
    <w:p w:rsidR="007511F5" w:rsidRDefault="00137F02">
      <w:pPr>
        <w:ind w:left="360" w:hanging="360"/>
        <w:jc w:val="both"/>
        <w:rPr>
          <w:sz w:val="24"/>
          <w:szCs w:val="24"/>
        </w:rPr>
      </w:pPr>
      <w:r>
        <w:rPr>
          <w:sz w:val="24"/>
          <w:szCs w:val="24"/>
        </w:rPr>
        <w:t xml:space="preserve">2) Michael F. D., </w:t>
      </w:r>
      <w:proofErr w:type="spellStart"/>
      <w:r>
        <w:rPr>
          <w:sz w:val="24"/>
          <w:szCs w:val="24"/>
        </w:rPr>
        <w:t>Sculpher</w:t>
      </w:r>
      <w:proofErr w:type="spellEnd"/>
      <w:r>
        <w:rPr>
          <w:sz w:val="24"/>
          <w:szCs w:val="24"/>
        </w:rPr>
        <w:t xml:space="preserve"> M. J., Torrance G. W., O’Brien B. J., </w:t>
      </w:r>
      <w:proofErr w:type="spellStart"/>
      <w:r>
        <w:rPr>
          <w:sz w:val="24"/>
          <w:szCs w:val="24"/>
        </w:rPr>
        <w:t>Stoddart</w:t>
      </w:r>
      <w:proofErr w:type="spellEnd"/>
      <w:r>
        <w:rPr>
          <w:sz w:val="24"/>
          <w:szCs w:val="24"/>
        </w:rPr>
        <w:t xml:space="preserve"> G. L. Methods for the Economic Evaluation of Health Care </w:t>
      </w:r>
      <w:proofErr w:type="spellStart"/>
      <w:r>
        <w:rPr>
          <w:sz w:val="24"/>
          <w:szCs w:val="24"/>
        </w:rPr>
        <w:t>Programmes</w:t>
      </w:r>
      <w:proofErr w:type="spellEnd"/>
      <w:r>
        <w:rPr>
          <w:sz w:val="24"/>
          <w:szCs w:val="24"/>
        </w:rPr>
        <w:t>. Third edition, Oxford University Press, Oxford, UK, 2005.</w:t>
      </w:r>
    </w:p>
    <w:p w:rsidR="007511F5" w:rsidRDefault="007511F5">
      <w:pPr>
        <w:ind w:left="360" w:hanging="360"/>
        <w:jc w:val="both"/>
        <w:rPr>
          <w:sz w:val="6"/>
          <w:szCs w:val="6"/>
        </w:rPr>
      </w:pPr>
    </w:p>
    <w:p w:rsidR="007511F5" w:rsidRDefault="00137F02">
      <w:pPr>
        <w:ind w:left="360" w:hanging="360"/>
        <w:jc w:val="both"/>
        <w:rPr>
          <w:sz w:val="24"/>
          <w:szCs w:val="24"/>
        </w:rPr>
      </w:pPr>
      <w:r>
        <w:rPr>
          <w:sz w:val="24"/>
          <w:szCs w:val="24"/>
        </w:rPr>
        <w:t xml:space="preserve">3) </w:t>
      </w:r>
      <w:proofErr w:type="spellStart"/>
      <w:r>
        <w:rPr>
          <w:sz w:val="24"/>
          <w:szCs w:val="24"/>
        </w:rPr>
        <w:t>Walley</w:t>
      </w:r>
      <w:proofErr w:type="spellEnd"/>
      <w:r>
        <w:rPr>
          <w:sz w:val="24"/>
          <w:szCs w:val="24"/>
        </w:rPr>
        <w:t xml:space="preserve"> T., </w:t>
      </w:r>
      <w:proofErr w:type="spellStart"/>
      <w:r>
        <w:rPr>
          <w:sz w:val="24"/>
          <w:szCs w:val="24"/>
        </w:rPr>
        <w:t>Haycox</w:t>
      </w:r>
      <w:proofErr w:type="spellEnd"/>
      <w:r>
        <w:rPr>
          <w:sz w:val="24"/>
          <w:szCs w:val="24"/>
        </w:rPr>
        <w:t xml:space="preserve"> A., Boland A. </w:t>
      </w:r>
      <w:proofErr w:type="spellStart"/>
      <w:r>
        <w:rPr>
          <w:sz w:val="24"/>
          <w:szCs w:val="24"/>
        </w:rPr>
        <w:t>Pharmacoeconomics</w:t>
      </w:r>
      <w:proofErr w:type="spellEnd"/>
      <w:r>
        <w:rPr>
          <w:sz w:val="24"/>
          <w:szCs w:val="24"/>
        </w:rPr>
        <w:t>. Churchill Livingstone, Elsevier Science, Oxford, UK, 2004.</w:t>
      </w:r>
    </w:p>
    <w:p w:rsidR="007511F5" w:rsidRDefault="007511F5">
      <w:pPr>
        <w:jc w:val="both"/>
        <w:rPr>
          <w:b/>
          <w:sz w:val="16"/>
          <w:szCs w:val="16"/>
          <w:u w:val="single"/>
        </w:rPr>
      </w:pPr>
    </w:p>
    <w:p w:rsidR="007511F5" w:rsidRDefault="007511F5">
      <w:pPr>
        <w:jc w:val="both"/>
        <w:rPr>
          <w:b/>
          <w:sz w:val="24"/>
          <w:szCs w:val="24"/>
        </w:rPr>
      </w:pPr>
    </w:p>
    <w:p w:rsidR="007511F5" w:rsidRDefault="007511F5">
      <w:pPr>
        <w:jc w:val="both"/>
        <w:rPr>
          <w:b/>
          <w:sz w:val="24"/>
          <w:szCs w:val="24"/>
        </w:rPr>
      </w:pPr>
    </w:p>
    <w:p w:rsidR="007511F5" w:rsidRDefault="007511F5">
      <w:pPr>
        <w:jc w:val="both"/>
        <w:rPr>
          <w:b/>
          <w:sz w:val="24"/>
          <w:szCs w:val="24"/>
        </w:rPr>
      </w:pPr>
    </w:p>
    <w:p w:rsidR="007511F5" w:rsidRDefault="007511F5">
      <w:pPr>
        <w:jc w:val="both"/>
        <w:rPr>
          <w:b/>
          <w:sz w:val="24"/>
          <w:szCs w:val="24"/>
        </w:rPr>
      </w:pPr>
    </w:p>
    <w:p w:rsidR="007511F5" w:rsidRDefault="007511F5">
      <w:pPr>
        <w:jc w:val="both"/>
        <w:rPr>
          <w:b/>
          <w:sz w:val="24"/>
          <w:szCs w:val="24"/>
        </w:rPr>
      </w:pPr>
    </w:p>
    <w:p w:rsidR="007511F5" w:rsidRDefault="007511F5">
      <w:pPr>
        <w:rPr>
          <w:b/>
          <w:sz w:val="24"/>
          <w:szCs w:val="24"/>
        </w:rPr>
      </w:pPr>
    </w:p>
    <w:p w:rsidR="007511F5" w:rsidRDefault="00137F02">
      <w:pPr>
        <w:rPr>
          <w:b/>
          <w:sz w:val="24"/>
          <w:szCs w:val="24"/>
        </w:rPr>
      </w:pPr>
      <w:r>
        <w:rPr>
          <w:b/>
          <w:sz w:val="24"/>
          <w:szCs w:val="24"/>
        </w:rPr>
        <w:t>5. Course Plan:</w:t>
      </w:r>
    </w:p>
    <w:tbl>
      <w:tblPr>
        <w:tblStyle w:val="a"/>
        <w:tblW w:w="10484"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5"/>
        <w:gridCol w:w="4152"/>
        <w:gridCol w:w="1621"/>
        <w:gridCol w:w="3036"/>
      </w:tblGrid>
      <w:tr w:rsidR="007511F5">
        <w:tc>
          <w:tcPr>
            <w:tcW w:w="1675" w:type="dxa"/>
            <w:tcBorders>
              <w:top w:val="single" w:sz="4" w:space="0" w:color="000000"/>
              <w:left w:val="single" w:sz="4" w:space="0" w:color="000000"/>
              <w:bottom w:val="single" w:sz="4" w:space="0" w:color="000000"/>
              <w:right w:val="single" w:sz="4" w:space="0" w:color="000000"/>
            </w:tcBorders>
          </w:tcPr>
          <w:p w:rsidR="007511F5" w:rsidRDefault="00137F02">
            <w:pPr>
              <w:jc w:val="both"/>
              <w:rPr>
                <w:b/>
                <w:sz w:val="22"/>
                <w:szCs w:val="22"/>
              </w:rPr>
            </w:pPr>
            <w:r>
              <w:rPr>
                <w:b/>
                <w:sz w:val="22"/>
                <w:szCs w:val="22"/>
              </w:rPr>
              <w:t>Module Number</w:t>
            </w:r>
          </w:p>
        </w:tc>
        <w:tc>
          <w:tcPr>
            <w:tcW w:w="4152" w:type="dxa"/>
            <w:tcBorders>
              <w:top w:val="single" w:sz="4" w:space="0" w:color="000000"/>
              <w:left w:val="single" w:sz="4" w:space="0" w:color="000000"/>
              <w:bottom w:val="single" w:sz="4" w:space="0" w:color="000000"/>
              <w:right w:val="single" w:sz="4" w:space="0" w:color="000000"/>
            </w:tcBorders>
          </w:tcPr>
          <w:p w:rsidR="007511F5" w:rsidRDefault="00137F02">
            <w:pPr>
              <w:jc w:val="both"/>
              <w:rPr>
                <w:b/>
                <w:sz w:val="22"/>
                <w:szCs w:val="22"/>
              </w:rPr>
            </w:pPr>
            <w:r>
              <w:rPr>
                <w:b/>
                <w:sz w:val="22"/>
                <w:szCs w:val="22"/>
              </w:rPr>
              <w:t>Learning Objectives</w:t>
            </w:r>
          </w:p>
        </w:tc>
        <w:tc>
          <w:tcPr>
            <w:tcW w:w="1621" w:type="dxa"/>
            <w:tcBorders>
              <w:top w:val="single" w:sz="4" w:space="0" w:color="000000"/>
              <w:left w:val="single" w:sz="4" w:space="0" w:color="000000"/>
              <w:bottom w:val="single" w:sz="4" w:space="0" w:color="000000"/>
              <w:right w:val="single" w:sz="4" w:space="0" w:color="000000"/>
            </w:tcBorders>
          </w:tcPr>
          <w:p w:rsidR="007511F5" w:rsidRDefault="00137F02">
            <w:pPr>
              <w:rPr>
                <w:b/>
                <w:sz w:val="22"/>
                <w:szCs w:val="22"/>
              </w:rPr>
            </w:pPr>
            <w:r>
              <w:rPr>
                <w:b/>
                <w:sz w:val="22"/>
                <w:szCs w:val="22"/>
              </w:rPr>
              <w:t>Ref / Text Book Chapter</w:t>
            </w:r>
          </w:p>
        </w:tc>
        <w:tc>
          <w:tcPr>
            <w:tcW w:w="3036" w:type="dxa"/>
            <w:tcBorders>
              <w:top w:val="single" w:sz="4" w:space="0" w:color="000000"/>
              <w:left w:val="single" w:sz="4" w:space="0" w:color="000000"/>
              <w:bottom w:val="single" w:sz="4" w:space="0" w:color="000000"/>
              <w:right w:val="single" w:sz="4" w:space="0" w:color="000000"/>
            </w:tcBorders>
          </w:tcPr>
          <w:p w:rsidR="007511F5" w:rsidRDefault="00137F02">
            <w:pPr>
              <w:rPr>
                <w:b/>
                <w:sz w:val="22"/>
                <w:szCs w:val="22"/>
              </w:rPr>
            </w:pPr>
            <w:r>
              <w:rPr>
                <w:b/>
                <w:sz w:val="22"/>
                <w:szCs w:val="22"/>
              </w:rPr>
              <w:t>Learning Outcome</w:t>
            </w:r>
          </w:p>
        </w:tc>
      </w:tr>
      <w:tr w:rsidR="007511F5">
        <w:tc>
          <w:tcPr>
            <w:tcW w:w="1675"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 xml:space="preserve">1. Introduction to </w:t>
            </w:r>
            <w:proofErr w:type="spellStart"/>
            <w:r>
              <w:rPr>
                <w:sz w:val="22"/>
                <w:szCs w:val="22"/>
              </w:rPr>
              <w:t>pharmaco</w:t>
            </w:r>
            <w:proofErr w:type="spellEnd"/>
            <w:r>
              <w:rPr>
                <w:sz w:val="22"/>
                <w:szCs w:val="22"/>
              </w:rPr>
              <w:t>-economics</w:t>
            </w:r>
          </w:p>
        </w:tc>
        <w:tc>
          <w:tcPr>
            <w:tcW w:w="4152" w:type="dxa"/>
            <w:tcBorders>
              <w:top w:val="single" w:sz="4" w:space="0" w:color="000000"/>
              <w:left w:val="single" w:sz="4" w:space="0" w:color="000000"/>
              <w:bottom w:val="single" w:sz="4" w:space="0" w:color="000000"/>
              <w:right w:val="single" w:sz="4" w:space="0" w:color="000000"/>
            </w:tcBorders>
            <w:vAlign w:val="center"/>
          </w:tcPr>
          <w:p w:rsidR="007511F5" w:rsidRDefault="00137F02">
            <w:pPr>
              <w:pStyle w:val="Heading2"/>
              <w:jc w:val="both"/>
              <w:rPr>
                <w:sz w:val="22"/>
                <w:szCs w:val="22"/>
              </w:rPr>
            </w:pPr>
            <w:r>
              <w:rPr>
                <w:sz w:val="22"/>
                <w:szCs w:val="22"/>
              </w:rPr>
              <w:t>L.1. Historical perspective; Definition and application;</w:t>
            </w:r>
          </w:p>
          <w:p w:rsidR="007511F5" w:rsidRDefault="00137F02">
            <w:pPr>
              <w:pStyle w:val="Heading2"/>
              <w:jc w:val="both"/>
              <w:rPr>
                <w:sz w:val="22"/>
                <w:szCs w:val="22"/>
              </w:rPr>
            </w:pPr>
            <w:r>
              <w:rPr>
                <w:sz w:val="22"/>
                <w:szCs w:val="22"/>
              </w:rPr>
              <w:t xml:space="preserve">L.2. Overview of </w:t>
            </w:r>
            <w:proofErr w:type="spellStart"/>
            <w:r>
              <w:rPr>
                <w:sz w:val="22"/>
                <w:szCs w:val="22"/>
              </w:rPr>
              <w:t>pharmacoeconomic</w:t>
            </w:r>
            <w:proofErr w:type="spellEnd"/>
            <w:r>
              <w:rPr>
                <w:sz w:val="22"/>
                <w:szCs w:val="22"/>
              </w:rPr>
              <w:t xml:space="preserve"> methodologies; Applications;</w:t>
            </w:r>
          </w:p>
          <w:p w:rsidR="007511F5" w:rsidRDefault="00137F02">
            <w:pPr>
              <w:pStyle w:val="Heading2"/>
              <w:jc w:val="both"/>
              <w:rPr>
                <w:sz w:val="22"/>
                <w:szCs w:val="22"/>
              </w:rPr>
            </w:pPr>
            <w:r>
              <w:rPr>
                <w:sz w:val="22"/>
                <w:szCs w:val="22"/>
              </w:rPr>
              <w:t>L.3.Guidelines; Challenges and limitations</w:t>
            </w:r>
          </w:p>
        </w:tc>
        <w:tc>
          <w:tcPr>
            <w:tcW w:w="1621"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center"/>
              <w:rPr>
                <w:sz w:val="22"/>
                <w:szCs w:val="22"/>
              </w:rPr>
            </w:pPr>
            <w:r>
              <w:rPr>
                <w:sz w:val="22"/>
                <w:szCs w:val="22"/>
              </w:rPr>
              <w:t>TB- Chapter 1</w:t>
            </w:r>
          </w:p>
        </w:tc>
        <w:tc>
          <w:tcPr>
            <w:tcW w:w="3036"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 xml:space="preserve">Orientation to the background of </w:t>
            </w:r>
            <w:proofErr w:type="spellStart"/>
            <w:r>
              <w:rPr>
                <w:sz w:val="22"/>
                <w:szCs w:val="22"/>
              </w:rPr>
              <w:t>pharmacoeconomics</w:t>
            </w:r>
            <w:proofErr w:type="spellEnd"/>
          </w:p>
        </w:tc>
      </w:tr>
      <w:tr w:rsidR="007511F5">
        <w:tc>
          <w:tcPr>
            <w:tcW w:w="1675"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 xml:space="preserve">2. </w:t>
            </w:r>
            <w:proofErr w:type="spellStart"/>
            <w:r>
              <w:rPr>
                <w:sz w:val="22"/>
                <w:szCs w:val="22"/>
              </w:rPr>
              <w:t>Pharmaco</w:t>
            </w:r>
            <w:proofErr w:type="spellEnd"/>
            <w:r>
              <w:rPr>
                <w:sz w:val="22"/>
                <w:szCs w:val="22"/>
              </w:rPr>
              <w:t>-economics: An international perspective</w:t>
            </w:r>
          </w:p>
        </w:tc>
        <w:tc>
          <w:tcPr>
            <w:tcW w:w="4152"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L.4. Potential intervention points;</w:t>
            </w:r>
          </w:p>
          <w:p w:rsidR="007511F5" w:rsidRDefault="00137F02">
            <w:pPr>
              <w:jc w:val="both"/>
              <w:rPr>
                <w:sz w:val="22"/>
                <w:szCs w:val="22"/>
              </w:rPr>
            </w:pPr>
            <w:r>
              <w:rPr>
                <w:sz w:val="22"/>
                <w:szCs w:val="22"/>
              </w:rPr>
              <w:t>L.5-6. Global status guidelines and health care systems</w:t>
            </w:r>
          </w:p>
        </w:tc>
        <w:tc>
          <w:tcPr>
            <w:tcW w:w="1621"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center"/>
              <w:rPr>
                <w:sz w:val="22"/>
                <w:szCs w:val="22"/>
              </w:rPr>
            </w:pPr>
            <w:bookmarkStart w:id="0" w:name="_gjdgxs" w:colFirst="0" w:colLast="0"/>
            <w:bookmarkEnd w:id="0"/>
            <w:r>
              <w:rPr>
                <w:sz w:val="22"/>
                <w:szCs w:val="22"/>
              </w:rPr>
              <w:t xml:space="preserve">TB- Chapter 2; RB1-Chapter 1 </w:t>
            </w:r>
          </w:p>
        </w:tc>
        <w:tc>
          <w:tcPr>
            <w:tcW w:w="3036"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 xml:space="preserve">Overview of the  international status of </w:t>
            </w:r>
            <w:proofErr w:type="spellStart"/>
            <w:r>
              <w:rPr>
                <w:sz w:val="22"/>
                <w:szCs w:val="22"/>
              </w:rPr>
              <w:t>pharmacoeconomics</w:t>
            </w:r>
            <w:proofErr w:type="spellEnd"/>
          </w:p>
        </w:tc>
      </w:tr>
      <w:tr w:rsidR="007511F5">
        <w:tc>
          <w:tcPr>
            <w:tcW w:w="1675"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 xml:space="preserve">3.Cost </w:t>
            </w:r>
            <w:proofErr w:type="spellStart"/>
            <w:r>
              <w:rPr>
                <w:sz w:val="22"/>
                <w:szCs w:val="22"/>
              </w:rPr>
              <w:t>determi</w:t>
            </w:r>
            <w:proofErr w:type="spellEnd"/>
            <w:r>
              <w:rPr>
                <w:sz w:val="22"/>
                <w:szCs w:val="22"/>
              </w:rPr>
              <w:t xml:space="preserve">-nation and analysis </w:t>
            </w:r>
          </w:p>
        </w:tc>
        <w:tc>
          <w:tcPr>
            <w:tcW w:w="4152" w:type="dxa"/>
            <w:tcBorders>
              <w:top w:val="single" w:sz="4" w:space="0" w:color="000000"/>
              <w:left w:val="single" w:sz="4" w:space="0" w:color="000000"/>
              <w:bottom w:val="single" w:sz="4" w:space="0" w:color="000000"/>
              <w:right w:val="single" w:sz="4" w:space="0" w:color="000000"/>
            </w:tcBorders>
            <w:vAlign w:val="center"/>
          </w:tcPr>
          <w:p w:rsidR="007511F5" w:rsidRDefault="00137F02">
            <w:pPr>
              <w:pBdr>
                <w:top w:val="nil"/>
                <w:left w:val="nil"/>
                <w:bottom w:val="nil"/>
                <w:right w:val="nil"/>
                <w:between w:val="nil"/>
              </w:pBdr>
              <w:jc w:val="both"/>
              <w:rPr>
                <w:color w:val="000000"/>
                <w:sz w:val="22"/>
                <w:szCs w:val="22"/>
              </w:rPr>
            </w:pPr>
            <w:r>
              <w:rPr>
                <w:color w:val="000000"/>
                <w:sz w:val="22"/>
                <w:szCs w:val="22"/>
              </w:rPr>
              <w:t>L. 7. Cost of illness, cost of therapy,</w:t>
            </w:r>
          </w:p>
          <w:p w:rsidR="007511F5" w:rsidRDefault="00137F02">
            <w:pPr>
              <w:pBdr>
                <w:top w:val="nil"/>
                <w:left w:val="nil"/>
                <w:bottom w:val="nil"/>
                <w:right w:val="nil"/>
                <w:between w:val="nil"/>
              </w:pBdr>
              <w:jc w:val="both"/>
              <w:rPr>
                <w:color w:val="000000"/>
                <w:sz w:val="22"/>
                <w:szCs w:val="22"/>
              </w:rPr>
            </w:pPr>
            <w:r>
              <w:rPr>
                <w:color w:val="000000"/>
                <w:sz w:val="22"/>
                <w:szCs w:val="22"/>
              </w:rPr>
              <w:t xml:space="preserve">L.8-9. Framework for determining costs and </w:t>
            </w:r>
            <w:proofErr w:type="spellStart"/>
            <w:r>
              <w:rPr>
                <w:color w:val="000000"/>
                <w:sz w:val="22"/>
                <w:szCs w:val="22"/>
              </w:rPr>
              <w:t>pharmacoeconomic</w:t>
            </w:r>
            <w:proofErr w:type="spellEnd"/>
            <w:r>
              <w:rPr>
                <w:color w:val="000000"/>
                <w:sz w:val="22"/>
                <w:szCs w:val="22"/>
              </w:rPr>
              <w:t xml:space="preserve"> applications.</w:t>
            </w:r>
          </w:p>
        </w:tc>
        <w:tc>
          <w:tcPr>
            <w:tcW w:w="1621"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center"/>
              <w:rPr>
                <w:sz w:val="22"/>
                <w:szCs w:val="22"/>
              </w:rPr>
            </w:pPr>
            <w:r>
              <w:rPr>
                <w:sz w:val="22"/>
                <w:szCs w:val="22"/>
              </w:rPr>
              <w:t>TB- Chapter 3</w:t>
            </w:r>
          </w:p>
        </w:tc>
        <w:tc>
          <w:tcPr>
            <w:tcW w:w="3036"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Understanding of various aspects of cost determination</w:t>
            </w:r>
          </w:p>
        </w:tc>
      </w:tr>
      <w:tr w:rsidR="007511F5">
        <w:tc>
          <w:tcPr>
            <w:tcW w:w="1675" w:type="dxa"/>
            <w:vMerge w:val="restart"/>
            <w:tcBorders>
              <w:top w:val="single" w:sz="4" w:space="0" w:color="000000"/>
              <w:left w:val="single" w:sz="4" w:space="0" w:color="000000"/>
              <w:right w:val="single" w:sz="4" w:space="0" w:color="000000"/>
            </w:tcBorders>
            <w:vAlign w:val="center"/>
          </w:tcPr>
          <w:p w:rsidR="007511F5" w:rsidRDefault="00137F02">
            <w:pPr>
              <w:jc w:val="both"/>
              <w:rPr>
                <w:sz w:val="22"/>
                <w:szCs w:val="22"/>
              </w:rPr>
            </w:pPr>
            <w:r>
              <w:rPr>
                <w:sz w:val="22"/>
                <w:szCs w:val="22"/>
              </w:rPr>
              <w:t xml:space="preserve">4. Methods of </w:t>
            </w:r>
            <w:proofErr w:type="spellStart"/>
            <w:r>
              <w:rPr>
                <w:sz w:val="22"/>
                <w:szCs w:val="22"/>
              </w:rPr>
              <w:t>pharmacoeconomic</w:t>
            </w:r>
            <w:proofErr w:type="spellEnd"/>
            <w:r>
              <w:rPr>
                <w:sz w:val="22"/>
                <w:szCs w:val="22"/>
              </w:rPr>
              <w:t xml:space="preserve"> analysis</w:t>
            </w:r>
          </w:p>
        </w:tc>
        <w:tc>
          <w:tcPr>
            <w:tcW w:w="4152" w:type="dxa"/>
            <w:tcBorders>
              <w:top w:val="single" w:sz="4" w:space="0" w:color="000000"/>
              <w:left w:val="single" w:sz="4" w:space="0" w:color="000000"/>
              <w:bottom w:val="single" w:sz="4" w:space="0" w:color="000000"/>
              <w:right w:val="single" w:sz="4" w:space="0" w:color="000000"/>
            </w:tcBorders>
            <w:vAlign w:val="center"/>
          </w:tcPr>
          <w:p w:rsidR="007511F5" w:rsidRDefault="00137F02">
            <w:pPr>
              <w:pBdr>
                <w:top w:val="nil"/>
                <w:left w:val="nil"/>
                <w:bottom w:val="nil"/>
                <w:right w:val="nil"/>
                <w:between w:val="nil"/>
              </w:pBdr>
              <w:jc w:val="both"/>
              <w:rPr>
                <w:color w:val="000000"/>
                <w:sz w:val="22"/>
                <w:szCs w:val="22"/>
              </w:rPr>
            </w:pPr>
            <w:r>
              <w:rPr>
                <w:color w:val="000000"/>
                <w:sz w:val="22"/>
                <w:szCs w:val="22"/>
              </w:rPr>
              <w:t>L.10. Introduction, measurement of benefit, L.11-13. Steps in conducting cost-benefit analysis (CBA),</w:t>
            </w:r>
          </w:p>
          <w:p w:rsidR="007511F5" w:rsidRDefault="00137F02">
            <w:pPr>
              <w:pBdr>
                <w:top w:val="nil"/>
                <w:left w:val="nil"/>
                <w:bottom w:val="nil"/>
                <w:right w:val="nil"/>
                <w:between w:val="nil"/>
              </w:pBdr>
              <w:jc w:val="both"/>
              <w:rPr>
                <w:color w:val="000000"/>
                <w:sz w:val="22"/>
                <w:szCs w:val="22"/>
              </w:rPr>
            </w:pPr>
            <w:r>
              <w:rPr>
                <w:color w:val="000000"/>
                <w:sz w:val="22"/>
                <w:szCs w:val="22"/>
              </w:rPr>
              <w:t>L.14. Case studies</w:t>
            </w:r>
          </w:p>
        </w:tc>
        <w:tc>
          <w:tcPr>
            <w:tcW w:w="1621"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center"/>
              <w:rPr>
                <w:sz w:val="22"/>
                <w:szCs w:val="22"/>
              </w:rPr>
            </w:pPr>
            <w:r>
              <w:rPr>
                <w:sz w:val="22"/>
                <w:szCs w:val="22"/>
              </w:rPr>
              <w:t>TB- Chapter 4</w:t>
            </w:r>
          </w:p>
        </w:tc>
        <w:tc>
          <w:tcPr>
            <w:tcW w:w="3036"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Complete understanding and applications of CBA</w:t>
            </w:r>
          </w:p>
        </w:tc>
      </w:tr>
      <w:tr w:rsidR="007511F5">
        <w:tc>
          <w:tcPr>
            <w:tcW w:w="1675" w:type="dxa"/>
            <w:vMerge/>
            <w:tcBorders>
              <w:top w:val="single" w:sz="4" w:space="0" w:color="000000"/>
              <w:left w:val="single" w:sz="4" w:space="0" w:color="000000"/>
              <w:right w:val="single" w:sz="4" w:space="0" w:color="000000"/>
            </w:tcBorders>
            <w:vAlign w:val="center"/>
          </w:tcPr>
          <w:p w:rsidR="007511F5" w:rsidRDefault="007511F5">
            <w:pPr>
              <w:widowControl w:val="0"/>
              <w:pBdr>
                <w:top w:val="nil"/>
                <w:left w:val="nil"/>
                <w:bottom w:val="nil"/>
                <w:right w:val="nil"/>
                <w:between w:val="nil"/>
              </w:pBdr>
              <w:spacing w:line="276" w:lineRule="auto"/>
              <w:rPr>
                <w:sz w:val="22"/>
                <w:szCs w:val="22"/>
              </w:rPr>
            </w:pPr>
          </w:p>
        </w:tc>
        <w:tc>
          <w:tcPr>
            <w:tcW w:w="4152" w:type="dxa"/>
            <w:tcBorders>
              <w:top w:val="single" w:sz="4" w:space="0" w:color="000000"/>
              <w:left w:val="single" w:sz="4" w:space="0" w:color="000000"/>
              <w:bottom w:val="single" w:sz="4" w:space="0" w:color="000000"/>
              <w:right w:val="single" w:sz="4" w:space="0" w:color="000000"/>
            </w:tcBorders>
            <w:vAlign w:val="center"/>
          </w:tcPr>
          <w:p w:rsidR="007511F5" w:rsidRDefault="00137F02">
            <w:pPr>
              <w:pBdr>
                <w:top w:val="nil"/>
                <w:left w:val="nil"/>
                <w:bottom w:val="nil"/>
                <w:right w:val="nil"/>
                <w:between w:val="nil"/>
              </w:pBdr>
              <w:jc w:val="both"/>
              <w:rPr>
                <w:color w:val="000000"/>
                <w:sz w:val="22"/>
                <w:szCs w:val="22"/>
              </w:rPr>
            </w:pPr>
            <w:r>
              <w:rPr>
                <w:color w:val="000000"/>
                <w:sz w:val="22"/>
                <w:szCs w:val="22"/>
              </w:rPr>
              <w:t>L. 15.Principles of cost effective analysis (CEA),</w:t>
            </w:r>
          </w:p>
          <w:p w:rsidR="007511F5" w:rsidRDefault="00137F02">
            <w:pPr>
              <w:pBdr>
                <w:top w:val="nil"/>
                <w:left w:val="nil"/>
                <w:bottom w:val="nil"/>
                <w:right w:val="nil"/>
                <w:between w:val="nil"/>
              </w:pBdr>
              <w:jc w:val="both"/>
              <w:rPr>
                <w:color w:val="000000"/>
                <w:sz w:val="22"/>
                <w:szCs w:val="22"/>
              </w:rPr>
            </w:pPr>
            <w:r>
              <w:rPr>
                <w:color w:val="000000"/>
                <w:sz w:val="22"/>
                <w:szCs w:val="22"/>
              </w:rPr>
              <w:t>L.16-17. Theoretical foundations for valuing cost in CEA,</w:t>
            </w:r>
          </w:p>
          <w:p w:rsidR="007511F5" w:rsidRDefault="00137F02">
            <w:pPr>
              <w:pBdr>
                <w:top w:val="nil"/>
                <w:left w:val="nil"/>
                <w:bottom w:val="nil"/>
                <w:right w:val="nil"/>
                <w:between w:val="nil"/>
              </w:pBdr>
              <w:jc w:val="both"/>
              <w:rPr>
                <w:color w:val="000000"/>
                <w:sz w:val="22"/>
                <w:szCs w:val="22"/>
              </w:rPr>
            </w:pPr>
            <w:r>
              <w:rPr>
                <w:color w:val="000000"/>
                <w:sz w:val="22"/>
                <w:szCs w:val="22"/>
              </w:rPr>
              <w:t>L.18-19.  Framing and designing CEA, case studies</w:t>
            </w:r>
          </w:p>
        </w:tc>
        <w:tc>
          <w:tcPr>
            <w:tcW w:w="1621"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center"/>
              <w:rPr>
                <w:sz w:val="22"/>
                <w:szCs w:val="22"/>
              </w:rPr>
            </w:pPr>
            <w:r>
              <w:rPr>
                <w:sz w:val="22"/>
                <w:szCs w:val="22"/>
              </w:rPr>
              <w:t>TB-Chapter 5;             RB1- various chapters</w:t>
            </w:r>
          </w:p>
        </w:tc>
        <w:tc>
          <w:tcPr>
            <w:tcW w:w="3036"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Knowledge and applications of CEA</w:t>
            </w:r>
          </w:p>
        </w:tc>
      </w:tr>
      <w:tr w:rsidR="007511F5">
        <w:trPr>
          <w:trHeight w:val="611"/>
        </w:trPr>
        <w:tc>
          <w:tcPr>
            <w:tcW w:w="1675" w:type="dxa"/>
            <w:vMerge/>
            <w:tcBorders>
              <w:top w:val="single" w:sz="4" w:space="0" w:color="000000"/>
              <w:left w:val="single" w:sz="4" w:space="0" w:color="000000"/>
              <w:right w:val="single" w:sz="4" w:space="0" w:color="000000"/>
            </w:tcBorders>
            <w:vAlign w:val="center"/>
          </w:tcPr>
          <w:p w:rsidR="007511F5" w:rsidRDefault="007511F5">
            <w:pPr>
              <w:widowControl w:val="0"/>
              <w:pBdr>
                <w:top w:val="nil"/>
                <w:left w:val="nil"/>
                <w:bottom w:val="nil"/>
                <w:right w:val="nil"/>
                <w:between w:val="nil"/>
              </w:pBdr>
              <w:spacing w:line="276" w:lineRule="auto"/>
              <w:rPr>
                <w:sz w:val="22"/>
                <w:szCs w:val="22"/>
              </w:rPr>
            </w:pPr>
          </w:p>
        </w:tc>
        <w:tc>
          <w:tcPr>
            <w:tcW w:w="4152" w:type="dxa"/>
            <w:tcBorders>
              <w:top w:val="single" w:sz="4" w:space="0" w:color="000000"/>
              <w:left w:val="single" w:sz="4" w:space="0" w:color="000000"/>
              <w:bottom w:val="single" w:sz="4" w:space="0" w:color="000000"/>
              <w:right w:val="single" w:sz="4" w:space="0" w:color="000000"/>
            </w:tcBorders>
            <w:vAlign w:val="center"/>
          </w:tcPr>
          <w:p w:rsidR="007511F5" w:rsidRDefault="00137F02">
            <w:pPr>
              <w:pBdr>
                <w:top w:val="nil"/>
                <w:left w:val="nil"/>
                <w:bottom w:val="nil"/>
                <w:right w:val="nil"/>
                <w:between w:val="nil"/>
              </w:pBdr>
              <w:jc w:val="both"/>
              <w:rPr>
                <w:color w:val="000000"/>
                <w:sz w:val="22"/>
                <w:szCs w:val="22"/>
              </w:rPr>
            </w:pPr>
            <w:r>
              <w:rPr>
                <w:color w:val="000000"/>
                <w:sz w:val="22"/>
                <w:szCs w:val="22"/>
              </w:rPr>
              <w:t>L.20. Introduction, health state utility assessment,</w:t>
            </w:r>
          </w:p>
          <w:p w:rsidR="007511F5" w:rsidRDefault="00137F02">
            <w:pPr>
              <w:pBdr>
                <w:top w:val="nil"/>
                <w:left w:val="nil"/>
                <w:bottom w:val="nil"/>
                <w:right w:val="nil"/>
                <w:between w:val="nil"/>
              </w:pBdr>
              <w:jc w:val="both"/>
              <w:rPr>
                <w:color w:val="000000"/>
                <w:sz w:val="22"/>
                <w:szCs w:val="22"/>
              </w:rPr>
            </w:pPr>
            <w:r>
              <w:rPr>
                <w:color w:val="000000"/>
                <w:sz w:val="22"/>
                <w:szCs w:val="22"/>
              </w:rPr>
              <w:t>L.21-22. Concept of utility, methods of assessing utility,</w:t>
            </w:r>
          </w:p>
          <w:p w:rsidR="007511F5" w:rsidRDefault="00137F02">
            <w:pPr>
              <w:pBdr>
                <w:top w:val="nil"/>
                <w:left w:val="nil"/>
                <w:bottom w:val="nil"/>
                <w:right w:val="nil"/>
                <w:between w:val="nil"/>
              </w:pBdr>
              <w:jc w:val="both"/>
              <w:rPr>
                <w:color w:val="000000"/>
                <w:sz w:val="22"/>
                <w:szCs w:val="22"/>
              </w:rPr>
            </w:pPr>
            <w:r>
              <w:rPr>
                <w:color w:val="000000"/>
                <w:sz w:val="22"/>
                <w:szCs w:val="22"/>
              </w:rPr>
              <w:t>L.23-24. Health care interventions, case studies.</w:t>
            </w:r>
          </w:p>
        </w:tc>
        <w:tc>
          <w:tcPr>
            <w:tcW w:w="1621"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center"/>
              <w:rPr>
                <w:sz w:val="22"/>
                <w:szCs w:val="22"/>
              </w:rPr>
            </w:pPr>
            <w:r>
              <w:rPr>
                <w:sz w:val="22"/>
                <w:szCs w:val="22"/>
              </w:rPr>
              <w:t>TB- Chapter 6</w:t>
            </w:r>
          </w:p>
        </w:tc>
        <w:tc>
          <w:tcPr>
            <w:tcW w:w="3036"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Incorporation of the concept of utility in healthcare systems</w:t>
            </w:r>
          </w:p>
        </w:tc>
      </w:tr>
      <w:tr w:rsidR="007511F5">
        <w:trPr>
          <w:trHeight w:val="611"/>
        </w:trPr>
        <w:tc>
          <w:tcPr>
            <w:tcW w:w="1675" w:type="dxa"/>
            <w:vMerge/>
            <w:tcBorders>
              <w:top w:val="single" w:sz="4" w:space="0" w:color="000000"/>
              <w:left w:val="single" w:sz="4" w:space="0" w:color="000000"/>
              <w:right w:val="single" w:sz="4" w:space="0" w:color="000000"/>
            </w:tcBorders>
            <w:vAlign w:val="center"/>
          </w:tcPr>
          <w:p w:rsidR="007511F5" w:rsidRDefault="007511F5">
            <w:pPr>
              <w:widowControl w:val="0"/>
              <w:pBdr>
                <w:top w:val="nil"/>
                <w:left w:val="nil"/>
                <w:bottom w:val="nil"/>
                <w:right w:val="nil"/>
                <w:between w:val="nil"/>
              </w:pBdr>
              <w:spacing w:line="276" w:lineRule="auto"/>
              <w:rPr>
                <w:sz w:val="22"/>
                <w:szCs w:val="22"/>
              </w:rPr>
            </w:pPr>
          </w:p>
        </w:tc>
        <w:tc>
          <w:tcPr>
            <w:tcW w:w="4152" w:type="dxa"/>
            <w:tcBorders>
              <w:top w:val="single" w:sz="4" w:space="0" w:color="000000"/>
              <w:left w:val="single" w:sz="4" w:space="0" w:color="000000"/>
              <w:bottom w:val="single" w:sz="4" w:space="0" w:color="000000"/>
              <w:right w:val="single" w:sz="4" w:space="0" w:color="000000"/>
            </w:tcBorders>
            <w:vAlign w:val="center"/>
          </w:tcPr>
          <w:p w:rsidR="007511F5" w:rsidRDefault="00137F02">
            <w:pPr>
              <w:pBdr>
                <w:top w:val="nil"/>
                <w:left w:val="nil"/>
                <w:bottom w:val="nil"/>
                <w:right w:val="nil"/>
                <w:between w:val="nil"/>
              </w:pBdr>
              <w:jc w:val="both"/>
              <w:rPr>
                <w:color w:val="000000"/>
                <w:sz w:val="22"/>
                <w:szCs w:val="22"/>
              </w:rPr>
            </w:pPr>
            <w:r>
              <w:rPr>
                <w:color w:val="000000"/>
                <w:sz w:val="22"/>
                <w:szCs w:val="22"/>
              </w:rPr>
              <w:t>L.25. Concept of cost minimization, sources of clinical trial evidence,</w:t>
            </w:r>
          </w:p>
          <w:p w:rsidR="007511F5" w:rsidRDefault="00137F02">
            <w:pPr>
              <w:pBdr>
                <w:top w:val="nil"/>
                <w:left w:val="nil"/>
                <w:bottom w:val="nil"/>
                <w:right w:val="nil"/>
                <w:between w:val="nil"/>
              </w:pBdr>
              <w:jc w:val="both"/>
              <w:rPr>
                <w:color w:val="000000"/>
                <w:sz w:val="22"/>
                <w:szCs w:val="22"/>
              </w:rPr>
            </w:pPr>
            <w:r>
              <w:rPr>
                <w:color w:val="000000"/>
                <w:sz w:val="22"/>
                <w:szCs w:val="22"/>
              </w:rPr>
              <w:t>L.26. Other issues in evaluating equivalence</w:t>
            </w:r>
          </w:p>
        </w:tc>
        <w:tc>
          <w:tcPr>
            <w:tcW w:w="1621"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center"/>
              <w:rPr>
                <w:sz w:val="22"/>
                <w:szCs w:val="22"/>
              </w:rPr>
            </w:pPr>
            <w:r>
              <w:rPr>
                <w:sz w:val="22"/>
                <w:szCs w:val="22"/>
              </w:rPr>
              <w:t>Class Notes and Slides</w:t>
            </w:r>
          </w:p>
        </w:tc>
        <w:tc>
          <w:tcPr>
            <w:tcW w:w="3036"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Overview of cost-minimization study</w:t>
            </w:r>
          </w:p>
        </w:tc>
      </w:tr>
      <w:tr w:rsidR="007511F5">
        <w:tc>
          <w:tcPr>
            <w:tcW w:w="1675"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 xml:space="preserve">5. Health </w:t>
            </w:r>
            <w:proofErr w:type="spellStart"/>
            <w:r>
              <w:rPr>
                <w:sz w:val="22"/>
                <w:szCs w:val="22"/>
              </w:rPr>
              <w:t>relat-ed</w:t>
            </w:r>
            <w:proofErr w:type="spellEnd"/>
            <w:r>
              <w:rPr>
                <w:sz w:val="22"/>
                <w:szCs w:val="22"/>
              </w:rPr>
              <w:t xml:space="preserve"> quality of life (</w:t>
            </w:r>
            <w:proofErr w:type="spellStart"/>
            <w:r>
              <w:rPr>
                <w:sz w:val="22"/>
                <w:szCs w:val="22"/>
              </w:rPr>
              <w:t>HRQoL</w:t>
            </w:r>
            <w:proofErr w:type="spellEnd"/>
            <w:r>
              <w:rPr>
                <w:sz w:val="22"/>
                <w:szCs w:val="22"/>
              </w:rPr>
              <w:t>)- An overview</w:t>
            </w:r>
          </w:p>
        </w:tc>
        <w:tc>
          <w:tcPr>
            <w:tcW w:w="4152" w:type="dxa"/>
            <w:tcBorders>
              <w:top w:val="single" w:sz="4" w:space="0" w:color="000000"/>
              <w:left w:val="single" w:sz="4" w:space="0" w:color="000000"/>
              <w:bottom w:val="single" w:sz="4" w:space="0" w:color="000000"/>
              <w:right w:val="single" w:sz="4" w:space="0" w:color="000000"/>
            </w:tcBorders>
            <w:vAlign w:val="center"/>
          </w:tcPr>
          <w:p w:rsidR="007511F5" w:rsidRDefault="00137F02">
            <w:pPr>
              <w:pBdr>
                <w:top w:val="nil"/>
                <w:left w:val="nil"/>
                <w:bottom w:val="nil"/>
                <w:right w:val="nil"/>
                <w:between w:val="nil"/>
              </w:pBdr>
              <w:jc w:val="both"/>
              <w:rPr>
                <w:color w:val="000000"/>
                <w:sz w:val="22"/>
                <w:szCs w:val="22"/>
              </w:rPr>
            </w:pPr>
            <w:r>
              <w:rPr>
                <w:color w:val="000000"/>
                <w:sz w:val="22"/>
                <w:szCs w:val="22"/>
              </w:rPr>
              <w:t>L.27-28. Components of health related quality of life measures,</w:t>
            </w:r>
          </w:p>
          <w:p w:rsidR="007511F5" w:rsidRDefault="00137F02">
            <w:pPr>
              <w:pBdr>
                <w:top w:val="nil"/>
                <w:left w:val="nil"/>
                <w:bottom w:val="nil"/>
                <w:right w:val="nil"/>
                <w:between w:val="nil"/>
              </w:pBdr>
              <w:jc w:val="both"/>
              <w:rPr>
                <w:color w:val="000000"/>
                <w:sz w:val="22"/>
                <w:szCs w:val="22"/>
              </w:rPr>
            </w:pPr>
            <w:r>
              <w:rPr>
                <w:color w:val="000000"/>
                <w:sz w:val="22"/>
                <w:szCs w:val="22"/>
              </w:rPr>
              <w:t>L.29-30. General health concepts.</w:t>
            </w:r>
          </w:p>
        </w:tc>
        <w:tc>
          <w:tcPr>
            <w:tcW w:w="1621"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center"/>
              <w:rPr>
                <w:sz w:val="22"/>
                <w:szCs w:val="22"/>
              </w:rPr>
            </w:pPr>
            <w:r>
              <w:rPr>
                <w:sz w:val="22"/>
                <w:szCs w:val="22"/>
              </w:rPr>
              <w:t>TB- Chapter 7</w:t>
            </w:r>
          </w:p>
        </w:tc>
        <w:tc>
          <w:tcPr>
            <w:tcW w:w="3036"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Building a thorough concept of (</w:t>
            </w:r>
            <w:proofErr w:type="spellStart"/>
            <w:r>
              <w:rPr>
                <w:sz w:val="22"/>
                <w:szCs w:val="22"/>
              </w:rPr>
              <w:t>HRQoL</w:t>
            </w:r>
            <w:proofErr w:type="spellEnd"/>
            <w:r>
              <w:rPr>
                <w:sz w:val="22"/>
                <w:szCs w:val="22"/>
              </w:rPr>
              <w:t>)</w:t>
            </w:r>
          </w:p>
        </w:tc>
      </w:tr>
      <w:tr w:rsidR="007511F5">
        <w:tc>
          <w:tcPr>
            <w:tcW w:w="1675"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6.Decision Analysis</w:t>
            </w:r>
          </w:p>
        </w:tc>
        <w:tc>
          <w:tcPr>
            <w:tcW w:w="4152" w:type="dxa"/>
            <w:tcBorders>
              <w:top w:val="single" w:sz="4" w:space="0" w:color="000000"/>
              <w:left w:val="single" w:sz="4" w:space="0" w:color="000000"/>
              <w:bottom w:val="single" w:sz="4" w:space="0" w:color="000000"/>
              <w:right w:val="single" w:sz="4" w:space="0" w:color="000000"/>
            </w:tcBorders>
            <w:vAlign w:val="center"/>
          </w:tcPr>
          <w:p w:rsidR="007511F5" w:rsidRDefault="00137F02">
            <w:pPr>
              <w:pBdr>
                <w:top w:val="nil"/>
                <w:left w:val="nil"/>
                <w:bottom w:val="nil"/>
                <w:right w:val="nil"/>
                <w:between w:val="nil"/>
              </w:pBdr>
              <w:jc w:val="both"/>
              <w:rPr>
                <w:color w:val="000000"/>
                <w:sz w:val="22"/>
                <w:szCs w:val="22"/>
              </w:rPr>
            </w:pPr>
            <w:r>
              <w:rPr>
                <w:color w:val="000000"/>
                <w:sz w:val="22"/>
                <w:szCs w:val="22"/>
              </w:rPr>
              <w:t xml:space="preserve">L. 31-34. Application in </w:t>
            </w:r>
            <w:proofErr w:type="spellStart"/>
            <w:r>
              <w:rPr>
                <w:color w:val="000000"/>
                <w:sz w:val="22"/>
                <w:szCs w:val="22"/>
              </w:rPr>
              <w:t>pharmacoeconomic</w:t>
            </w:r>
            <w:proofErr w:type="spellEnd"/>
            <w:r>
              <w:rPr>
                <w:color w:val="000000"/>
                <w:sz w:val="22"/>
                <w:szCs w:val="22"/>
              </w:rPr>
              <w:t xml:space="preserve"> study to improve decision making process</w:t>
            </w:r>
          </w:p>
        </w:tc>
        <w:tc>
          <w:tcPr>
            <w:tcW w:w="1621"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center"/>
              <w:rPr>
                <w:sz w:val="22"/>
                <w:szCs w:val="22"/>
              </w:rPr>
            </w:pPr>
            <w:r>
              <w:rPr>
                <w:sz w:val="22"/>
                <w:szCs w:val="22"/>
              </w:rPr>
              <w:t>TB-Chapter 8</w:t>
            </w:r>
          </w:p>
        </w:tc>
        <w:tc>
          <w:tcPr>
            <w:tcW w:w="3036"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Understanding of the methods used in decision analysis</w:t>
            </w:r>
          </w:p>
        </w:tc>
      </w:tr>
      <w:tr w:rsidR="007511F5">
        <w:tc>
          <w:tcPr>
            <w:tcW w:w="1675" w:type="dxa"/>
            <w:vMerge w:val="restart"/>
            <w:tcBorders>
              <w:top w:val="single" w:sz="4" w:space="0" w:color="000000"/>
              <w:left w:val="single" w:sz="4" w:space="0" w:color="000000"/>
              <w:right w:val="single" w:sz="4" w:space="0" w:color="000000"/>
            </w:tcBorders>
            <w:vAlign w:val="center"/>
          </w:tcPr>
          <w:p w:rsidR="007511F5" w:rsidRDefault="00137F02">
            <w:pPr>
              <w:jc w:val="both"/>
              <w:rPr>
                <w:sz w:val="22"/>
                <w:szCs w:val="22"/>
              </w:rPr>
            </w:pPr>
            <w:r>
              <w:rPr>
                <w:sz w:val="22"/>
                <w:szCs w:val="22"/>
              </w:rPr>
              <w:t xml:space="preserve">7. Applications of  </w:t>
            </w:r>
            <w:proofErr w:type="spellStart"/>
            <w:r>
              <w:rPr>
                <w:sz w:val="22"/>
                <w:szCs w:val="22"/>
              </w:rPr>
              <w:t>pharmaco</w:t>
            </w:r>
            <w:proofErr w:type="spellEnd"/>
            <w:r>
              <w:rPr>
                <w:sz w:val="22"/>
                <w:szCs w:val="22"/>
              </w:rPr>
              <w:t>-economics in various health-care settings</w:t>
            </w:r>
          </w:p>
        </w:tc>
        <w:tc>
          <w:tcPr>
            <w:tcW w:w="4152" w:type="dxa"/>
            <w:tcBorders>
              <w:top w:val="single" w:sz="4" w:space="0" w:color="000000"/>
              <w:left w:val="single" w:sz="4" w:space="0" w:color="000000"/>
              <w:bottom w:val="single" w:sz="4" w:space="0" w:color="000000"/>
              <w:right w:val="single" w:sz="4" w:space="0" w:color="000000"/>
            </w:tcBorders>
            <w:vAlign w:val="center"/>
          </w:tcPr>
          <w:p w:rsidR="007511F5" w:rsidRDefault="00137F02">
            <w:pPr>
              <w:pBdr>
                <w:top w:val="nil"/>
                <w:left w:val="nil"/>
                <w:bottom w:val="nil"/>
                <w:right w:val="nil"/>
                <w:between w:val="nil"/>
              </w:pBdr>
              <w:jc w:val="both"/>
              <w:rPr>
                <w:color w:val="000000"/>
                <w:sz w:val="22"/>
                <w:szCs w:val="22"/>
              </w:rPr>
            </w:pPr>
            <w:r>
              <w:rPr>
                <w:color w:val="000000"/>
                <w:sz w:val="22"/>
                <w:szCs w:val="22"/>
              </w:rPr>
              <w:t>L. 35-36. Clinical research, drug development process,</w:t>
            </w:r>
          </w:p>
          <w:p w:rsidR="007511F5" w:rsidRDefault="00137F02">
            <w:pPr>
              <w:pBdr>
                <w:top w:val="nil"/>
                <w:left w:val="nil"/>
                <w:bottom w:val="nil"/>
                <w:right w:val="nil"/>
                <w:between w:val="nil"/>
              </w:pBdr>
              <w:jc w:val="both"/>
              <w:rPr>
                <w:color w:val="000000"/>
                <w:sz w:val="22"/>
                <w:szCs w:val="22"/>
              </w:rPr>
            </w:pPr>
            <w:r>
              <w:rPr>
                <w:color w:val="000000"/>
                <w:sz w:val="22"/>
                <w:szCs w:val="22"/>
              </w:rPr>
              <w:t xml:space="preserve">L.37-38. Applications of </w:t>
            </w:r>
            <w:proofErr w:type="spellStart"/>
            <w:r>
              <w:rPr>
                <w:color w:val="000000"/>
                <w:sz w:val="22"/>
                <w:szCs w:val="22"/>
              </w:rPr>
              <w:t>pharmacoeconomics</w:t>
            </w:r>
            <w:proofErr w:type="spellEnd"/>
            <w:r>
              <w:rPr>
                <w:color w:val="000000"/>
                <w:sz w:val="22"/>
                <w:szCs w:val="22"/>
              </w:rPr>
              <w:t xml:space="preserve"> in clinical trials</w:t>
            </w:r>
          </w:p>
        </w:tc>
        <w:tc>
          <w:tcPr>
            <w:tcW w:w="1621"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center"/>
              <w:rPr>
                <w:sz w:val="22"/>
                <w:szCs w:val="22"/>
              </w:rPr>
            </w:pPr>
            <w:r>
              <w:rPr>
                <w:sz w:val="22"/>
                <w:szCs w:val="22"/>
              </w:rPr>
              <w:t>TB-Chapter 10</w:t>
            </w:r>
          </w:p>
        </w:tc>
        <w:tc>
          <w:tcPr>
            <w:tcW w:w="3036"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both"/>
              <w:rPr>
                <w:sz w:val="22"/>
                <w:szCs w:val="22"/>
              </w:rPr>
            </w:pPr>
            <w:r>
              <w:rPr>
                <w:sz w:val="22"/>
                <w:szCs w:val="22"/>
              </w:rPr>
              <w:t>Exposure to the pros and cons of incorporation of PE in CR</w:t>
            </w:r>
          </w:p>
        </w:tc>
      </w:tr>
      <w:tr w:rsidR="007511F5">
        <w:tc>
          <w:tcPr>
            <w:tcW w:w="1675" w:type="dxa"/>
            <w:vMerge/>
            <w:tcBorders>
              <w:top w:val="single" w:sz="4" w:space="0" w:color="000000"/>
              <w:left w:val="single" w:sz="4" w:space="0" w:color="000000"/>
              <w:right w:val="single" w:sz="4" w:space="0" w:color="000000"/>
            </w:tcBorders>
            <w:vAlign w:val="center"/>
          </w:tcPr>
          <w:p w:rsidR="007511F5" w:rsidRDefault="007511F5">
            <w:pPr>
              <w:widowControl w:val="0"/>
              <w:pBdr>
                <w:top w:val="nil"/>
                <w:left w:val="nil"/>
                <w:bottom w:val="nil"/>
                <w:right w:val="nil"/>
                <w:between w:val="nil"/>
              </w:pBdr>
              <w:spacing w:line="276" w:lineRule="auto"/>
              <w:rPr>
                <w:sz w:val="22"/>
                <w:szCs w:val="22"/>
              </w:rPr>
            </w:pPr>
          </w:p>
        </w:tc>
        <w:tc>
          <w:tcPr>
            <w:tcW w:w="4152" w:type="dxa"/>
            <w:tcBorders>
              <w:top w:val="single" w:sz="4" w:space="0" w:color="000000"/>
              <w:left w:val="single" w:sz="4" w:space="0" w:color="000000"/>
              <w:bottom w:val="single" w:sz="4" w:space="0" w:color="000000"/>
              <w:right w:val="single" w:sz="4" w:space="0" w:color="000000"/>
            </w:tcBorders>
            <w:vAlign w:val="center"/>
          </w:tcPr>
          <w:p w:rsidR="007511F5" w:rsidRDefault="00137F02">
            <w:pPr>
              <w:pBdr>
                <w:top w:val="nil"/>
                <w:left w:val="nil"/>
                <w:bottom w:val="nil"/>
                <w:right w:val="nil"/>
                <w:between w:val="nil"/>
              </w:pBdr>
              <w:jc w:val="both"/>
              <w:rPr>
                <w:color w:val="000000"/>
                <w:sz w:val="22"/>
                <w:szCs w:val="22"/>
              </w:rPr>
            </w:pPr>
            <w:r>
              <w:rPr>
                <w:color w:val="000000"/>
                <w:sz w:val="22"/>
                <w:szCs w:val="22"/>
              </w:rPr>
              <w:t>L.39-41. Application of research in clinical practice and healthcare settings</w:t>
            </w:r>
          </w:p>
        </w:tc>
        <w:tc>
          <w:tcPr>
            <w:tcW w:w="1621"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center"/>
              <w:rPr>
                <w:sz w:val="22"/>
                <w:szCs w:val="22"/>
              </w:rPr>
            </w:pPr>
            <w:r>
              <w:rPr>
                <w:sz w:val="22"/>
                <w:szCs w:val="22"/>
              </w:rPr>
              <w:t>TB-Chapters 14, 11, 12 &amp; 13</w:t>
            </w:r>
          </w:p>
        </w:tc>
        <w:tc>
          <w:tcPr>
            <w:tcW w:w="3036" w:type="dxa"/>
            <w:tcBorders>
              <w:top w:val="single" w:sz="4" w:space="0" w:color="000000"/>
              <w:left w:val="single" w:sz="4" w:space="0" w:color="000000"/>
              <w:bottom w:val="single" w:sz="4" w:space="0" w:color="000000"/>
              <w:right w:val="single" w:sz="4" w:space="0" w:color="000000"/>
            </w:tcBorders>
            <w:vAlign w:val="center"/>
          </w:tcPr>
          <w:p w:rsidR="007511F5" w:rsidRDefault="00137F02">
            <w:pPr>
              <w:jc w:val="center"/>
              <w:rPr>
                <w:sz w:val="22"/>
                <w:szCs w:val="22"/>
              </w:rPr>
            </w:pPr>
            <w:r>
              <w:rPr>
                <w:sz w:val="22"/>
                <w:szCs w:val="22"/>
              </w:rPr>
              <w:t>Applications of PE in other healthcare settings</w:t>
            </w:r>
          </w:p>
        </w:tc>
      </w:tr>
    </w:tbl>
    <w:p w:rsidR="007511F5" w:rsidRDefault="007511F5">
      <w:pPr>
        <w:spacing w:after="100"/>
        <w:jc w:val="both"/>
        <w:rPr>
          <w:b/>
          <w:sz w:val="24"/>
          <w:szCs w:val="24"/>
        </w:rPr>
      </w:pPr>
    </w:p>
    <w:p w:rsidR="007511F5" w:rsidRDefault="00137F02">
      <w:pPr>
        <w:spacing w:after="100"/>
        <w:jc w:val="both"/>
        <w:rPr>
          <w:b/>
          <w:sz w:val="24"/>
          <w:szCs w:val="24"/>
        </w:rPr>
      </w:pPr>
      <w:r>
        <w:rPr>
          <w:b/>
          <w:sz w:val="24"/>
          <w:szCs w:val="24"/>
        </w:rPr>
        <w:t>6. Evaluation Scheme:</w:t>
      </w:r>
    </w:p>
    <w:tbl>
      <w:tblPr>
        <w:tblStyle w:val="a0"/>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1260"/>
        <w:gridCol w:w="1710"/>
        <w:gridCol w:w="2340"/>
        <w:gridCol w:w="2070"/>
      </w:tblGrid>
      <w:tr w:rsidR="007511F5">
        <w:tc>
          <w:tcPr>
            <w:tcW w:w="2340" w:type="dxa"/>
          </w:tcPr>
          <w:p w:rsidR="007511F5" w:rsidRDefault="00137F02">
            <w:pPr>
              <w:spacing w:before="40" w:after="40"/>
              <w:rPr>
                <w:b/>
                <w:sz w:val="22"/>
                <w:szCs w:val="22"/>
              </w:rPr>
            </w:pPr>
            <w:r>
              <w:rPr>
                <w:b/>
                <w:sz w:val="22"/>
                <w:szCs w:val="22"/>
              </w:rPr>
              <w:lastRenderedPageBreak/>
              <w:t>Components</w:t>
            </w:r>
          </w:p>
        </w:tc>
        <w:tc>
          <w:tcPr>
            <w:tcW w:w="1260" w:type="dxa"/>
          </w:tcPr>
          <w:p w:rsidR="007511F5" w:rsidRDefault="00137F02">
            <w:pPr>
              <w:spacing w:before="40" w:after="40"/>
              <w:jc w:val="center"/>
              <w:rPr>
                <w:b/>
                <w:sz w:val="22"/>
                <w:szCs w:val="22"/>
              </w:rPr>
            </w:pPr>
            <w:r>
              <w:rPr>
                <w:b/>
                <w:sz w:val="22"/>
                <w:szCs w:val="22"/>
              </w:rPr>
              <w:t>Duration</w:t>
            </w:r>
          </w:p>
        </w:tc>
        <w:tc>
          <w:tcPr>
            <w:tcW w:w="1710" w:type="dxa"/>
          </w:tcPr>
          <w:p w:rsidR="007511F5" w:rsidRDefault="00137F02">
            <w:pPr>
              <w:spacing w:before="40" w:after="40"/>
              <w:jc w:val="center"/>
              <w:rPr>
                <w:b/>
                <w:sz w:val="22"/>
                <w:szCs w:val="22"/>
              </w:rPr>
            </w:pPr>
            <w:r>
              <w:rPr>
                <w:b/>
                <w:sz w:val="22"/>
                <w:szCs w:val="22"/>
              </w:rPr>
              <w:t>Weightage (%)</w:t>
            </w:r>
          </w:p>
        </w:tc>
        <w:tc>
          <w:tcPr>
            <w:tcW w:w="2340" w:type="dxa"/>
          </w:tcPr>
          <w:p w:rsidR="007511F5" w:rsidRDefault="00137F02">
            <w:pPr>
              <w:spacing w:before="40" w:after="40"/>
              <w:jc w:val="center"/>
              <w:rPr>
                <w:b/>
                <w:sz w:val="22"/>
                <w:szCs w:val="22"/>
              </w:rPr>
            </w:pPr>
            <w:r>
              <w:rPr>
                <w:b/>
                <w:sz w:val="22"/>
                <w:szCs w:val="22"/>
              </w:rPr>
              <w:t>Date &amp; Time</w:t>
            </w:r>
          </w:p>
        </w:tc>
        <w:tc>
          <w:tcPr>
            <w:tcW w:w="2070" w:type="dxa"/>
          </w:tcPr>
          <w:p w:rsidR="007511F5" w:rsidRDefault="00137F02">
            <w:pPr>
              <w:spacing w:before="40" w:after="40"/>
              <w:jc w:val="center"/>
              <w:rPr>
                <w:b/>
                <w:sz w:val="22"/>
                <w:szCs w:val="22"/>
              </w:rPr>
            </w:pPr>
            <w:r>
              <w:rPr>
                <w:b/>
                <w:sz w:val="22"/>
                <w:szCs w:val="22"/>
              </w:rPr>
              <w:t>Remarks</w:t>
            </w:r>
          </w:p>
        </w:tc>
      </w:tr>
      <w:tr w:rsidR="007511F5">
        <w:tc>
          <w:tcPr>
            <w:tcW w:w="2340" w:type="dxa"/>
          </w:tcPr>
          <w:p w:rsidR="007511F5" w:rsidRDefault="00137F02">
            <w:pPr>
              <w:spacing w:before="40" w:after="40"/>
              <w:rPr>
                <w:b/>
                <w:sz w:val="22"/>
                <w:szCs w:val="22"/>
              </w:rPr>
            </w:pPr>
            <w:r>
              <w:rPr>
                <w:b/>
                <w:sz w:val="22"/>
                <w:szCs w:val="22"/>
              </w:rPr>
              <w:t>Mid-semester test</w:t>
            </w:r>
          </w:p>
        </w:tc>
        <w:tc>
          <w:tcPr>
            <w:tcW w:w="1260" w:type="dxa"/>
          </w:tcPr>
          <w:p w:rsidR="007511F5" w:rsidRDefault="00137F02">
            <w:pPr>
              <w:spacing w:before="40" w:after="40"/>
              <w:jc w:val="center"/>
              <w:rPr>
                <w:sz w:val="22"/>
                <w:szCs w:val="22"/>
              </w:rPr>
            </w:pPr>
            <w:r>
              <w:rPr>
                <w:sz w:val="22"/>
                <w:szCs w:val="22"/>
              </w:rPr>
              <w:t>90 min</w:t>
            </w:r>
          </w:p>
        </w:tc>
        <w:tc>
          <w:tcPr>
            <w:tcW w:w="1710" w:type="dxa"/>
          </w:tcPr>
          <w:p w:rsidR="007511F5" w:rsidRDefault="00137F02">
            <w:pPr>
              <w:spacing w:before="40" w:after="40"/>
              <w:jc w:val="center"/>
              <w:rPr>
                <w:sz w:val="22"/>
                <w:szCs w:val="22"/>
              </w:rPr>
            </w:pPr>
            <w:r>
              <w:rPr>
                <w:sz w:val="22"/>
                <w:szCs w:val="22"/>
              </w:rPr>
              <w:t>25</w:t>
            </w:r>
          </w:p>
        </w:tc>
        <w:tc>
          <w:tcPr>
            <w:tcW w:w="2340" w:type="dxa"/>
          </w:tcPr>
          <w:p w:rsidR="007511F5" w:rsidRDefault="00291FFB">
            <w:pPr>
              <w:spacing w:before="40" w:after="40"/>
              <w:jc w:val="center"/>
              <w:rPr>
                <w:sz w:val="22"/>
                <w:szCs w:val="22"/>
              </w:rPr>
            </w:pPr>
            <w:r>
              <w:t>17/03 4.00 - 5.30PM</w:t>
            </w:r>
          </w:p>
        </w:tc>
        <w:tc>
          <w:tcPr>
            <w:tcW w:w="2070" w:type="dxa"/>
          </w:tcPr>
          <w:p w:rsidR="007511F5" w:rsidRDefault="00137F02">
            <w:pPr>
              <w:spacing w:before="40" w:after="40"/>
              <w:jc w:val="center"/>
              <w:rPr>
                <w:sz w:val="22"/>
                <w:szCs w:val="22"/>
              </w:rPr>
            </w:pPr>
            <w:r>
              <w:rPr>
                <w:sz w:val="22"/>
                <w:szCs w:val="22"/>
              </w:rPr>
              <w:t>CB</w:t>
            </w:r>
          </w:p>
        </w:tc>
      </w:tr>
      <w:tr w:rsidR="007511F5">
        <w:tc>
          <w:tcPr>
            <w:tcW w:w="2340" w:type="dxa"/>
          </w:tcPr>
          <w:p w:rsidR="007511F5" w:rsidRDefault="00137F02">
            <w:pPr>
              <w:spacing w:before="40" w:after="40"/>
              <w:rPr>
                <w:b/>
                <w:sz w:val="22"/>
                <w:szCs w:val="22"/>
              </w:rPr>
            </w:pPr>
            <w:r>
              <w:rPr>
                <w:b/>
                <w:sz w:val="22"/>
                <w:szCs w:val="22"/>
              </w:rPr>
              <w:t>Continues assessment (Quizzes /case studies / assignments / presentation)</w:t>
            </w:r>
          </w:p>
        </w:tc>
        <w:tc>
          <w:tcPr>
            <w:tcW w:w="1260" w:type="dxa"/>
          </w:tcPr>
          <w:p w:rsidR="007511F5" w:rsidRDefault="00137F02">
            <w:pPr>
              <w:spacing w:before="40" w:after="40"/>
              <w:jc w:val="center"/>
              <w:rPr>
                <w:sz w:val="22"/>
                <w:szCs w:val="22"/>
              </w:rPr>
            </w:pPr>
            <w:r>
              <w:rPr>
                <w:sz w:val="22"/>
                <w:szCs w:val="22"/>
              </w:rPr>
              <w:t>Continuous</w:t>
            </w:r>
          </w:p>
        </w:tc>
        <w:tc>
          <w:tcPr>
            <w:tcW w:w="1710" w:type="dxa"/>
          </w:tcPr>
          <w:p w:rsidR="007511F5" w:rsidRDefault="00137F02">
            <w:pPr>
              <w:spacing w:before="40" w:after="40"/>
              <w:jc w:val="center"/>
              <w:rPr>
                <w:sz w:val="22"/>
                <w:szCs w:val="22"/>
              </w:rPr>
            </w:pPr>
            <w:r>
              <w:rPr>
                <w:sz w:val="22"/>
                <w:szCs w:val="22"/>
              </w:rPr>
              <w:t>30</w:t>
            </w:r>
          </w:p>
        </w:tc>
        <w:tc>
          <w:tcPr>
            <w:tcW w:w="2340" w:type="dxa"/>
          </w:tcPr>
          <w:p w:rsidR="007511F5" w:rsidRDefault="00137F02">
            <w:pPr>
              <w:spacing w:before="40" w:after="40"/>
              <w:jc w:val="center"/>
              <w:rPr>
                <w:sz w:val="22"/>
                <w:szCs w:val="22"/>
              </w:rPr>
            </w:pPr>
            <w:r>
              <w:rPr>
                <w:sz w:val="22"/>
                <w:szCs w:val="22"/>
              </w:rPr>
              <w:t>Continuous</w:t>
            </w:r>
          </w:p>
        </w:tc>
        <w:tc>
          <w:tcPr>
            <w:tcW w:w="2070" w:type="dxa"/>
          </w:tcPr>
          <w:p w:rsidR="007511F5" w:rsidRDefault="00137F02">
            <w:pPr>
              <w:spacing w:before="40" w:after="40"/>
              <w:jc w:val="center"/>
              <w:rPr>
                <w:sz w:val="22"/>
                <w:szCs w:val="22"/>
              </w:rPr>
            </w:pPr>
            <w:r>
              <w:rPr>
                <w:sz w:val="22"/>
                <w:szCs w:val="22"/>
              </w:rPr>
              <w:t>CB/OB</w:t>
            </w:r>
          </w:p>
        </w:tc>
      </w:tr>
      <w:tr w:rsidR="007511F5">
        <w:tc>
          <w:tcPr>
            <w:tcW w:w="2340" w:type="dxa"/>
          </w:tcPr>
          <w:p w:rsidR="007511F5" w:rsidRDefault="00137F02">
            <w:pPr>
              <w:spacing w:before="40" w:after="40"/>
              <w:rPr>
                <w:b/>
                <w:sz w:val="22"/>
                <w:szCs w:val="22"/>
              </w:rPr>
            </w:pPr>
            <w:proofErr w:type="spellStart"/>
            <w:r>
              <w:rPr>
                <w:b/>
                <w:sz w:val="22"/>
                <w:szCs w:val="22"/>
              </w:rPr>
              <w:t>Compre</w:t>
            </w:r>
            <w:proofErr w:type="spellEnd"/>
            <w:r>
              <w:rPr>
                <w:b/>
                <w:sz w:val="22"/>
                <w:szCs w:val="22"/>
              </w:rPr>
              <w:t xml:space="preserve"> Exam </w:t>
            </w:r>
          </w:p>
        </w:tc>
        <w:tc>
          <w:tcPr>
            <w:tcW w:w="1260" w:type="dxa"/>
          </w:tcPr>
          <w:p w:rsidR="007511F5" w:rsidRDefault="00137F02">
            <w:pPr>
              <w:spacing w:before="40" w:after="40"/>
              <w:jc w:val="center"/>
              <w:rPr>
                <w:sz w:val="22"/>
                <w:szCs w:val="22"/>
              </w:rPr>
            </w:pPr>
            <w:r>
              <w:rPr>
                <w:sz w:val="22"/>
                <w:szCs w:val="22"/>
              </w:rPr>
              <w:t>180 min</w:t>
            </w:r>
          </w:p>
        </w:tc>
        <w:tc>
          <w:tcPr>
            <w:tcW w:w="1710" w:type="dxa"/>
          </w:tcPr>
          <w:p w:rsidR="007511F5" w:rsidRDefault="00137F02">
            <w:pPr>
              <w:spacing w:before="40" w:after="40"/>
              <w:jc w:val="center"/>
              <w:rPr>
                <w:sz w:val="22"/>
                <w:szCs w:val="22"/>
              </w:rPr>
            </w:pPr>
            <w:r>
              <w:rPr>
                <w:sz w:val="22"/>
                <w:szCs w:val="22"/>
              </w:rPr>
              <w:t>45</w:t>
            </w:r>
          </w:p>
        </w:tc>
        <w:tc>
          <w:tcPr>
            <w:tcW w:w="2340" w:type="dxa"/>
          </w:tcPr>
          <w:p w:rsidR="007511F5" w:rsidRDefault="00291FFB">
            <w:pPr>
              <w:spacing w:before="40" w:after="40"/>
              <w:jc w:val="center"/>
              <w:rPr>
                <w:sz w:val="22"/>
                <w:szCs w:val="22"/>
              </w:rPr>
            </w:pPr>
            <w:r>
              <w:t>18/05 AN</w:t>
            </w:r>
          </w:p>
        </w:tc>
        <w:tc>
          <w:tcPr>
            <w:tcW w:w="2070" w:type="dxa"/>
          </w:tcPr>
          <w:p w:rsidR="007511F5" w:rsidRDefault="00137F02">
            <w:pPr>
              <w:spacing w:before="40" w:after="40"/>
              <w:jc w:val="center"/>
              <w:rPr>
                <w:sz w:val="22"/>
                <w:szCs w:val="22"/>
              </w:rPr>
            </w:pPr>
            <w:r>
              <w:rPr>
                <w:sz w:val="22"/>
                <w:szCs w:val="22"/>
              </w:rPr>
              <w:t>CB/OB</w:t>
            </w:r>
          </w:p>
        </w:tc>
      </w:tr>
    </w:tbl>
    <w:p w:rsidR="007511F5" w:rsidRDefault="007511F5">
      <w:pPr>
        <w:jc w:val="both"/>
        <w:rPr>
          <w:sz w:val="16"/>
          <w:szCs w:val="16"/>
        </w:rPr>
      </w:pPr>
    </w:p>
    <w:p w:rsidR="007511F5" w:rsidRDefault="007511F5">
      <w:pPr>
        <w:jc w:val="both"/>
        <w:rPr>
          <w:sz w:val="16"/>
          <w:szCs w:val="16"/>
        </w:rPr>
      </w:pPr>
    </w:p>
    <w:p w:rsidR="007511F5" w:rsidRDefault="00137F02">
      <w:pPr>
        <w:numPr>
          <w:ilvl w:val="0"/>
          <w:numId w:val="1"/>
        </w:numPr>
        <w:ind w:hanging="720"/>
        <w:jc w:val="both"/>
        <w:rPr>
          <w:sz w:val="24"/>
          <w:szCs w:val="24"/>
        </w:rPr>
      </w:pPr>
      <w:r>
        <w:rPr>
          <w:b/>
          <w:sz w:val="24"/>
          <w:szCs w:val="24"/>
        </w:rPr>
        <w:t>Mid-Semester Evaluation:</w:t>
      </w:r>
      <w:r>
        <w:rPr>
          <w:sz w:val="24"/>
          <w:szCs w:val="24"/>
        </w:rPr>
        <w:t xml:space="preserve"> Will be announced after the Mid--semester test.</w:t>
      </w:r>
      <w:r>
        <w:rPr>
          <w:sz w:val="24"/>
          <w:szCs w:val="24"/>
        </w:rPr>
        <w:tab/>
      </w:r>
    </w:p>
    <w:p w:rsidR="007511F5" w:rsidRDefault="007511F5">
      <w:pPr>
        <w:jc w:val="both"/>
        <w:rPr>
          <w:sz w:val="16"/>
          <w:szCs w:val="16"/>
        </w:rPr>
      </w:pPr>
    </w:p>
    <w:p w:rsidR="007511F5" w:rsidRDefault="00137F02">
      <w:pPr>
        <w:numPr>
          <w:ilvl w:val="0"/>
          <w:numId w:val="1"/>
        </w:numPr>
        <w:ind w:hanging="720"/>
        <w:jc w:val="both"/>
        <w:rPr>
          <w:sz w:val="24"/>
          <w:szCs w:val="24"/>
        </w:rPr>
      </w:pPr>
      <w:r>
        <w:rPr>
          <w:b/>
          <w:sz w:val="24"/>
          <w:szCs w:val="24"/>
        </w:rPr>
        <w:t xml:space="preserve">Grading Procedure: </w:t>
      </w:r>
      <w:r>
        <w:rPr>
          <w:sz w:val="24"/>
          <w:szCs w:val="24"/>
        </w:rPr>
        <w:t>It is not mandatory to award all the grades (i.e. A to E); subjective judgment will be exercised while awarding the grades. In borderline cases subjective judgment based on regularity and performance in all the components throughout the semester will be exercised to decide the final grade.</w:t>
      </w:r>
    </w:p>
    <w:p w:rsidR="007511F5" w:rsidRDefault="007511F5">
      <w:pPr>
        <w:jc w:val="both"/>
        <w:rPr>
          <w:b/>
          <w:sz w:val="16"/>
          <w:szCs w:val="16"/>
        </w:rPr>
      </w:pPr>
    </w:p>
    <w:p w:rsidR="007511F5" w:rsidRDefault="00137F02">
      <w:pPr>
        <w:numPr>
          <w:ilvl w:val="0"/>
          <w:numId w:val="1"/>
        </w:numPr>
        <w:ind w:hanging="720"/>
        <w:jc w:val="both"/>
        <w:rPr>
          <w:sz w:val="24"/>
          <w:szCs w:val="24"/>
        </w:rPr>
      </w:pPr>
      <w:r>
        <w:rPr>
          <w:b/>
          <w:sz w:val="24"/>
          <w:szCs w:val="24"/>
        </w:rPr>
        <w:t xml:space="preserve">Make-up: </w:t>
      </w:r>
      <w:r>
        <w:rPr>
          <w:sz w:val="24"/>
          <w:szCs w:val="24"/>
        </w:rPr>
        <w:t>Make-ups are not generally given as a routine. It is solely dependent on the       “genuineness” of the circumstances under which a student fails to appear in a scheduled                    evaluation component; however, prior permission should be sought from the                                   instructor-in-charge.</w:t>
      </w:r>
    </w:p>
    <w:p w:rsidR="007511F5" w:rsidRDefault="007511F5">
      <w:pPr>
        <w:jc w:val="both"/>
        <w:rPr>
          <w:b/>
          <w:sz w:val="16"/>
          <w:szCs w:val="16"/>
        </w:rPr>
      </w:pPr>
    </w:p>
    <w:p w:rsidR="007511F5" w:rsidRDefault="00137F02">
      <w:pPr>
        <w:numPr>
          <w:ilvl w:val="0"/>
          <w:numId w:val="1"/>
        </w:numPr>
        <w:ind w:hanging="720"/>
        <w:jc w:val="both"/>
        <w:rPr>
          <w:sz w:val="24"/>
          <w:szCs w:val="24"/>
        </w:rPr>
      </w:pPr>
      <w:r>
        <w:rPr>
          <w:sz w:val="24"/>
          <w:szCs w:val="24"/>
        </w:rPr>
        <w:t>Any further detail (if required) will be announced in class.</w:t>
      </w:r>
    </w:p>
    <w:p w:rsidR="007511F5" w:rsidRDefault="007511F5">
      <w:pPr>
        <w:jc w:val="both"/>
        <w:rPr>
          <w:b/>
          <w:sz w:val="16"/>
          <w:szCs w:val="16"/>
        </w:rPr>
      </w:pPr>
    </w:p>
    <w:p w:rsidR="007511F5" w:rsidRDefault="00137F02">
      <w:pPr>
        <w:numPr>
          <w:ilvl w:val="0"/>
          <w:numId w:val="1"/>
        </w:numPr>
        <w:ind w:hanging="720"/>
        <w:jc w:val="both"/>
        <w:rPr>
          <w:sz w:val="24"/>
          <w:szCs w:val="24"/>
        </w:rPr>
      </w:pPr>
      <w:r>
        <w:rPr>
          <w:b/>
          <w:sz w:val="24"/>
          <w:szCs w:val="24"/>
        </w:rPr>
        <w:t>Chamber Consultation Hour:</w:t>
      </w:r>
      <w:r>
        <w:rPr>
          <w:sz w:val="24"/>
          <w:szCs w:val="24"/>
        </w:rPr>
        <w:t xml:space="preserve"> To be announced in the class. </w:t>
      </w:r>
    </w:p>
    <w:p w:rsidR="00FC4F73" w:rsidRDefault="00FC4F73" w:rsidP="00FC4F73">
      <w:pPr>
        <w:pStyle w:val="ListParagraph"/>
        <w:rPr>
          <w:sz w:val="24"/>
          <w:szCs w:val="24"/>
        </w:rPr>
      </w:pPr>
    </w:p>
    <w:p w:rsidR="00FC4F73" w:rsidRPr="00AD28AB" w:rsidRDefault="00FC4F73" w:rsidP="00FC4F73">
      <w:pPr>
        <w:pStyle w:val="NoSpacing"/>
        <w:numPr>
          <w:ilvl w:val="0"/>
          <w:numId w:val="1"/>
        </w:numPr>
        <w:jc w:val="both"/>
        <w:rPr>
          <w:rFonts w:ascii="Arial" w:hAnsi="Arial" w:cs="Arial"/>
          <w:b/>
          <w:color w:val="000000"/>
          <w:sz w:val="20"/>
          <w:szCs w:val="20"/>
        </w:rPr>
      </w:pPr>
      <w:bookmarkStart w:id="1" w:name="_GoBack"/>
      <w:bookmarkEnd w:id="1"/>
      <w:r w:rsidRPr="00AD28AB">
        <w:rPr>
          <w:rFonts w:ascii="Arial" w:hAnsi="Arial" w:cs="Arial"/>
          <w:b/>
          <w:color w:val="000000"/>
          <w:sz w:val="20"/>
          <w:szCs w:val="20"/>
        </w:rPr>
        <w:t>Academic Honesty and Integrity Policy:</w:t>
      </w:r>
    </w:p>
    <w:p w:rsidR="00FC4F73" w:rsidRPr="00AD28AB" w:rsidRDefault="00FC4F73" w:rsidP="00FC4F73">
      <w:pPr>
        <w:pStyle w:val="NoSpacing"/>
        <w:ind w:left="720"/>
        <w:jc w:val="both"/>
        <w:rPr>
          <w:rFonts w:ascii="Arial" w:hAnsi="Arial" w:cs="Arial"/>
          <w:color w:val="000000"/>
          <w:sz w:val="20"/>
          <w:szCs w:val="20"/>
        </w:rPr>
      </w:pPr>
      <w:r w:rsidRPr="00AD28AB">
        <w:rPr>
          <w:rFonts w:ascii="Arial" w:hAnsi="Arial" w:cs="Arial"/>
          <w:color w:val="000000"/>
          <w:sz w:val="20"/>
          <w:szCs w:val="20"/>
        </w:rPr>
        <w:t>Academic honesty and integrity are to be maintained by all the students throughout the semester and no type of academic dishonesty is acceptable.</w:t>
      </w:r>
    </w:p>
    <w:p w:rsidR="00FC4F73" w:rsidRPr="00AD28AB" w:rsidRDefault="00FC4F73" w:rsidP="00FC4F73">
      <w:pPr>
        <w:pStyle w:val="NormalWeb"/>
        <w:spacing w:before="0" w:beforeAutospacing="0" w:after="0" w:afterAutospacing="0"/>
        <w:ind w:left="720"/>
        <w:jc w:val="both"/>
        <w:rPr>
          <w:rFonts w:ascii="Arial" w:hAnsi="Arial" w:cs="Arial"/>
          <w:sz w:val="20"/>
          <w:szCs w:val="20"/>
        </w:rPr>
      </w:pPr>
    </w:p>
    <w:p w:rsidR="00FC4F73" w:rsidRDefault="00FC4F73" w:rsidP="00FC4F73">
      <w:pPr>
        <w:jc w:val="both"/>
        <w:rPr>
          <w:sz w:val="24"/>
          <w:szCs w:val="24"/>
        </w:rPr>
      </w:pPr>
    </w:p>
    <w:p w:rsidR="007511F5" w:rsidRDefault="007511F5"/>
    <w:p w:rsidR="007511F5" w:rsidRDefault="007511F5"/>
    <w:p w:rsidR="007511F5" w:rsidRDefault="007511F5">
      <w:pPr>
        <w:pStyle w:val="Heading3"/>
      </w:pPr>
    </w:p>
    <w:p w:rsidR="007511F5" w:rsidRDefault="007511F5">
      <w:pPr>
        <w:pStyle w:val="Heading3"/>
      </w:pPr>
    </w:p>
    <w:p w:rsidR="007511F5" w:rsidRDefault="00137F02">
      <w:pPr>
        <w:pStyle w:val="Heading3"/>
      </w:pPr>
      <w:r>
        <w:t>Instructor In-Charge</w:t>
      </w:r>
    </w:p>
    <w:p w:rsidR="007511F5" w:rsidRDefault="00137F02">
      <w:pPr>
        <w:jc w:val="both"/>
        <w:rPr>
          <w:b/>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PHA F417</w:t>
      </w:r>
    </w:p>
    <w:sectPr w:rsidR="007511F5">
      <w:headerReference w:type="default" r:id="rId7"/>
      <w:footerReference w:type="default" r:id="rId8"/>
      <w:pgSz w:w="11909" w:h="16834"/>
      <w:pgMar w:top="864" w:right="569" w:bottom="864" w:left="1296" w:header="45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03A" w:rsidRDefault="002D703A">
      <w:r>
        <w:separator/>
      </w:r>
    </w:p>
  </w:endnote>
  <w:endnote w:type="continuationSeparator" w:id="0">
    <w:p w:rsidR="002D703A" w:rsidRDefault="002D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1F5" w:rsidRDefault="00137F02">
    <w:pPr>
      <w:pBdr>
        <w:top w:val="nil"/>
        <w:left w:val="nil"/>
        <w:bottom w:val="nil"/>
        <w:right w:val="nil"/>
        <w:between w:val="nil"/>
      </w:pBdr>
      <w:tabs>
        <w:tab w:val="center" w:pos="4680"/>
        <w:tab w:val="right" w:pos="9360"/>
      </w:tabs>
      <w:rPr>
        <w:color w:val="000000"/>
      </w:rPr>
    </w:pPr>
    <w:r>
      <w:rPr>
        <w:noProof/>
        <w:color w:val="000000"/>
        <w:lang w:val="en-IN" w:eastAsia="en-IN"/>
      </w:rPr>
      <w:drawing>
        <wp:inline distT="0" distB="0" distL="0" distR="0">
          <wp:extent cx="1697355" cy="548640"/>
          <wp:effectExtent l="0" t="0" r="0" b="0"/>
          <wp:docPr id="3" name="image3.png" descr="companyBranding"/>
          <wp:cNvGraphicFramePr/>
          <a:graphic xmlns:a="http://schemas.openxmlformats.org/drawingml/2006/main">
            <a:graphicData uri="http://schemas.openxmlformats.org/drawingml/2006/picture">
              <pic:pic xmlns:pic="http://schemas.openxmlformats.org/drawingml/2006/picture">
                <pic:nvPicPr>
                  <pic:cNvPr id="0" name="image3.png" descr="companyBranding"/>
                  <pic:cNvPicPr preferRelativeResize="0"/>
                </pic:nvPicPr>
                <pic:blipFill>
                  <a:blip r:embed="rId1"/>
                  <a:srcRect/>
                  <a:stretch>
                    <a:fillRect/>
                  </a:stretch>
                </pic:blipFill>
                <pic:spPr>
                  <a:xfrm>
                    <a:off x="0" y="0"/>
                    <a:ext cx="1697355" cy="548640"/>
                  </a:xfrm>
                  <a:prstGeom prst="rect">
                    <a:avLst/>
                  </a:prstGeom>
                  <a:ln/>
                </pic:spPr>
              </pic:pic>
            </a:graphicData>
          </a:graphic>
        </wp:inline>
      </w:drawing>
    </w:r>
    <w:r>
      <w:rPr>
        <w:color w:val="000000"/>
      </w:rPr>
      <w:tab/>
    </w:r>
    <w:r>
      <w:rPr>
        <w:color w:val="000000"/>
      </w:rPr>
      <w:tab/>
    </w:r>
    <w:r>
      <w:rPr>
        <w:noProof/>
        <w:color w:val="000000"/>
        <w:lang w:val="en-IN" w:eastAsia="en-IN"/>
      </w:rPr>
      <w:drawing>
        <wp:inline distT="0" distB="0" distL="0" distR="0">
          <wp:extent cx="1989455" cy="556260"/>
          <wp:effectExtent l="0" t="0" r="0" b="0"/>
          <wp:docPr id="2" name="image2.png" descr="savepapersavetrees_header1 (1)"/>
          <wp:cNvGraphicFramePr/>
          <a:graphic xmlns:a="http://schemas.openxmlformats.org/drawingml/2006/main">
            <a:graphicData uri="http://schemas.openxmlformats.org/drawingml/2006/picture">
              <pic:pic xmlns:pic="http://schemas.openxmlformats.org/drawingml/2006/picture">
                <pic:nvPicPr>
                  <pic:cNvPr id="0" name="image2.png" descr="savepapersavetrees_header1 (1)"/>
                  <pic:cNvPicPr preferRelativeResize="0"/>
                </pic:nvPicPr>
                <pic:blipFill>
                  <a:blip r:embed="rId2"/>
                  <a:srcRect/>
                  <a:stretch>
                    <a:fillRect/>
                  </a:stretch>
                </pic:blipFill>
                <pic:spPr>
                  <a:xfrm>
                    <a:off x="0" y="0"/>
                    <a:ext cx="1989455" cy="556260"/>
                  </a:xfrm>
                  <a:prstGeom prst="rect">
                    <a:avLst/>
                  </a:prstGeom>
                  <a:ln/>
                </pic:spPr>
              </pic:pic>
            </a:graphicData>
          </a:graphic>
        </wp:inline>
      </w:drawing>
    </w:r>
  </w:p>
  <w:p w:rsidR="007511F5" w:rsidRDefault="00137F02">
    <w:pPr>
      <w:pBdr>
        <w:top w:val="nil"/>
        <w:left w:val="nil"/>
        <w:bottom w:val="nil"/>
        <w:right w:val="nil"/>
        <w:between w:val="nil"/>
      </w:pBdr>
      <w:tabs>
        <w:tab w:val="center" w:pos="4680"/>
        <w:tab w:val="right" w:pos="9360"/>
        <w:tab w:val="right" w:pos="10890"/>
      </w:tabs>
      <w:jc w:val="center"/>
      <w:rPr>
        <w:rFonts w:ascii="Calibri" w:eastAsia="Calibri" w:hAnsi="Calibri" w:cs="Calibri"/>
        <w:b/>
        <w:color w:val="003300"/>
        <w:u w:val="single"/>
      </w:rPr>
    </w:pPr>
    <w:r>
      <w:rPr>
        <w:rFonts w:ascii="Calibri" w:eastAsia="Calibri" w:hAnsi="Calibri" w:cs="Calibri"/>
        <w:b/>
        <w:color w:val="003300"/>
        <w:u w:val="single"/>
      </w:rPr>
      <w:t>Please Consider Your Environmental Responsibilities</w:t>
    </w:r>
  </w:p>
  <w:p w:rsidR="007511F5" w:rsidRDefault="00137F02">
    <w:pPr>
      <w:pBdr>
        <w:top w:val="nil"/>
        <w:left w:val="nil"/>
        <w:bottom w:val="nil"/>
        <w:right w:val="nil"/>
        <w:between w:val="nil"/>
      </w:pBdr>
      <w:tabs>
        <w:tab w:val="center" w:pos="4680"/>
        <w:tab w:val="right" w:pos="9360"/>
        <w:tab w:val="right" w:pos="10890"/>
      </w:tabs>
      <w:jc w:val="center"/>
      <w:rPr>
        <w:b/>
        <w:color w:val="003300"/>
        <w:u w:val="single"/>
      </w:rPr>
    </w:pPr>
    <w:r>
      <w:rPr>
        <w:rFonts w:ascii="Calibri" w:eastAsia="Calibri" w:hAnsi="Calibri" w:cs="Calibri"/>
        <w:b/>
        <w:color w:val="003300"/>
        <w:u w:val="single"/>
      </w:rPr>
      <w:t>Do Not Print Unless Necessary</w:t>
    </w:r>
  </w:p>
  <w:p w:rsidR="007511F5" w:rsidRDefault="007511F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03A" w:rsidRDefault="002D703A">
      <w:r>
        <w:separator/>
      </w:r>
    </w:p>
  </w:footnote>
  <w:footnote w:type="continuationSeparator" w:id="0">
    <w:p w:rsidR="002D703A" w:rsidRDefault="002D70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1F5" w:rsidRDefault="00137F02">
    <w:pPr>
      <w:pBdr>
        <w:top w:val="nil"/>
        <w:left w:val="nil"/>
        <w:bottom w:val="nil"/>
        <w:right w:val="nil"/>
        <w:between w:val="nil"/>
      </w:pBdr>
      <w:tabs>
        <w:tab w:val="center" w:pos="4680"/>
        <w:tab w:val="right" w:pos="9360"/>
        <w:tab w:val="left" w:pos="1620"/>
      </w:tabs>
      <w:rPr>
        <w:color w:val="000000"/>
      </w:rPr>
    </w:pPr>
    <w:r>
      <w:rPr>
        <w:color w:val="000000"/>
      </w:rPr>
      <w:tab/>
    </w:r>
    <w:r>
      <w:rPr>
        <w:noProof/>
        <w:lang w:val="en-IN" w:eastAsia="en-IN"/>
      </w:rPr>
      <w:drawing>
        <wp:anchor distT="0" distB="0" distL="0" distR="0" simplePos="0" relativeHeight="251658240" behindDoc="1" locked="0" layoutInCell="1" hidden="0" allowOverlap="1">
          <wp:simplePos x="0" y="0"/>
          <wp:positionH relativeFrom="column">
            <wp:posOffset>19050</wp:posOffset>
          </wp:positionH>
          <wp:positionV relativeFrom="paragraph">
            <wp:posOffset>0</wp:posOffset>
          </wp:positionV>
          <wp:extent cx="904875" cy="904875"/>
          <wp:effectExtent l="0" t="0" r="0" b="0"/>
          <wp:wrapNone/>
          <wp:docPr id="1" name="image1.png" descr="200px-BITS_Pilani-Logo.svg.png"/>
          <wp:cNvGraphicFramePr/>
          <a:graphic xmlns:a="http://schemas.openxmlformats.org/drawingml/2006/main">
            <a:graphicData uri="http://schemas.openxmlformats.org/drawingml/2006/picture">
              <pic:pic xmlns:pic="http://schemas.openxmlformats.org/drawingml/2006/picture">
                <pic:nvPicPr>
                  <pic:cNvPr id="0" name="image1.png" descr="200px-BITS_Pilani-Logo.svg.png"/>
                  <pic:cNvPicPr preferRelativeResize="0"/>
                </pic:nvPicPr>
                <pic:blipFill>
                  <a:blip r:embed="rId1"/>
                  <a:srcRect/>
                  <a:stretch>
                    <a:fillRect/>
                  </a:stretch>
                </pic:blipFill>
                <pic:spPr>
                  <a:xfrm>
                    <a:off x="0" y="0"/>
                    <a:ext cx="904875" cy="904875"/>
                  </a:xfrm>
                  <a:prstGeom prst="rect">
                    <a:avLst/>
                  </a:prstGeom>
                  <a:ln/>
                </pic:spPr>
              </pic:pic>
            </a:graphicData>
          </a:graphic>
        </wp:anchor>
      </w:drawing>
    </w:r>
  </w:p>
  <w:p w:rsidR="007511F5" w:rsidRDefault="00137F02">
    <w:pPr>
      <w:pBdr>
        <w:top w:val="nil"/>
        <w:left w:val="nil"/>
        <w:bottom w:val="nil"/>
        <w:right w:val="nil"/>
        <w:between w:val="nil"/>
      </w:pBdr>
      <w:tabs>
        <w:tab w:val="center" w:pos="4680"/>
        <w:tab w:val="right" w:pos="9360"/>
        <w:tab w:val="left" w:pos="1620"/>
      </w:tabs>
      <w:rPr>
        <w:rFonts w:ascii="Arial" w:eastAsia="Arial" w:hAnsi="Arial" w:cs="Arial"/>
        <w:b/>
        <w:color w:val="000000"/>
        <w:sz w:val="28"/>
        <w:szCs w:val="28"/>
      </w:rPr>
    </w:pPr>
    <w:r>
      <w:rPr>
        <w:color w:val="000000"/>
      </w:rPr>
      <w:tab/>
    </w:r>
    <w:r>
      <w:rPr>
        <w:rFonts w:ascii="Arial" w:eastAsia="Arial" w:hAnsi="Arial" w:cs="Arial"/>
        <w:b/>
        <w:color w:val="000000"/>
        <w:sz w:val="28"/>
        <w:szCs w:val="28"/>
      </w:rPr>
      <w:t xml:space="preserve">BIRLA INSTITUTE OF TECHNOLOGY AND SCIENCE, </w:t>
    </w:r>
    <w:proofErr w:type="spellStart"/>
    <w:r>
      <w:rPr>
        <w:rFonts w:ascii="Arial" w:eastAsia="Arial" w:hAnsi="Arial" w:cs="Arial"/>
        <w:b/>
        <w:color w:val="000000"/>
        <w:sz w:val="28"/>
        <w:szCs w:val="28"/>
      </w:rPr>
      <w:t>Pilani</w:t>
    </w:r>
    <w:proofErr w:type="spellEnd"/>
  </w:p>
  <w:p w:rsidR="007511F5" w:rsidRDefault="00137F02">
    <w:pPr>
      <w:pBdr>
        <w:top w:val="nil"/>
        <w:left w:val="nil"/>
        <w:bottom w:val="nil"/>
        <w:right w:val="nil"/>
        <w:between w:val="nil"/>
      </w:pBdr>
      <w:tabs>
        <w:tab w:val="center" w:pos="4680"/>
        <w:tab w:val="right" w:pos="9360"/>
        <w:tab w:val="left" w:pos="1620"/>
      </w:tabs>
      <w:rPr>
        <w:rFonts w:ascii="Arial" w:eastAsia="Arial" w:hAnsi="Arial" w:cs="Arial"/>
        <w:b/>
        <w:color w:val="000000"/>
        <w:sz w:val="26"/>
        <w:szCs w:val="26"/>
      </w:rPr>
    </w:pPr>
    <w:r>
      <w:rPr>
        <w:rFonts w:ascii="Arial" w:eastAsia="Arial" w:hAnsi="Arial" w:cs="Arial"/>
        <w:color w:val="000000"/>
        <w:sz w:val="26"/>
        <w:szCs w:val="26"/>
      </w:rPr>
      <w:tab/>
    </w:r>
    <w:r w:rsidR="00291FFB">
      <w:rPr>
        <w:rFonts w:ascii="Arial" w:eastAsia="Arial" w:hAnsi="Arial" w:cs="Arial"/>
        <w:b/>
        <w:color w:val="000000"/>
        <w:sz w:val="26"/>
        <w:szCs w:val="26"/>
      </w:rPr>
      <w:t>Hyderabad</w:t>
    </w:r>
    <w:r>
      <w:rPr>
        <w:rFonts w:ascii="Arial" w:eastAsia="Arial" w:hAnsi="Arial" w:cs="Arial"/>
        <w:b/>
        <w:color w:val="000000"/>
        <w:sz w:val="26"/>
        <w:szCs w:val="26"/>
      </w:rPr>
      <w:t xml:space="preserve"> Campus</w:t>
    </w:r>
  </w:p>
  <w:p w:rsidR="007511F5" w:rsidRDefault="007511F5">
    <w:pPr>
      <w:pBdr>
        <w:top w:val="nil"/>
        <w:left w:val="nil"/>
        <w:bottom w:val="nil"/>
        <w:right w:val="nil"/>
        <w:between w:val="nil"/>
      </w:pBdr>
      <w:tabs>
        <w:tab w:val="center" w:pos="4680"/>
        <w:tab w:val="right" w:pos="9360"/>
        <w:tab w:val="left" w:pos="1620"/>
      </w:tabs>
      <w:rPr>
        <w:rFonts w:ascii="Arial" w:eastAsia="Arial" w:hAnsi="Arial" w:cs="Arial"/>
        <w:b/>
        <w:color w:val="000000"/>
        <w:sz w:val="26"/>
        <w:szCs w:val="26"/>
      </w:rPr>
    </w:pPr>
  </w:p>
  <w:p w:rsidR="007511F5" w:rsidRDefault="007511F5">
    <w:pPr>
      <w:pBdr>
        <w:top w:val="nil"/>
        <w:left w:val="nil"/>
        <w:bottom w:val="nil"/>
        <w:right w:val="nil"/>
        <w:between w:val="nil"/>
      </w:pBdr>
      <w:tabs>
        <w:tab w:val="center" w:pos="4680"/>
        <w:tab w:val="right" w:pos="9360"/>
        <w:tab w:val="left" w:pos="1620"/>
      </w:tabs>
      <w:rPr>
        <w:color w:val="17365D"/>
        <w:sz w:val="26"/>
        <w:szCs w:val="26"/>
      </w:rPr>
    </w:pPr>
  </w:p>
  <w:p w:rsidR="007511F5" w:rsidRDefault="007511F5">
    <w:pPr>
      <w:pBdr>
        <w:top w:val="nil"/>
        <w:left w:val="nil"/>
        <w:bottom w:val="nil"/>
        <w:right w:val="nil"/>
        <w:between w:val="nil"/>
      </w:pBdr>
      <w:tabs>
        <w:tab w:val="center" w:pos="4680"/>
        <w:tab w:val="right" w:pos="9360"/>
      </w:tabs>
      <w:rPr>
        <w:color w:val="000000"/>
      </w:rPr>
    </w:pPr>
  </w:p>
  <w:p w:rsidR="007511F5" w:rsidRDefault="007511F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1018D3"/>
    <w:multiLevelType w:val="multilevel"/>
    <w:tmpl w:val="0CF6A6DA"/>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511F5"/>
    <w:rsid w:val="00137F02"/>
    <w:rsid w:val="00291FFB"/>
    <w:rsid w:val="002D703A"/>
    <w:rsid w:val="007511F5"/>
    <w:rsid w:val="009A1CB3"/>
    <w:rsid w:val="00FC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C2CE"/>
  <w15:docId w15:val="{AD6DF468-7527-413B-8C90-CE788774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40" w:after="40"/>
      <w:jc w:val="both"/>
      <w:outlineLvl w:val="0"/>
    </w:pPr>
    <w:rPr>
      <w:b/>
      <w:sz w:val="24"/>
      <w:szCs w:val="24"/>
    </w:rPr>
  </w:style>
  <w:style w:type="paragraph" w:styleId="Heading2">
    <w:name w:val="heading 2"/>
    <w:basedOn w:val="Normal"/>
    <w:next w:val="Normal"/>
    <w:pPr>
      <w:keepNext/>
      <w:outlineLvl w:val="1"/>
    </w:pPr>
    <w:rPr>
      <w:sz w:val="24"/>
      <w:szCs w:val="24"/>
    </w:rPr>
  </w:style>
  <w:style w:type="paragraph" w:styleId="Heading3">
    <w:name w:val="heading 3"/>
    <w:basedOn w:val="Normal"/>
    <w:next w:val="Normal"/>
    <w:pPr>
      <w:keepNext/>
      <w:jc w:val="right"/>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A1CB3"/>
    <w:rPr>
      <w:rFonts w:ascii="Tahoma" w:hAnsi="Tahoma" w:cs="Tahoma"/>
      <w:sz w:val="16"/>
      <w:szCs w:val="16"/>
    </w:rPr>
  </w:style>
  <w:style w:type="character" w:customStyle="1" w:styleId="BalloonTextChar">
    <w:name w:val="Balloon Text Char"/>
    <w:basedOn w:val="DefaultParagraphFont"/>
    <w:link w:val="BalloonText"/>
    <w:uiPriority w:val="99"/>
    <w:semiHidden/>
    <w:rsid w:val="009A1CB3"/>
    <w:rPr>
      <w:rFonts w:ascii="Tahoma" w:hAnsi="Tahoma" w:cs="Tahoma"/>
      <w:sz w:val="16"/>
      <w:szCs w:val="16"/>
    </w:rPr>
  </w:style>
  <w:style w:type="paragraph" w:styleId="Header">
    <w:name w:val="header"/>
    <w:basedOn w:val="Normal"/>
    <w:link w:val="HeaderChar"/>
    <w:uiPriority w:val="99"/>
    <w:unhideWhenUsed/>
    <w:rsid w:val="00291FFB"/>
    <w:pPr>
      <w:tabs>
        <w:tab w:val="center" w:pos="4513"/>
        <w:tab w:val="right" w:pos="9026"/>
      </w:tabs>
    </w:pPr>
  </w:style>
  <w:style w:type="character" w:customStyle="1" w:styleId="HeaderChar">
    <w:name w:val="Header Char"/>
    <w:basedOn w:val="DefaultParagraphFont"/>
    <w:link w:val="Header"/>
    <w:uiPriority w:val="99"/>
    <w:rsid w:val="00291FFB"/>
  </w:style>
  <w:style w:type="paragraph" w:styleId="Footer">
    <w:name w:val="footer"/>
    <w:basedOn w:val="Normal"/>
    <w:link w:val="FooterChar"/>
    <w:uiPriority w:val="99"/>
    <w:unhideWhenUsed/>
    <w:rsid w:val="00291FFB"/>
    <w:pPr>
      <w:tabs>
        <w:tab w:val="center" w:pos="4513"/>
        <w:tab w:val="right" w:pos="9026"/>
      </w:tabs>
    </w:pPr>
  </w:style>
  <w:style w:type="character" w:customStyle="1" w:styleId="FooterChar">
    <w:name w:val="Footer Char"/>
    <w:basedOn w:val="DefaultParagraphFont"/>
    <w:link w:val="Footer"/>
    <w:uiPriority w:val="99"/>
    <w:rsid w:val="00291FFB"/>
  </w:style>
  <w:style w:type="paragraph" w:styleId="ListParagraph">
    <w:name w:val="List Paragraph"/>
    <w:basedOn w:val="Normal"/>
    <w:uiPriority w:val="34"/>
    <w:qFormat/>
    <w:rsid w:val="00FC4F73"/>
    <w:pPr>
      <w:ind w:left="720"/>
      <w:contextualSpacing/>
    </w:pPr>
  </w:style>
  <w:style w:type="paragraph" w:styleId="NormalWeb">
    <w:name w:val="Normal (Web)"/>
    <w:basedOn w:val="Normal"/>
    <w:uiPriority w:val="99"/>
    <w:unhideWhenUsed/>
    <w:rsid w:val="00FC4F73"/>
    <w:pPr>
      <w:spacing w:before="100" w:beforeAutospacing="1" w:after="100" w:afterAutospacing="1"/>
    </w:pPr>
    <w:rPr>
      <w:sz w:val="24"/>
      <w:szCs w:val="24"/>
    </w:rPr>
  </w:style>
  <w:style w:type="paragraph" w:styleId="NoSpacing">
    <w:name w:val="No Spacing"/>
    <w:uiPriority w:val="1"/>
    <w:qFormat/>
    <w:rsid w:val="00FC4F73"/>
    <w:rPr>
      <w:rFonts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dcterms:created xsi:type="dcterms:W3CDTF">2023-01-09T10:58:00Z</dcterms:created>
  <dcterms:modified xsi:type="dcterms:W3CDTF">2023-01-16T13:36:00Z</dcterms:modified>
</cp:coreProperties>
</file>