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709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DA7B93">
      <w:pPr>
        <w:jc w:val="center"/>
        <w:rPr>
          <w:b/>
          <w:bCs/>
        </w:rPr>
      </w:pPr>
      <w:r>
        <w:rPr>
          <w:b/>
          <w:bCs/>
        </w:rPr>
        <w:t>SECOND</w:t>
      </w:r>
      <w:r w:rsidR="00D7099F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>
        <w:rPr>
          <w:b/>
          <w:bCs/>
        </w:rPr>
        <w:t>22</w:t>
      </w:r>
      <w:r w:rsidR="00FB4DE4">
        <w:rPr>
          <w:b/>
          <w:bCs/>
        </w:rPr>
        <w:t>-20</w:t>
      </w:r>
      <w:r>
        <w:rPr>
          <w:b/>
          <w:bCs/>
        </w:rPr>
        <w:t>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A4E11">
        <w:t>Date: 1</w:t>
      </w:r>
      <w:r w:rsidR="00510FAB">
        <w:t>6</w:t>
      </w:r>
      <w:r w:rsidR="00DA7B93">
        <w:t>-01-2023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EC5558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DA7B93" w:rsidRPr="00EC5558">
        <w:rPr>
          <w:iCs/>
        </w:rPr>
        <w:t>PHY F24</w:t>
      </w:r>
      <w:r w:rsidR="004112B5" w:rsidRPr="00EC5558">
        <w:rPr>
          <w:iCs/>
        </w:rPr>
        <w:t>4</w:t>
      </w:r>
    </w:p>
    <w:p w:rsidR="00AD25E1" w:rsidRPr="00EC5558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A7B93" w:rsidRPr="00EC5558">
        <w:rPr>
          <w:i w:val="0"/>
          <w:iCs w:val="0"/>
        </w:rPr>
        <w:t>Modern Physics</w:t>
      </w:r>
      <w:r w:rsidR="004112B5" w:rsidRPr="00EC5558">
        <w:rPr>
          <w:i w:val="0"/>
          <w:iCs w:val="0"/>
        </w:rPr>
        <w:t xml:space="preserve"> Lab</w:t>
      </w:r>
    </w:p>
    <w:p w:rsidR="00AD25E1" w:rsidRPr="00EC5558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111621" w:rsidRPr="00EC5558">
        <w:rPr>
          <w:i w:val="0"/>
          <w:iCs w:val="0"/>
        </w:rPr>
        <w:t>Meenakshi V</w:t>
      </w:r>
    </w:p>
    <w:p w:rsidR="00071DBC" w:rsidRPr="00EC5558" w:rsidRDefault="004112B5">
      <w:r w:rsidRPr="004112B5">
        <w:rPr>
          <w:i/>
        </w:rPr>
        <w:t>Instructor</w:t>
      </w:r>
      <w:r>
        <w:rPr>
          <w:i/>
        </w:rPr>
        <w:t xml:space="preserve">s                            </w:t>
      </w:r>
      <w:proofErr w:type="gramStart"/>
      <w:r>
        <w:rPr>
          <w:i/>
        </w:rPr>
        <w:t xml:space="preserve">  </w:t>
      </w:r>
      <w:r w:rsidR="00111621">
        <w:rPr>
          <w:i/>
        </w:rPr>
        <w:t>:</w:t>
      </w:r>
      <w:proofErr w:type="gramEnd"/>
      <w:r w:rsidR="00111621">
        <w:rPr>
          <w:i/>
        </w:rPr>
        <w:t xml:space="preserve"> </w:t>
      </w:r>
      <w:proofErr w:type="spellStart"/>
      <w:r w:rsidR="00111621" w:rsidRPr="00EC5558">
        <w:t>Meenakshi</w:t>
      </w:r>
      <w:proofErr w:type="spellEnd"/>
      <w:r w:rsidR="00111621" w:rsidRPr="00EC5558">
        <w:t xml:space="preserve"> V</w:t>
      </w:r>
      <w:r w:rsidRPr="00EC5558">
        <w:t xml:space="preserve">, </w:t>
      </w:r>
      <w:proofErr w:type="spellStart"/>
      <w:r w:rsidR="00D04FB3" w:rsidRPr="00EC5558">
        <w:t>Aravinda</w:t>
      </w:r>
      <w:proofErr w:type="spellEnd"/>
      <w:r w:rsidR="00D04FB3" w:rsidRPr="00EC5558">
        <w:t xml:space="preserve"> N. </w:t>
      </w:r>
      <w:proofErr w:type="spellStart"/>
      <w:r w:rsidR="00D04FB3" w:rsidRPr="00EC5558">
        <w:t>Raghavan</w:t>
      </w:r>
      <w:proofErr w:type="spellEnd"/>
      <w:r w:rsidR="00D04FB3" w:rsidRPr="00EC5558">
        <w:t xml:space="preserve">, </w:t>
      </w:r>
      <w:proofErr w:type="spellStart"/>
      <w:r w:rsidR="00071DBC" w:rsidRPr="00EC5558">
        <w:t>Aiswarya</w:t>
      </w:r>
      <w:proofErr w:type="spellEnd"/>
      <w:r w:rsidR="00071DBC" w:rsidRPr="00EC5558">
        <w:t xml:space="preserve"> N. M., </w:t>
      </w:r>
      <w:proofErr w:type="spellStart"/>
      <w:r w:rsidR="00071DBC" w:rsidRPr="00EC5558">
        <w:t>Hiwase</w:t>
      </w:r>
      <w:proofErr w:type="spellEnd"/>
      <w:r w:rsidR="00071DBC" w:rsidRPr="00EC5558">
        <w:t xml:space="preserve">  </w:t>
      </w:r>
    </w:p>
    <w:p w:rsidR="00AD25E1" w:rsidRPr="00EC5558" w:rsidRDefault="00071DBC">
      <w:r w:rsidRPr="00EC5558">
        <w:t xml:space="preserve">                                                  </w:t>
      </w:r>
      <w:proofErr w:type="spellStart"/>
      <w:r w:rsidRPr="00EC5558">
        <w:t>Prajakta</w:t>
      </w:r>
      <w:proofErr w:type="spellEnd"/>
      <w:r w:rsidRPr="00EC5558">
        <w:t xml:space="preserve"> </w:t>
      </w:r>
      <w:proofErr w:type="spellStart"/>
      <w:r w:rsidRPr="00EC5558">
        <w:t>Mohanrao</w:t>
      </w:r>
      <w:proofErr w:type="spellEnd"/>
    </w:p>
    <w:p w:rsidR="004112B5" w:rsidRDefault="004112B5"/>
    <w:p w:rsidR="00AD25E1" w:rsidRPr="00EC5558" w:rsidRDefault="00AD25E1" w:rsidP="00EC5558">
      <w:pPr>
        <w:rPr>
          <w:b/>
          <w:bCs/>
        </w:rPr>
      </w:pPr>
      <w:r w:rsidRPr="00EC5558">
        <w:rPr>
          <w:b/>
          <w:bCs/>
        </w:rPr>
        <w:t>Scope and Objective of the Course:</w:t>
      </w:r>
    </w:p>
    <w:p w:rsidR="00EC5558" w:rsidRDefault="00EC5558" w:rsidP="00EC5558">
      <w:pPr>
        <w:spacing w:line="276" w:lineRule="auto"/>
        <w:rPr>
          <w:bCs/>
        </w:rPr>
      </w:pPr>
    </w:p>
    <w:p w:rsidR="00E76E8B" w:rsidRPr="00570EDB" w:rsidRDefault="000A4E11" w:rsidP="00EC5558">
      <w:pPr>
        <w:spacing w:line="276" w:lineRule="auto"/>
        <w:rPr>
          <w:bCs/>
        </w:rPr>
      </w:pPr>
      <w:r>
        <w:rPr>
          <w:bCs/>
        </w:rPr>
        <w:t>Modern physics is defined as post-Newtonian physics, which unraveled towards the end of the 19</w:t>
      </w:r>
      <w:r w:rsidRPr="000A4E11">
        <w:rPr>
          <w:bCs/>
          <w:vertAlign w:val="superscript"/>
        </w:rPr>
        <w:t>th</w:t>
      </w:r>
      <w:r w:rsidR="00317F57">
        <w:rPr>
          <w:bCs/>
        </w:rPr>
        <w:t xml:space="preserve"> century. A series of experiments sparked and confirmed the quantum nature of light, and matter. In this lab, students will perform some of those experiments. Th</w:t>
      </w:r>
      <w:r w:rsidR="00570EDB">
        <w:rPr>
          <w:bCs/>
        </w:rPr>
        <w:t>e student will apply the experimental skills learnt in the previous labs which includes collecting reproducible data, estimating errors, to synthesize and analyze non-trivial data arising in these experiments.</w:t>
      </w:r>
    </w:p>
    <w:p w:rsidR="00EC5558" w:rsidRDefault="00EC5558" w:rsidP="00EC5558">
      <w:pPr>
        <w:pStyle w:val="Heading1"/>
        <w:tabs>
          <w:tab w:val="left" w:pos="90"/>
        </w:tabs>
        <w:spacing w:after="200" w:line="276" w:lineRule="auto"/>
        <w:jc w:val="both"/>
        <w:rPr>
          <w:b/>
          <w:u w:val="none"/>
        </w:rPr>
      </w:pPr>
    </w:p>
    <w:p w:rsidR="004136BE" w:rsidRDefault="00A95CB6" w:rsidP="00EC5558">
      <w:pPr>
        <w:pStyle w:val="Heading1"/>
        <w:tabs>
          <w:tab w:val="left" w:pos="90"/>
        </w:tabs>
        <w:spacing w:after="200" w:line="276" w:lineRule="auto"/>
        <w:jc w:val="both"/>
        <w:rPr>
          <w:b/>
          <w:u w:val="none"/>
        </w:rPr>
      </w:pPr>
      <w:r w:rsidRPr="00A95CB6">
        <w:rPr>
          <w:b/>
          <w:u w:val="none"/>
        </w:rPr>
        <w:t>Lectures and Experimental Notes</w:t>
      </w:r>
    </w:p>
    <w:p w:rsidR="00A95CB6" w:rsidRPr="004136BE" w:rsidRDefault="00A95CB6" w:rsidP="00570EDB">
      <w:pPr>
        <w:pStyle w:val="Heading1"/>
        <w:tabs>
          <w:tab w:val="left" w:pos="90"/>
        </w:tabs>
        <w:spacing w:after="200" w:line="276" w:lineRule="auto"/>
        <w:ind w:left="90"/>
        <w:jc w:val="both"/>
        <w:rPr>
          <w:b/>
          <w:u w:val="none"/>
        </w:rPr>
      </w:pPr>
      <w:r w:rsidRPr="00A95CB6">
        <w:rPr>
          <w:u w:val="none"/>
        </w:rPr>
        <w:t xml:space="preserve">Introductory </w:t>
      </w:r>
      <w:r w:rsidR="000B32F9">
        <w:rPr>
          <w:u w:val="none"/>
        </w:rPr>
        <w:t xml:space="preserve">notes </w:t>
      </w:r>
      <w:r w:rsidRPr="00A95CB6">
        <w:rPr>
          <w:u w:val="none"/>
        </w:rPr>
        <w:t>will be giv</w:t>
      </w:r>
      <w:r w:rsidR="000B32F9">
        <w:rPr>
          <w:u w:val="none"/>
        </w:rPr>
        <w:t>en for the experiments and Instrument manual for</w:t>
      </w:r>
      <w:r w:rsidRPr="00A95CB6">
        <w:rPr>
          <w:u w:val="none"/>
        </w:rPr>
        <w:t xml:space="preserve"> the experiments will be uploaded on </w:t>
      </w:r>
      <w:r w:rsidR="00870613">
        <w:rPr>
          <w:i/>
          <w:u w:val="none"/>
        </w:rPr>
        <w:t>CANVAS</w:t>
      </w:r>
      <w:r w:rsidR="009A098C">
        <w:rPr>
          <w:u w:val="none"/>
        </w:rPr>
        <w:t>.</w:t>
      </w:r>
      <w:r w:rsidR="00046F28">
        <w:rPr>
          <w:u w:val="none"/>
        </w:rPr>
        <w:t xml:space="preserve"> It is mandatory to read the material related to your experiment before you come to the lab.</w:t>
      </w:r>
    </w:p>
    <w:p w:rsidR="00A95CB6" w:rsidRPr="00570EDB" w:rsidRDefault="00A95CB6" w:rsidP="00EC5558">
      <w:pPr>
        <w:pStyle w:val="Heading1"/>
        <w:jc w:val="both"/>
        <w:rPr>
          <w:b/>
          <w:u w:val="none"/>
        </w:rPr>
      </w:pPr>
      <w:r w:rsidRPr="00570EDB">
        <w:rPr>
          <w:b/>
          <w:u w:val="none"/>
        </w:rPr>
        <w:t>List of Experiments</w:t>
      </w:r>
    </w:p>
    <w:tbl>
      <w:tblPr>
        <w:tblpPr w:leftFromText="180" w:rightFromText="180" w:vertAnchor="text" w:horzAnchor="page" w:tblpX="1609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940"/>
        <w:gridCol w:w="4599"/>
      </w:tblGrid>
      <w:tr w:rsidR="00EC5558" w:rsidTr="00EC5558">
        <w:trPr>
          <w:trHeight w:val="188"/>
        </w:trPr>
        <w:tc>
          <w:tcPr>
            <w:tcW w:w="1350" w:type="dxa"/>
            <w:gridSpan w:val="2"/>
          </w:tcPr>
          <w:p w:rsidR="00EC5558" w:rsidRDefault="00EC5558" w:rsidP="00EC555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599" w:type="dxa"/>
          </w:tcPr>
          <w:p w:rsidR="00EC5558" w:rsidRDefault="00EC5558" w:rsidP="00EC5558">
            <w:r>
              <w:t>Experiment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1.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ind w:left="0"/>
            </w:pPr>
            <w:r>
              <w:t>Photoelectric effect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Pr="006E637A" w:rsidRDefault="00EC5558" w:rsidP="00EC5558">
            <w:pPr>
              <w:tabs>
                <w:tab w:val="left" w:pos="182"/>
              </w:tabs>
            </w:pPr>
            <w:r>
              <w:t>2.</w:t>
            </w:r>
          </w:p>
        </w:tc>
        <w:tc>
          <w:tcPr>
            <w:tcW w:w="4599" w:type="dxa"/>
          </w:tcPr>
          <w:p w:rsidR="00EC5558" w:rsidRPr="00B36919" w:rsidRDefault="00EC5558" w:rsidP="00EC5558">
            <w:pPr>
              <w:pStyle w:val="ListParagraph"/>
              <w:ind w:left="0"/>
            </w:pPr>
            <w:r>
              <w:t>Frank Hertz experiment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Pr="006E637A" w:rsidRDefault="00EC5558" w:rsidP="00EC5558">
            <w:pPr>
              <w:tabs>
                <w:tab w:val="left" w:pos="182"/>
              </w:tabs>
            </w:pPr>
            <w:r>
              <w:t>3.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widowControl w:val="0"/>
              <w:ind w:left="0"/>
            </w:pPr>
            <w:r>
              <w:t>Millikan Oil drop experiment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4.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widowControl w:val="0"/>
              <w:ind w:left="0"/>
            </w:pPr>
            <w:r>
              <w:t>Zeeman effect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5.</w:t>
            </w:r>
          </w:p>
        </w:tc>
        <w:tc>
          <w:tcPr>
            <w:tcW w:w="4599" w:type="dxa"/>
          </w:tcPr>
          <w:p w:rsidR="00EC5558" w:rsidRPr="00B36919" w:rsidRDefault="00EC5558" w:rsidP="00EC5558">
            <w:pPr>
              <w:pStyle w:val="ListParagraph"/>
              <w:widowControl w:val="0"/>
              <w:ind w:left="0"/>
            </w:pPr>
            <w:r>
              <w:t>e/m ratio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6.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widowControl w:val="0"/>
              <w:ind w:left="0"/>
            </w:pPr>
            <w:r>
              <w:t>Geiger-Muller Counter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7.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widowControl w:val="0"/>
              <w:ind w:left="0"/>
            </w:pPr>
            <w:proofErr w:type="spellStart"/>
            <w:r>
              <w:t>Quincke’s</w:t>
            </w:r>
            <w:proofErr w:type="spellEnd"/>
            <w:r>
              <w:t xml:space="preserve"> tube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8.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widowControl w:val="0"/>
              <w:ind w:left="0"/>
            </w:pPr>
            <w:r>
              <w:t xml:space="preserve">Electron Spin Resonance and Nuclear Magnetic resonance </w:t>
            </w:r>
          </w:p>
        </w:tc>
      </w:tr>
      <w:tr w:rsidR="00EC5558" w:rsidTr="00EC5558">
        <w:trPr>
          <w:cantSplit/>
        </w:trPr>
        <w:tc>
          <w:tcPr>
            <w:tcW w:w="410" w:type="dxa"/>
            <w:tcBorders>
              <w:righ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EC5558" w:rsidRDefault="00EC5558" w:rsidP="00EC5558">
            <w:pPr>
              <w:tabs>
                <w:tab w:val="left" w:pos="182"/>
              </w:tabs>
            </w:pPr>
            <w:r>
              <w:t>9.</w:t>
            </w:r>
          </w:p>
        </w:tc>
        <w:tc>
          <w:tcPr>
            <w:tcW w:w="4599" w:type="dxa"/>
          </w:tcPr>
          <w:p w:rsidR="00EC5558" w:rsidRDefault="00EC5558" w:rsidP="00EC5558">
            <w:pPr>
              <w:pStyle w:val="ListParagraph"/>
              <w:widowControl w:val="0"/>
              <w:ind w:left="0"/>
            </w:pPr>
            <w:r>
              <w:t>Optional: Transverse Electromagnetic Modes in a Laser Cavity and  Chaotic dynamics</w:t>
            </w:r>
          </w:p>
        </w:tc>
      </w:tr>
    </w:tbl>
    <w:p w:rsidR="00A4657D" w:rsidRDefault="00A4657D" w:rsidP="00A4657D"/>
    <w:p w:rsidR="00A4657D" w:rsidRPr="00A4657D" w:rsidRDefault="00A4657D" w:rsidP="00A4657D"/>
    <w:p w:rsidR="00AD25E1" w:rsidRDefault="00AD25E1">
      <w:pPr>
        <w:pStyle w:val="BodyText"/>
      </w:pPr>
    </w:p>
    <w:p w:rsidR="00AD25E1" w:rsidRDefault="00AD25E1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EC5558" w:rsidRDefault="00EC5558">
      <w:pPr>
        <w:jc w:val="both"/>
        <w:rPr>
          <w:b/>
          <w:bCs/>
        </w:rPr>
      </w:pPr>
    </w:p>
    <w:p w:rsidR="00AD25E1" w:rsidRDefault="00EC5558">
      <w:pPr>
        <w:jc w:val="both"/>
        <w:rPr>
          <w:b/>
          <w:bCs/>
        </w:rPr>
      </w:pPr>
      <w:r>
        <w:rPr>
          <w:b/>
          <w:bCs/>
        </w:rPr>
        <w:t>Evaluation Scheme</w:t>
      </w:r>
    </w:p>
    <w:p w:rsidR="00EC5558" w:rsidRDefault="00EC5558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785"/>
        <w:gridCol w:w="1440"/>
        <w:gridCol w:w="2408"/>
        <w:gridCol w:w="1764"/>
      </w:tblGrid>
      <w:tr w:rsidR="00DE3D84" w:rsidTr="00EC5558">
        <w:trPr>
          <w:trHeight w:val="42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0B32F9" w:rsidTr="00EC5558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Default="00EC5558" w:rsidP="00AE2FF2">
            <w:r>
              <w:t>Pre Lab Quiz</w:t>
            </w:r>
          </w:p>
          <w:p w:rsidR="00EC5558" w:rsidRDefault="00EC5558" w:rsidP="00AE2FF2">
            <w:r>
              <w:t>(Understanding physical theories behind the experiments)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Default="000B32F9" w:rsidP="00A95209">
            <w: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Default="000B32F9" w:rsidP="00AE2FF2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Default="000B32F9" w:rsidP="00AE2FF2">
            <w:pPr>
              <w:jc w:val="center"/>
            </w:pPr>
            <w: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Default="000B32F9" w:rsidP="00AE2FF2">
            <w:pPr>
              <w:jc w:val="both"/>
            </w:pPr>
            <w:r>
              <w:t>Closed Book</w:t>
            </w:r>
          </w:p>
        </w:tc>
      </w:tr>
      <w:tr w:rsidR="00A95CB6" w:rsidTr="00EC5558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0B32F9" w:rsidP="00AE2FF2">
            <w:r>
              <w:t>Experiment data collection (</w:t>
            </w:r>
            <w:r w:rsidRPr="00EC5558">
              <w:rPr>
                <w:i/>
              </w:rPr>
              <w:t>Individual</w:t>
            </w:r>
            <w:r>
              <w:t xml:space="preserve">) and </w:t>
            </w:r>
            <w:r w:rsidR="00293BE5">
              <w:t>Original lab report in the prescribed format, and attendance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9520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0B32F9" w:rsidP="00AE2FF2">
            <w:pPr>
              <w:jc w:val="center"/>
            </w:pPr>
            <w:r>
              <w:t>7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484067" w:rsidP="00AE2FF2">
            <w:pPr>
              <w:jc w:val="center"/>
            </w:pPr>
            <w:r>
              <w:t>Second session of e</w:t>
            </w:r>
            <w:r w:rsidR="00B7040C">
              <w:t>very experiment</w:t>
            </w:r>
            <w:r w:rsidR="000B12C9">
              <w:t xml:space="preserve"> within the announced deadline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F412FB" w:rsidP="00AE2FF2">
            <w:pPr>
              <w:jc w:val="both"/>
            </w:pPr>
            <w:r>
              <w:t>Open Book</w:t>
            </w:r>
          </w:p>
        </w:tc>
      </w:tr>
      <w:tr w:rsidR="00E515AE" w:rsidTr="00EC5558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0B32F9" w:rsidP="00AE2FF2">
            <w:r>
              <w:t xml:space="preserve">Post Lab </w:t>
            </w:r>
            <w:r w:rsidR="00E515AE">
              <w:t>Quiz</w:t>
            </w:r>
          </w:p>
          <w:p w:rsidR="00EC5558" w:rsidRDefault="00EC5558" w:rsidP="00AE2FF2">
            <w:r>
              <w:t>(Understanding theory, experimentation, analysis)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center"/>
            </w:pPr>
            <w: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0B32F9" w:rsidP="00AE2FF2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E515AE" w:rsidP="00AE2FF2">
            <w:pPr>
              <w:jc w:val="center"/>
            </w:pPr>
            <w: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Default="000B32F9" w:rsidP="00AE2FF2">
            <w:pPr>
              <w:jc w:val="both"/>
            </w:pPr>
            <w:r>
              <w:t>Closed B</w:t>
            </w:r>
            <w:r w:rsidR="00E515AE">
              <w:t>ook</w:t>
            </w:r>
          </w:p>
        </w:tc>
      </w:tr>
    </w:tbl>
    <w:p w:rsidR="00AD25E1" w:rsidRDefault="00AD25E1">
      <w:pPr>
        <w:jc w:val="both"/>
      </w:pPr>
    </w:p>
    <w:p w:rsidR="00AD25E1" w:rsidRDefault="00AD25E1" w:rsidP="00962580">
      <w:pPr>
        <w:ind w:left="360" w:firstLine="360"/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0438FF">
        <w:t>To be announced in class.</w:t>
      </w:r>
    </w:p>
    <w:p w:rsidR="00AD25E1" w:rsidRDefault="00AD25E1">
      <w:pPr>
        <w:jc w:val="both"/>
      </w:pPr>
    </w:p>
    <w:p w:rsidR="000438FF" w:rsidRDefault="00AD25E1" w:rsidP="000438FF">
      <w:pPr>
        <w:ind w:left="720"/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438FF">
        <w:t>All notices concerning this course will</w:t>
      </w:r>
      <w:r w:rsidR="000B32F9">
        <w:t xml:space="preserve"> be displayed in CANVAS.</w:t>
      </w:r>
    </w:p>
    <w:p w:rsidR="00653B1C" w:rsidRDefault="00653B1C" w:rsidP="00653B1C">
      <w:pPr>
        <w:spacing w:line="360" w:lineRule="auto"/>
        <w:rPr>
          <w:b/>
        </w:rPr>
      </w:pPr>
    </w:p>
    <w:p w:rsidR="00653B1C" w:rsidRDefault="00A44798" w:rsidP="00653B1C">
      <w:pPr>
        <w:spacing w:line="360" w:lineRule="auto"/>
        <w:ind w:firstLine="720"/>
      </w:pPr>
      <w:r w:rsidRPr="00653B1C">
        <w:rPr>
          <w:b/>
        </w:rPr>
        <w:t>Make-up Policy:</w:t>
      </w:r>
      <w:r w:rsidR="000438FF" w:rsidRPr="000438FF">
        <w:t xml:space="preserve"> </w:t>
      </w:r>
      <w:r w:rsidR="000438FF" w:rsidRPr="0040019D">
        <w:t>It is appli</w:t>
      </w:r>
      <w:r w:rsidR="00221673">
        <w:t>cable to the following case</w:t>
      </w:r>
      <w:r w:rsidR="000438FF" w:rsidRPr="0040019D">
        <w:t xml:space="preserve"> and it is permissible on pr</w:t>
      </w:r>
      <w:r w:rsidR="001E2AC6">
        <w:t xml:space="preserve">oduction of evidential </w:t>
      </w:r>
    </w:p>
    <w:p w:rsidR="000438FF" w:rsidRPr="0040019D" w:rsidRDefault="000B32F9" w:rsidP="00420D70">
      <w:pPr>
        <w:pStyle w:val="ListParagraph"/>
        <w:numPr>
          <w:ilvl w:val="0"/>
          <w:numId w:val="10"/>
        </w:numPr>
        <w:spacing w:line="360" w:lineRule="auto"/>
      </w:pPr>
      <w:r>
        <w:t>D</w:t>
      </w:r>
      <w:r w:rsidR="001E2AC6">
        <w:t>ocuments</w:t>
      </w:r>
      <w:r>
        <w:t xml:space="preserve"> prior to the lab</w:t>
      </w:r>
      <w:r w:rsidR="000438FF" w:rsidRPr="0040019D">
        <w:t>.</w:t>
      </w:r>
      <w:r w:rsidR="000438FF" w:rsidRPr="00420D70">
        <w:rPr>
          <w:b/>
          <w:bCs/>
        </w:rPr>
        <w:t xml:space="preserve"> </w:t>
      </w:r>
    </w:p>
    <w:p w:rsidR="000438FF" w:rsidRDefault="000438FF" w:rsidP="00420D70">
      <w:pPr>
        <w:pStyle w:val="ListParagraph"/>
        <w:numPr>
          <w:ilvl w:val="0"/>
          <w:numId w:val="10"/>
        </w:numPr>
        <w:spacing w:line="360" w:lineRule="auto"/>
      </w:pPr>
      <w:r w:rsidRPr="00420D70">
        <w:rPr>
          <w:bCs/>
        </w:rPr>
        <w:t>Debilitating ill</w:t>
      </w:r>
      <w:r w:rsidRPr="00A72DAF">
        <w:t>ness.</w:t>
      </w:r>
    </w:p>
    <w:p w:rsidR="00653B1C" w:rsidRPr="00A72DAF" w:rsidRDefault="00653B1C" w:rsidP="000438FF">
      <w:pPr>
        <w:spacing w:line="360" w:lineRule="auto"/>
        <w:rPr>
          <w:b/>
          <w:bCs/>
        </w:rPr>
      </w:pPr>
    </w:p>
    <w:p w:rsidR="001B06BC" w:rsidRPr="00AD28AB" w:rsidRDefault="001B06BC" w:rsidP="001B06BC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bookmarkStart w:id="0" w:name="_GoBack"/>
      <w:bookmarkEnd w:id="0"/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1B06BC" w:rsidRPr="00AD28AB" w:rsidRDefault="001B06BC" w:rsidP="001B06BC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1B06BC" w:rsidRPr="00AD28AB" w:rsidRDefault="001B06BC" w:rsidP="001B06B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962580" w:rsidRDefault="00962580" w:rsidP="00962580">
      <w:pPr>
        <w:ind w:left="360"/>
        <w:jc w:val="both"/>
      </w:pPr>
    </w:p>
    <w:p w:rsidR="00AD25E1" w:rsidRDefault="00AD25E1">
      <w:pPr>
        <w:jc w:val="right"/>
      </w:pPr>
    </w:p>
    <w:p w:rsidR="00A95209" w:rsidRDefault="00A95209" w:rsidP="00A95209">
      <w:pPr>
        <w:jc w:val="right"/>
        <w:rPr>
          <w:b/>
          <w:bCs/>
        </w:rPr>
      </w:pPr>
      <w:r>
        <w:rPr>
          <w:b/>
          <w:bCs/>
        </w:rPr>
        <w:t xml:space="preserve">   </w:t>
      </w:r>
    </w:p>
    <w:p w:rsidR="004B6541" w:rsidRDefault="00A95209" w:rsidP="00A95209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INSTRUCTORS</w:t>
      </w:r>
    </w:p>
    <w:p w:rsidR="004B6541" w:rsidRDefault="004B6541" w:rsidP="004B65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="00EC5558">
        <w:rPr>
          <w:b/>
          <w:bCs/>
        </w:rPr>
        <w:t>PHY F244</w:t>
      </w:r>
    </w:p>
    <w:sectPr w:rsidR="004B654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3F" w:rsidRDefault="0058153F" w:rsidP="00EB2F06">
      <w:r>
        <w:separator/>
      </w:r>
    </w:p>
  </w:endnote>
  <w:endnote w:type="continuationSeparator" w:id="0">
    <w:p w:rsidR="0058153F" w:rsidRDefault="0058153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3F" w:rsidRDefault="0058153F" w:rsidP="00EB2F06">
      <w:r>
        <w:separator/>
      </w:r>
    </w:p>
  </w:footnote>
  <w:footnote w:type="continuationSeparator" w:id="0">
    <w:p w:rsidR="0058153F" w:rsidRDefault="0058153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9A3"/>
    <w:multiLevelType w:val="hybridMultilevel"/>
    <w:tmpl w:val="A1CE0954"/>
    <w:lvl w:ilvl="0" w:tplc="4C0AA3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DD0AA3"/>
    <w:multiLevelType w:val="hybridMultilevel"/>
    <w:tmpl w:val="4BFC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23F09"/>
    <w:multiLevelType w:val="hybridMultilevel"/>
    <w:tmpl w:val="1E48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20DA"/>
    <w:rsid w:val="00027917"/>
    <w:rsid w:val="00041C36"/>
    <w:rsid w:val="000438FF"/>
    <w:rsid w:val="00043AE5"/>
    <w:rsid w:val="00046F28"/>
    <w:rsid w:val="00055BC8"/>
    <w:rsid w:val="00071DBC"/>
    <w:rsid w:val="000A4CE9"/>
    <w:rsid w:val="000A4E11"/>
    <w:rsid w:val="000B12C9"/>
    <w:rsid w:val="000B32F9"/>
    <w:rsid w:val="000D0C39"/>
    <w:rsid w:val="00101C70"/>
    <w:rsid w:val="00111621"/>
    <w:rsid w:val="00167A3C"/>
    <w:rsid w:val="00167B88"/>
    <w:rsid w:val="00173847"/>
    <w:rsid w:val="00177878"/>
    <w:rsid w:val="001A1637"/>
    <w:rsid w:val="001B06BC"/>
    <w:rsid w:val="001E2AC6"/>
    <w:rsid w:val="0021277E"/>
    <w:rsid w:val="00217EB9"/>
    <w:rsid w:val="00221673"/>
    <w:rsid w:val="00240A50"/>
    <w:rsid w:val="00251FD3"/>
    <w:rsid w:val="00256511"/>
    <w:rsid w:val="00271577"/>
    <w:rsid w:val="002775CB"/>
    <w:rsid w:val="00293BE5"/>
    <w:rsid w:val="0029648E"/>
    <w:rsid w:val="002D2A3F"/>
    <w:rsid w:val="002F1369"/>
    <w:rsid w:val="00317F57"/>
    <w:rsid w:val="003558C3"/>
    <w:rsid w:val="003D2375"/>
    <w:rsid w:val="003D6BA8"/>
    <w:rsid w:val="003E5975"/>
    <w:rsid w:val="003F66A8"/>
    <w:rsid w:val="004112B5"/>
    <w:rsid w:val="004136BE"/>
    <w:rsid w:val="00420D70"/>
    <w:rsid w:val="00433034"/>
    <w:rsid w:val="004459E5"/>
    <w:rsid w:val="004571B3"/>
    <w:rsid w:val="00484067"/>
    <w:rsid w:val="004B6541"/>
    <w:rsid w:val="004D7932"/>
    <w:rsid w:val="00507883"/>
    <w:rsid w:val="00507A43"/>
    <w:rsid w:val="00510FAB"/>
    <w:rsid w:val="00512C12"/>
    <w:rsid w:val="0051535D"/>
    <w:rsid w:val="0054795A"/>
    <w:rsid w:val="00562598"/>
    <w:rsid w:val="00562AB6"/>
    <w:rsid w:val="00570EDB"/>
    <w:rsid w:val="00576A69"/>
    <w:rsid w:val="0058153F"/>
    <w:rsid w:val="005A77FE"/>
    <w:rsid w:val="005C5B22"/>
    <w:rsid w:val="005C6693"/>
    <w:rsid w:val="00615639"/>
    <w:rsid w:val="00645F24"/>
    <w:rsid w:val="0065172A"/>
    <w:rsid w:val="00653B1C"/>
    <w:rsid w:val="00670BDE"/>
    <w:rsid w:val="00687FDB"/>
    <w:rsid w:val="006B057A"/>
    <w:rsid w:val="006F730C"/>
    <w:rsid w:val="00704B71"/>
    <w:rsid w:val="007460C6"/>
    <w:rsid w:val="007543E4"/>
    <w:rsid w:val="00776D39"/>
    <w:rsid w:val="007D1796"/>
    <w:rsid w:val="007D58BE"/>
    <w:rsid w:val="007E402E"/>
    <w:rsid w:val="008005D9"/>
    <w:rsid w:val="00831DD5"/>
    <w:rsid w:val="00834714"/>
    <w:rsid w:val="00860C19"/>
    <w:rsid w:val="00870613"/>
    <w:rsid w:val="008A2200"/>
    <w:rsid w:val="00950794"/>
    <w:rsid w:val="00962580"/>
    <w:rsid w:val="0097488C"/>
    <w:rsid w:val="0097490E"/>
    <w:rsid w:val="00983916"/>
    <w:rsid w:val="00986812"/>
    <w:rsid w:val="00992723"/>
    <w:rsid w:val="009946D1"/>
    <w:rsid w:val="009A098C"/>
    <w:rsid w:val="009A4832"/>
    <w:rsid w:val="009B48FD"/>
    <w:rsid w:val="00A07504"/>
    <w:rsid w:val="00A07892"/>
    <w:rsid w:val="00A44798"/>
    <w:rsid w:val="00A4657D"/>
    <w:rsid w:val="00A946C5"/>
    <w:rsid w:val="00A95209"/>
    <w:rsid w:val="00A95CB6"/>
    <w:rsid w:val="00A95EB7"/>
    <w:rsid w:val="00AD25E1"/>
    <w:rsid w:val="00AD78EB"/>
    <w:rsid w:val="00AF125F"/>
    <w:rsid w:val="00B117D8"/>
    <w:rsid w:val="00B23878"/>
    <w:rsid w:val="00B242F0"/>
    <w:rsid w:val="00B27DB2"/>
    <w:rsid w:val="00B55284"/>
    <w:rsid w:val="00B64B4F"/>
    <w:rsid w:val="00B7040C"/>
    <w:rsid w:val="00B86684"/>
    <w:rsid w:val="00BA568D"/>
    <w:rsid w:val="00BC24F3"/>
    <w:rsid w:val="00C338D9"/>
    <w:rsid w:val="00C51AEF"/>
    <w:rsid w:val="00C56D1B"/>
    <w:rsid w:val="00C6663B"/>
    <w:rsid w:val="00CA7592"/>
    <w:rsid w:val="00CC01A7"/>
    <w:rsid w:val="00CD281A"/>
    <w:rsid w:val="00CF21AC"/>
    <w:rsid w:val="00D036CE"/>
    <w:rsid w:val="00D04FB3"/>
    <w:rsid w:val="00D07D00"/>
    <w:rsid w:val="00D7099F"/>
    <w:rsid w:val="00D80403"/>
    <w:rsid w:val="00D91434"/>
    <w:rsid w:val="00DA1841"/>
    <w:rsid w:val="00DA7B93"/>
    <w:rsid w:val="00DB7398"/>
    <w:rsid w:val="00DD7A77"/>
    <w:rsid w:val="00DE3D84"/>
    <w:rsid w:val="00DF0B78"/>
    <w:rsid w:val="00DF34E3"/>
    <w:rsid w:val="00E0387E"/>
    <w:rsid w:val="00E515AE"/>
    <w:rsid w:val="00E61C30"/>
    <w:rsid w:val="00E754E7"/>
    <w:rsid w:val="00E76E8B"/>
    <w:rsid w:val="00EA5579"/>
    <w:rsid w:val="00EB2F06"/>
    <w:rsid w:val="00EB7E1B"/>
    <w:rsid w:val="00EC5558"/>
    <w:rsid w:val="00ED0200"/>
    <w:rsid w:val="00F34A71"/>
    <w:rsid w:val="00F412FB"/>
    <w:rsid w:val="00F45E80"/>
    <w:rsid w:val="00F70F6A"/>
    <w:rsid w:val="00F74057"/>
    <w:rsid w:val="00FB32CA"/>
    <w:rsid w:val="00FB4DE4"/>
    <w:rsid w:val="00FD0480"/>
    <w:rsid w:val="00FD71C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286885"/>
  <w15:docId w15:val="{FD919D71-2C74-4024-A793-07E2E64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06B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1B06BC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2023-01-11T05:45:00Z</dcterms:created>
  <dcterms:modified xsi:type="dcterms:W3CDTF">2023-01-16T13:05:00Z</dcterms:modified>
</cp:coreProperties>
</file>