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70" w:rsidRDefault="00191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1E70" w:rsidRDefault="00B13829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1885" cy="101790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E70" w:rsidRDefault="00B13829">
      <w:pPr>
        <w:pStyle w:val="Heading2"/>
        <w:spacing w:before="0" w:after="0" w:line="36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FIRST SEMESTER 2022-2023</w:t>
      </w:r>
    </w:p>
    <w:p w:rsidR="00191E70" w:rsidRDefault="00B13829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Course Handout (Part II)</w:t>
      </w:r>
    </w:p>
    <w:p w:rsidR="00191E70" w:rsidRDefault="00B13829">
      <w:pPr>
        <w:spacing w:line="360" w:lineRule="auto"/>
        <w:jc w:val="right"/>
        <w:rPr>
          <w:b/>
        </w:rPr>
      </w:pPr>
      <w:r>
        <w:rPr>
          <w:b/>
        </w:rPr>
        <w:t>Date: 29</w:t>
      </w:r>
      <w:bookmarkStart w:id="1" w:name="_GoBack"/>
      <w:bookmarkEnd w:id="1"/>
      <w:r>
        <w:rPr>
          <w:b/>
        </w:rPr>
        <w:t>.08.2022</w:t>
      </w:r>
    </w:p>
    <w:p w:rsidR="00191E70" w:rsidRDefault="00B13829">
      <w:pPr>
        <w:spacing w:line="276" w:lineRule="auto"/>
        <w:jc w:val="both"/>
      </w:pPr>
      <w:r>
        <w:t xml:space="preserve">In addition to part I (General Handout for the course appends to the time table) this portion gives further specific details regarding course. </w:t>
      </w:r>
    </w:p>
    <w:p w:rsidR="00191E70" w:rsidRDefault="00191E70">
      <w:pPr>
        <w:spacing w:line="276" w:lineRule="auto"/>
        <w:jc w:val="both"/>
      </w:pPr>
    </w:p>
    <w:p w:rsidR="00191E70" w:rsidRDefault="00B13829">
      <w:pPr>
        <w:tabs>
          <w:tab w:val="left" w:pos="1440"/>
        </w:tabs>
        <w:spacing w:line="360" w:lineRule="auto"/>
        <w:jc w:val="both"/>
      </w:pPr>
      <w:r>
        <w:t xml:space="preserve">Course No.  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CE F313</w:t>
      </w:r>
      <w:r>
        <w:t xml:space="preserve"> </w:t>
      </w:r>
    </w:p>
    <w:p w:rsidR="00191E70" w:rsidRDefault="00B13829">
      <w:pPr>
        <w:tabs>
          <w:tab w:val="left" w:pos="1440"/>
        </w:tabs>
        <w:spacing w:line="360" w:lineRule="auto"/>
        <w:jc w:val="both"/>
        <w:rPr>
          <w:b/>
        </w:rPr>
      </w:pPr>
      <w:r>
        <w:t xml:space="preserve">Course Title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Foundation Engineering</w:t>
      </w:r>
    </w:p>
    <w:p w:rsidR="00191E70" w:rsidRDefault="00B13829">
      <w:pPr>
        <w:tabs>
          <w:tab w:val="left" w:pos="1440"/>
        </w:tabs>
        <w:spacing w:line="360" w:lineRule="auto"/>
        <w:jc w:val="both"/>
        <w:rPr>
          <w:b/>
        </w:rPr>
      </w:pPr>
      <w:r>
        <w:t>Instructor-in-charg</w:t>
      </w:r>
      <w:r>
        <w:t xml:space="preserve">e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 xml:space="preserve">Prof. </w:t>
      </w:r>
      <w:proofErr w:type="spellStart"/>
      <w:r>
        <w:rPr>
          <w:b/>
        </w:rPr>
        <w:t>Anasua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GuhaRay</w:t>
      </w:r>
      <w:proofErr w:type="spellEnd"/>
    </w:p>
    <w:p w:rsidR="00191E70" w:rsidRDefault="00B13829">
      <w:pPr>
        <w:jc w:val="both"/>
      </w:pPr>
      <w:r>
        <w:t xml:space="preserve">Instructor                   </w:t>
      </w:r>
      <w:proofErr w:type="gramStart"/>
      <w:r>
        <w:t xml:space="preserve">  :</w:t>
      </w:r>
      <w:proofErr w:type="gramEnd"/>
      <w:r>
        <w:t xml:space="preserve"> Prof. </w:t>
      </w:r>
      <w:proofErr w:type="spellStart"/>
      <w:r>
        <w:t>Anasua</w:t>
      </w:r>
      <w:proofErr w:type="spellEnd"/>
      <w:r>
        <w:t xml:space="preserve"> </w:t>
      </w:r>
      <w:proofErr w:type="spellStart"/>
      <w:r>
        <w:t>GuhaRay</w:t>
      </w:r>
      <w:proofErr w:type="spellEnd"/>
      <w:r>
        <w:t xml:space="preserve">, </w:t>
      </w:r>
      <w:proofErr w:type="spellStart"/>
      <w:r>
        <w:t>Ankur</w:t>
      </w:r>
      <w:proofErr w:type="spellEnd"/>
      <w:r>
        <w:t xml:space="preserve"> Abhishek</w:t>
      </w:r>
    </w:p>
    <w:p w:rsidR="00191E70" w:rsidRDefault="00191E70">
      <w:pPr>
        <w:jc w:val="both"/>
      </w:pPr>
    </w:p>
    <w:p w:rsidR="00191E70" w:rsidRDefault="00B13829">
      <w:pPr>
        <w:jc w:val="both"/>
      </w:pPr>
      <w:r>
        <w:rPr>
          <w:b/>
        </w:rPr>
        <w:t xml:space="preserve">Pre-requisite: </w:t>
      </w:r>
      <w:r>
        <w:t>Soil Mechanics</w:t>
      </w:r>
    </w:p>
    <w:p w:rsidR="00191E70" w:rsidRDefault="00191E70">
      <w:pPr>
        <w:jc w:val="both"/>
        <w:rPr>
          <w:b/>
        </w:rPr>
      </w:pPr>
    </w:p>
    <w:p w:rsidR="00191E70" w:rsidRDefault="00B13829">
      <w:pPr>
        <w:jc w:val="both"/>
        <w:rPr>
          <w:b/>
        </w:rPr>
      </w:pPr>
      <w:r>
        <w:rPr>
          <w:b/>
        </w:rPr>
        <w:t>Scope and Objectives of the Course:</w:t>
      </w:r>
    </w:p>
    <w:p w:rsidR="00191E70" w:rsidRDefault="00191E70">
      <w:pPr>
        <w:jc w:val="both"/>
        <w:rPr>
          <w:b/>
        </w:rPr>
      </w:pPr>
    </w:p>
    <w:p w:rsidR="00191E70" w:rsidRDefault="00B13829">
      <w:pPr>
        <w:jc w:val="both"/>
      </w:pPr>
      <w:r>
        <w:t>This course aims to provide an in-depth understanding of different types of foundations for buildings and bridges. Comprehensive geotechnical analysis of foundation systems (spread footing, combined footing, raft foundation, pile foundations, retaining str</w:t>
      </w:r>
      <w:r>
        <w:t xml:space="preserve">uctures, slopes etc.) will be covered under this course.  Special emphasis will be given on coverage of relevant code of practices for various types of foundations and retaining structures. </w:t>
      </w:r>
    </w:p>
    <w:p w:rsidR="00191E70" w:rsidRDefault="00191E70">
      <w:pPr>
        <w:jc w:val="both"/>
      </w:pPr>
    </w:p>
    <w:p w:rsidR="00191E70" w:rsidRDefault="00B13829">
      <w:pPr>
        <w:tabs>
          <w:tab w:val="left" w:pos="0"/>
        </w:tabs>
        <w:ind w:right="580"/>
        <w:jc w:val="both"/>
        <w:rPr>
          <w:b/>
        </w:rPr>
      </w:pPr>
      <w:r>
        <w:rPr>
          <w:b/>
        </w:rPr>
        <w:t>Course Outcomes:</w:t>
      </w:r>
      <w:r>
        <w:t xml:space="preserve"> At the end of this course, the students will de</w:t>
      </w:r>
      <w:r>
        <w:t>velop:</w:t>
      </w:r>
    </w:p>
    <w:p w:rsidR="00191E70" w:rsidRDefault="00191E70">
      <w:pPr>
        <w:tabs>
          <w:tab w:val="left" w:pos="540"/>
        </w:tabs>
        <w:ind w:left="540" w:right="580"/>
        <w:jc w:val="both"/>
      </w:pPr>
    </w:p>
    <w:p w:rsidR="00191E70" w:rsidRDefault="00B1382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rPr>
          <w:color w:val="000000"/>
        </w:rPr>
        <w:t>An ability to design retaining walls and slopes in different soil conditions.</w:t>
      </w:r>
    </w:p>
    <w:p w:rsidR="00191E70" w:rsidRDefault="00B1382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rPr>
          <w:color w:val="000000"/>
        </w:rPr>
        <w:t>An ability to determine bearing capacities of different types of soil based on different theories and design different types of shallow foundations for bearing and settle</w:t>
      </w:r>
      <w:r>
        <w:rPr>
          <w:color w:val="000000"/>
        </w:rPr>
        <w:t xml:space="preserve">ment. </w:t>
      </w:r>
    </w:p>
    <w:p w:rsidR="00191E70" w:rsidRDefault="00B1382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rPr>
          <w:color w:val="000000"/>
        </w:rPr>
        <w:t>An ability to design different types of deep foundations for bearing and settlement.</w:t>
      </w:r>
    </w:p>
    <w:p w:rsidR="00191E70" w:rsidRDefault="00B1382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rPr>
          <w:color w:val="000000"/>
        </w:rPr>
        <w:t>An ability to identify different ground improvement techniques for different types of soil and understand the basics of machine foundation and earthquake engineerin</w:t>
      </w:r>
      <w:r>
        <w:rPr>
          <w:color w:val="000000"/>
        </w:rPr>
        <w:t xml:space="preserve">g. </w:t>
      </w:r>
    </w:p>
    <w:p w:rsidR="00191E70" w:rsidRDefault="00191E70">
      <w:pPr>
        <w:jc w:val="both"/>
      </w:pPr>
    </w:p>
    <w:p w:rsidR="00191E70" w:rsidRDefault="00B1382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Student Learning Outcomes (SLOs) assessed in this course –</w:t>
      </w:r>
      <w:r>
        <w:rPr>
          <w:b/>
          <w:color w:val="000000"/>
        </w:rPr>
        <w:t xml:space="preserve"> (a), (e), (f), (j), (k).</w:t>
      </w:r>
    </w:p>
    <w:p w:rsidR="00191E70" w:rsidRDefault="00191E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91E70" w:rsidRDefault="00B1382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 Book</w:t>
      </w:r>
      <w:r>
        <w:rPr>
          <w:color w:val="000000"/>
        </w:rPr>
        <w:t xml:space="preserve">: </w:t>
      </w:r>
    </w:p>
    <w:p w:rsidR="00191E70" w:rsidRDefault="00B13829">
      <w:pPr>
        <w:ind w:left="720" w:hanging="720"/>
        <w:jc w:val="both"/>
      </w:pPr>
      <w:r>
        <w:lastRenderedPageBreak/>
        <w:t xml:space="preserve">T1. </w:t>
      </w:r>
      <w:r>
        <w:tab/>
      </w:r>
      <w:r>
        <w:t xml:space="preserve">Murthy, V. N. S. “Geotechnical Engineering: Principles and Practices of Soil Mechanics and Foundation Engineering”, Marcel Dekker Inc., Special Indian Edition, First Indian Reprint, 2013. </w:t>
      </w:r>
    </w:p>
    <w:p w:rsidR="00191E70" w:rsidRDefault="00191E70">
      <w:pPr>
        <w:spacing w:line="360" w:lineRule="auto"/>
        <w:jc w:val="both"/>
        <w:rPr>
          <w:b/>
        </w:rPr>
      </w:pPr>
    </w:p>
    <w:p w:rsidR="00191E70" w:rsidRDefault="00B13829">
      <w:pPr>
        <w:spacing w:line="360" w:lineRule="auto"/>
        <w:jc w:val="both"/>
        <w:rPr>
          <w:b/>
        </w:rPr>
      </w:pPr>
      <w:r>
        <w:rPr>
          <w:b/>
        </w:rPr>
        <w:t>Reference Books:</w:t>
      </w:r>
    </w:p>
    <w:p w:rsidR="00191E70" w:rsidRDefault="00B13829">
      <w:pPr>
        <w:ind w:left="450" w:hanging="450"/>
        <w:jc w:val="both"/>
      </w:pPr>
      <w:r>
        <w:t xml:space="preserve">R1. Gopal </w:t>
      </w:r>
      <w:proofErr w:type="spellStart"/>
      <w:r>
        <w:t>Ranjan</w:t>
      </w:r>
      <w:proofErr w:type="spellEnd"/>
      <w:r>
        <w:t xml:space="preserve"> and A. S. R. Rao, “Basic and App</w:t>
      </w:r>
      <w:r>
        <w:t>lied Soil Mechanics”, New Age International Publishers, 2</w:t>
      </w:r>
      <w:r>
        <w:rPr>
          <w:vertAlign w:val="superscript"/>
        </w:rPr>
        <w:t>nd</w:t>
      </w:r>
      <w:r>
        <w:t xml:space="preserve"> Edition, 2007.</w:t>
      </w:r>
    </w:p>
    <w:p w:rsidR="00191E70" w:rsidRDefault="00B13829">
      <w:pPr>
        <w:tabs>
          <w:tab w:val="left" w:pos="450"/>
        </w:tabs>
        <w:ind w:left="540" w:hanging="540"/>
        <w:jc w:val="both"/>
      </w:pPr>
      <w:r>
        <w:t xml:space="preserve">R2. </w:t>
      </w:r>
      <w:r>
        <w:tab/>
        <w:t>B.M. Das. Principles of Foundation Engineering. Cengage Learning, 7</w:t>
      </w:r>
      <w:r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>., 2010.</w:t>
      </w:r>
    </w:p>
    <w:p w:rsidR="00191E70" w:rsidRDefault="00B13829">
      <w:pPr>
        <w:tabs>
          <w:tab w:val="left" w:pos="450"/>
          <w:tab w:val="left" w:pos="1440"/>
        </w:tabs>
        <w:ind w:left="450" w:hanging="450"/>
        <w:jc w:val="both"/>
      </w:pPr>
      <w:r>
        <w:t xml:space="preserve">R3. </w:t>
      </w:r>
      <w:proofErr w:type="spellStart"/>
      <w:r>
        <w:t>Gulhati</w:t>
      </w:r>
      <w:proofErr w:type="spellEnd"/>
      <w:r>
        <w:t xml:space="preserve">, SK, and </w:t>
      </w:r>
      <w:proofErr w:type="spellStart"/>
      <w:r>
        <w:t>Datta</w:t>
      </w:r>
      <w:proofErr w:type="spellEnd"/>
      <w:r>
        <w:t>, M. “Geotechnical Engineering”, Tata McGraw-Hill Publishing Company</w:t>
      </w:r>
      <w:r>
        <w:t xml:space="preserve"> Ltd, 2005.</w:t>
      </w:r>
    </w:p>
    <w:p w:rsidR="00191E70" w:rsidRDefault="00B13829">
      <w:pPr>
        <w:ind w:left="540" w:hanging="540"/>
        <w:jc w:val="both"/>
      </w:pPr>
      <w:r>
        <w:t xml:space="preserve">R4. Saran, S. “Analysis and design of foundations and retaining structures subjected to seismic loads” I K Lee Publishers, 2012 </w:t>
      </w:r>
    </w:p>
    <w:p w:rsidR="00191E70" w:rsidRDefault="00B13829">
      <w:pPr>
        <w:spacing w:after="120" w:line="360" w:lineRule="auto"/>
        <w:jc w:val="both"/>
      </w:pPr>
      <w:r>
        <w:t xml:space="preserve">R5.   </w:t>
      </w:r>
      <w:hyperlink r:id="rId7">
        <w:proofErr w:type="spellStart"/>
        <w:r>
          <w:rPr>
            <w:color w:val="000000"/>
          </w:rPr>
          <w:t>Knappett</w:t>
        </w:r>
        <w:proofErr w:type="spellEnd"/>
      </w:hyperlink>
      <w:r>
        <w:t>, J., C</w:t>
      </w:r>
      <w:r>
        <w:t>raig, R.F. Craig's Soil Mechanics, Eighth Edition, CRC Press, 2012.</w:t>
      </w:r>
    </w:p>
    <w:p w:rsidR="00191E70" w:rsidRDefault="00191E70">
      <w:pPr>
        <w:spacing w:after="120" w:line="360" w:lineRule="auto"/>
        <w:jc w:val="both"/>
      </w:pPr>
    </w:p>
    <w:tbl>
      <w:tblPr>
        <w:tblStyle w:val="a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530"/>
        <w:gridCol w:w="3960"/>
        <w:gridCol w:w="1980"/>
        <w:gridCol w:w="1170"/>
      </w:tblGrid>
      <w:tr w:rsidR="00191E70">
        <w:trPr>
          <w:trHeight w:val="1178"/>
        </w:trPr>
        <w:tc>
          <w:tcPr>
            <w:tcW w:w="1188" w:type="dxa"/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No. of Lectures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Chapter in the Text Book / Reference Book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</w:t>
            </w:r>
          </w:p>
        </w:tc>
      </w:tr>
      <w:tr w:rsidR="00191E70">
        <w:trPr>
          <w:trHeight w:val="1007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1-5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Lateral Earth Pressures</w:t>
            </w:r>
          </w:p>
          <w:p w:rsidR="00191E70" w:rsidRDefault="00191E70"/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Analyze Lateral Earth Pressure (at Rest, Active and Passive) for </w:t>
            </w:r>
            <w:proofErr w:type="spellStart"/>
            <w:r>
              <w:rPr>
                <w:color w:val="000000"/>
              </w:rPr>
              <w:t>cohesionless</w:t>
            </w:r>
            <w:proofErr w:type="spellEnd"/>
            <w:r>
              <w:rPr>
                <w:color w:val="000000"/>
              </w:rPr>
              <w:t xml:space="preserve"> and cohesive soils</w:t>
            </w:r>
          </w:p>
          <w:p w:rsidR="00191E70" w:rsidRDefault="00B138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Determine earth pressure for submerged backfill, sloping backfill, backfill with surcharge, layered soil, tension crack by Rankine’s Theory</w:t>
            </w:r>
          </w:p>
          <w:p w:rsidR="00191E70" w:rsidRDefault="00B138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Determine deflectio</w:t>
            </w:r>
            <w:r>
              <w:rPr>
                <w:color w:val="000000"/>
              </w:rPr>
              <w:t>n of Retaining Wall</w:t>
            </w:r>
          </w:p>
          <w:p w:rsidR="00191E70" w:rsidRDefault="00B138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Calculate of earth pressures by Coulomb’s Wedge Theory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11, </w:t>
            </w:r>
          </w:p>
          <w:p w:rsidR="00191E70" w:rsidRDefault="00B13829">
            <w:pPr>
              <w:jc w:val="center"/>
            </w:pPr>
            <w:r>
              <w:t>IS: 1893 (Part 3)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</w:t>
            </w:r>
          </w:p>
        </w:tc>
      </w:tr>
      <w:tr w:rsidR="00191E70">
        <w:trPr>
          <w:trHeight w:val="62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6-9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Concrete and Mechanically Stabilized Earth Retaining Walls</w:t>
            </w:r>
          </w:p>
          <w:p w:rsidR="00191E70" w:rsidRDefault="00191E70">
            <w:pPr>
              <w:spacing w:after="120"/>
            </w:pP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proportioning of retaining walls: Gravity, Cantilever, Counterfort.</w:t>
            </w:r>
          </w:p>
          <w:p w:rsidR="00191E70" w:rsidRDefault="00B138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Design Unreinforced Retaining Walls: External Stability</w:t>
            </w:r>
          </w:p>
          <w:p w:rsidR="00191E70" w:rsidRDefault="00B138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Design Mechanically Stabilized Retaining Walls:  External and Internal Stability  </w:t>
            </w:r>
          </w:p>
          <w:p w:rsidR="00191E70" w:rsidRDefault="00B138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different Backfill and Reinforcing Materials (</w:t>
            </w:r>
            <w:proofErr w:type="spellStart"/>
            <w:r>
              <w:rPr>
                <w:color w:val="000000"/>
              </w:rPr>
              <w:t>Geosynthetics</w:t>
            </w:r>
            <w:proofErr w:type="spellEnd"/>
            <w:r>
              <w:rPr>
                <w:color w:val="000000"/>
              </w:rPr>
              <w:t>, Geotextiles etc.)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19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(e), (f)</w:t>
            </w:r>
          </w:p>
        </w:tc>
      </w:tr>
      <w:tr w:rsidR="00191E70">
        <w:trPr>
          <w:trHeight w:val="269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lastRenderedPageBreak/>
              <w:t>10-15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Shallow Foundations I: Ultimate Bearing Capacity</w:t>
            </w:r>
          </w:p>
          <w:p w:rsidR="00191E70" w:rsidRDefault="00191E70">
            <w:pPr>
              <w:spacing w:after="120"/>
            </w:pP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the requirements, location, depth of foundation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Study classification of shallow and deep foundations, isolated, strap and spread footings, 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the different terminology related to foundations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</w:t>
            </w:r>
            <w:r>
              <w:rPr>
                <w:color w:val="000000"/>
              </w:rPr>
              <w:t xml:space="preserve">y the principal modes of soil failure: general, local and punching shear failures, 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Design shallow foundations by </w:t>
            </w:r>
            <w:proofErr w:type="spellStart"/>
            <w:r>
              <w:rPr>
                <w:color w:val="000000"/>
              </w:rPr>
              <w:t>Terzaghi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Skempton</w:t>
            </w:r>
            <w:proofErr w:type="spellEnd"/>
            <w:r>
              <w:rPr>
                <w:color w:val="000000"/>
              </w:rPr>
              <w:t xml:space="preserve"> and Meyerhof’s Bearing Capacity Theory by introducing corrections for size, shape, depth, inclination, water table etc., ec</w:t>
            </w:r>
            <w:r>
              <w:rPr>
                <w:color w:val="000000"/>
              </w:rPr>
              <w:t>centric loading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Differentiate among bearing capacity theories by Hansen, </w:t>
            </w:r>
            <w:proofErr w:type="spellStart"/>
            <w:r>
              <w:rPr>
                <w:color w:val="000000"/>
              </w:rPr>
              <w:t>Vesic</w:t>
            </w:r>
            <w:proofErr w:type="spellEnd"/>
            <w:r>
              <w:rPr>
                <w:color w:val="000000"/>
              </w:rPr>
              <w:t xml:space="preserve"> and IS Code 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Analyze ultimate bearing capacity of soils based on SPT and CPT tests by empirical relationships</w:t>
            </w:r>
          </w:p>
          <w:p w:rsidR="00191E70" w:rsidRDefault="00B138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Determine ultimate bearing capacity of footings resting on stratifi</w:t>
            </w:r>
            <w:r>
              <w:rPr>
                <w:color w:val="000000"/>
              </w:rPr>
              <w:t>ed deposits of soil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12, </w:t>
            </w:r>
          </w:p>
          <w:p w:rsidR="00191E70" w:rsidRDefault="00B13829">
            <w:pPr>
              <w:jc w:val="center"/>
            </w:pPr>
            <w:r>
              <w:t xml:space="preserve">IS: 1904 (1986), IS: 6403 (1981), 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(e), (f)</w:t>
            </w:r>
          </w:p>
        </w:tc>
      </w:tr>
      <w:tr w:rsidR="00191E70">
        <w:trPr>
          <w:trHeight w:val="53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16-17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Shallow Foundations II: Settlement</w:t>
            </w: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Study effect of settlement on structure </w:t>
            </w:r>
            <w:proofErr w:type="gramStart"/>
            <w:r>
              <w:rPr>
                <w:color w:val="000000"/>
              </w:rPr>
              <w:t>and  permissible</w:t>
            </w:r>
            <w:proofErr w:type="gramEnd"/>
            <w:r>
              <w:rPr>
                <w:color w:val="000000"/>
              </w:rPr>
              <w:t xml:space="preserve"> settlement</w:t>
            </w:r>
          </w:p>
          <w:p w:rsidR="00191E70" w:rsidRDefault="00B138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Design shallow foundations for permissible settlement</w:t>
            </w:r>
          </w:p>
          <w:p w:rsidR="00191E70" w:rsidRDefault="00B138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contact pressure distribution</w:t>
            </w:r>
          </w:p>
          <w:p w:rsidR="00191E70" w:rsidRDefault="00B138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Analyze bearing capacity and settlement from model and field plate load test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13,</w:t>
            </w:r>
          </w:p>
          <w:p w:rsidR="00191E70" w:rsidRDefault="00B13829">
            <w:pPr>
              <w:spacing w:after="120"/>
              <w:jc w:val="center"/>
            </w:pPr>
            <w:r>
              <w:t>IS: 8009 (Part 2) - 1980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>(a), (e)</w:t>
            </w:r>
          </w:p>
        </w:tc>
      </w:tr>
      <w:tr w:rsidR="00191E70">
        <w:trPr>
          <w:trHeight w:val="197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18-20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Shallow Foundations III: Combined Footings, Mat and Raft Foundations</w:t>
            </w: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80"/>
              <w:jc w:val="both"/>
            </w:pPr>
            <w:r>
              <w:rPr>
                <w:color w:val="000000"/>
              </w:rPr>
              <w:t>Design of Combined Footings by Conventional Method</w:t>
            </w:r>
          </w:p>
          <w:p w:rsidR="00191E70" w:rsidRDefault="00B1382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62"/>
              <w:jc w:val="both"/>
            </w:pPr>
            <w:r>
              <w:rPr>
                <w:color w:val="000000"/>
              </w:rPr>
              <w:t>Design of Mat Foundation by Rigid Method</w:t>
            </w:r>
          </w:p>
          <w:p w:rsidR="00191E70" w:rsidRDefault="00B1382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62"/>
              <w:jc w:val="both"/>
            </w:pPr>
            <w:r>
              <w:rPr>
                <w:color w:val="000000"/>
              </w:rPr>
              <w:t>Design of Floating Foundations</w:t>
            </w:r>
          </w:p>
          <w:p w:rsidR="00191E70" w:rsidRDefault="00191E70">
            <w:pPr>
              <w:spacing w:after="120"/>
              <w:jc w:val="both"/>
            </w:pPr>
          </w:p>
        </w:tc>
        <w:tc>
          <w:tcPr>
            <w:tcW w:w="198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>(a), (e)</w:t>
            </w:r>
          </w:p>
        </w:tc>
      </w:tr>
      <w:tr w:rsidR="00191E70">
        <w:trPr>
          <w:trHeight w:val="89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lastRenderedPageBreak/>
              <w:t>21-25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Deep Foundations</w:t>
            </w:r>
          </w:p>
          <w:p w:rsidR="00191E70" w:rsidRDefault="00191E70">
            <w:pPr>
              <w:spacing w:after="120"/>
            </w:pP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Study types of piles according to composition, method of installation (driven and bored piles, pre-cast and cast in-situ piles, under-reamed piles)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Analyze vertical load bearing capacity of single vertical pile for </w:t>
            </w:r>
            <w:proofErr w:type="spellStart"/>
            <w:r>
              <w:rPr>
                <w:color w:val="000000"/>
              </w:rPr>
              <w:t>cohesionless</w:t>
            </w:r>
            <w:proofErr w:type="spellEnd"/>
            <w:r>
              <w:rPr>
                <w:color w:val="000000"/>
              </w:rPr>
              <w:t xml:space="preserve"> and cohesive soil,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Analyze u</w:t>
            </w:r>
            <w:r>
              <w:rPr>
                <w:color w:val="000000"/>
              </w:rPr>
              <w:t xml:space="preserve">ltimate skin resistance for single pile in </w:t>
            </w:r>
            <w:proofErr w:type="spellStart"/>
            <w:r>
              <w:rPr>
                <w:color w:val="000000"/>
              </w:rPr>
              <w:t>cohesionless</w:t>
            </w:r>
            <w:proofErr w:type="spellEnd"/>
            <w:r>
              <w:rPr>
                <w:color w:val="000000"/>
              </w:rPr>
              <w:t xml:space="preserve"> and cohesive soil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Study Pile Load Tests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Analyze efficiency of pile groups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Analyze Vertical load bearing capacity of pile groups </w:t>
            </w:r>
          </w:p>
          <w:p w:rsidR="00191E70" w:rsidRDefault="00B138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Study Negative Skin Friction, uplift capacity of pile group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15 Pa</w:t>
            </w:r>
            <w:r>
              <w:t xml:space="preserve">rt A and Part B, </w:t>
            </w:r>
          </w:p>
          <w:p w:rsidR="00191E70" w:rsidRDefault="00B13829">
            <w:pPr>
              <w:spacing w:after="120"/>
              <w:jc w:val="center"/>
            </w:pPr>
            <w:r>
              <w:t>IS 2911 (Part1) – 2010,</w:t>
            </w:r>
          </w:p>
          <w:p w:rsidR="00191E70" w:rsidRDefault="00B13829">
            <w:pPr>
              <w:spacing w:after="120"/>
              <w:jc w:val="center"/>
            </w:pPr>
            <w:r>
              <w:t>IS 2911 (Part2) – 2010,</w:t>
            </w:r>
          </w:p>
          <w:p w:rsidR="00191E70" w:rsidRDefault="00B13829">
            <w:pPr>
              <w:spacing w:after="120"/>
              <w:jc w:val="center"/>
            </w:pPr>
            <w:r>
              <w:t>IS 2911 (Part3) – 2010,</w:t>
            </w:r>
          </w:p>
          <w:p w:rsidR="00191E70" w:rsidRDefault="00B13829">
            <w:pPr>
              <w:spacing w:after="120"/>
              <w:jc w:val="center"/>
            </w:pPr>
            <w:r>
              <w:t>IS 2911 (Part4) – 2010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spacing w:after="120"/>
              <w:jc w:val="center"/>
            </w:pPr>
            <w:r>
              <w:t>(a), (e), (f)</w:t>
            </w:r>
          </w:p>
        </w:tc>
      </w:tr>
      <w:tr w:rsidR="00191E70">
        <w:trPr>
          <w:trHeight w:val="1952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26-28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Laterally Loaded Vertical and Batter Piles</w:t>
            </w: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Study Winkler’s Hypothesis </w:t>
            </w:r>
          </w:p>
          <w:p w:rsidR="00191E70" w:rsidRDefault="00B1382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Study p-y curves for solution of laterally loaded single piles </w:t>
            </w:r>
          </w:p>
          <w:p w:rsidR="00191E70" w:rsidRDefault="00B1382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>Analyze behavior of laterally loaded batter piles in sand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</w:t>
            </w:r>
          </w:p>
        </w:tc>
      </w:tr>
      <w:tr w:rsidR="00191E70">
        <w:trPr>
          <w:trHeight w:val="1403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29-30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Pier and Well Foundations</w:t>
            </w: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Study types of drilled piers, methods of construction </w:t>
            </w:r>
          </w:p>
          <w:p w:rsidR="00191E70" w:rsidRDefault="00B1382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types and components of Well Foundations, Shapes of Well Foundation</w:t>
            </w:r>
          </w:p>
          <w:p w:rsidR="00191E70" w:rsidRDefault="00B1382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forces acting on Well Foundation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  <w:p w:rsidR="00191E70" w:rsidRDefault="00B13829">
            <w:pPr>
              <w:jc w:val="center"/>
            </w:pPr>
            <w:r>
              <w:t xml:space="preserve">+ </w:t>
            </w:r>
          </w:p>
          <w:p w:rsidR="00191E70" w:rsidRDefault="00B13829">
            <w:pPr>
              <w:jc w:val="center"/>
            </w:pPr>
            <w:r>
              <w:t xml:space="preserve">R1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</w:t>
            </w:r>
          </w:p>
        </w:tc>
      </w:tr>
      <w:tr w:rsidR="00191E70">
        <w:trPr>
          <w:trHeight w:val="1403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31-34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Slope Stability</w:t>
            </w: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Analyze stability of Infinite Slopes in Sand and Clay</w:t>
            </w:r>
          </w:p>
          <w:p w:rsidR="00191E70" w:rsidRDefault="00B1382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Taylor’s Stability Number</w:t>
            </w:r>
          </w:p>
          <w:p w:rsidR="00191E70" w:rsidRDefault="00B1382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Analyze Finite Slopes by Method of Slices 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(e), (k)</w:t>
            </w:r>
          </w:p>
        </w:tc>
      </w:tr>
      <w:tr w:rsidR="00191E70">
        <w:trPr>
          <w:trHeight w:val="1790"/>
        </w:trPr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lastRenderedPageBreak/>
              <w:t>35-36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Foundations on Collapsible and Expansive Soils</w:t>
            </w: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 w:hanging="187"/>
              <w:jc w:val="both"/>
            </w:pPr>
            <w:r>
              <w:rPr>
                <w:color w:val="000000"/>
              </w:rPr>
              <w:t xml:space="preserve">Study Swelling Potential, Swelling Pressure, Free Swell, Collapse Potential, Treatment methods for collapsible soils </w:t>
            </w:r>
          </w:p>
          <w:p w:rsidR="00191E70" w:rsidRDefault="00191E70">
            <w:pPr>
              <w:spacing w:after="120"/>
              <w:jc w:val="both"/>
            </w:pP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18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(e), (f)</w:t>
            </w:r>
          </w:p>
        </w:tc>
      </w:tr>
      <w:tr w:rsidR="00191E70">
        <w:tc>
          <w:tcPr>
            <w:tcW w:w="1188" w:type="dxa"/>
          </w:tcPr>
          <w:p w:rsidR="00191E70" w:rsidRDefault="00B13829">
            <w:pPr>
              <w:spacing w:after="120"/>
              <w:jc w:val="center"/>
            </w:pPr>
            <w:r>
              <w:t>37-39</w:t>
            </w:r>
          </w:p>
        </w:tc>
        <w:tc>
          <w:tcPr>
            <w:tcW w:w="1530" w:type="dxa"/>
          </w:tcPr>
          <w:p w:rsidR="00191E70" w:rsidRDefault="00B13829">
            <w:pPr>
              <w:spacing w:after="120"/>
            </w:pPr>
            <w:r>
              <w:t>Ground Improvement Techniques</w:t>
            </w:r>
          </w:p>
          <w:p w:rsidR="00191E70" w:rsidRDefault="00191E70">
            <w:pPr>
              <w:spacing w:after="120"/>
            </w:pPr>
          </w:p>
        </w:tc>
        <w:tc>
          <w:tcPr>
            <w:tcW w:w="3960" w:type="dxa"/>
          </w:tcPr>
          <w:p w:rsidR="00191E70" w:rsidRDefault="00B1382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 xml:space="preserve">Study introduction to different ground improvement techniques </w:t>
            </w:r>
          </w:p>
          <w:p w:rsidR="00191E70" w:rsidRDefault="00B1382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58" w:hanging="158"/>
              <w:jc w:val="both"/>
            </w:pPr>
            <w:r>
              <w:rPr>
                <w:color w:val="000000"/>
              </w:rPr>
              <w:t>Study introduction to Deep Compaction, Sand Drains, Stone Columns, Sand Drains, Prefabricated Vertical Drains, Grouting</w:t>
            </w:r>
          </w:p>
        </w:tc>
        <w:tc>
          <w:tcPr>
            <w:tcW w:w="1980" w:type="dxa"/>
            <w:vAlign w:val="center"/>
          </w:tcPr>
          <w:p w:rsidR="00191E70" w:rsidRDefault="00B13829">
            <w:pPr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21</w:t>
            </w:r>
          </w:p>
          <w:p w:rsidR="00191E70" w:rsidRDefault="00B13829">
            <w:pPr>
              <w:jc w:val="center"/>
            </w:pPr>
            <w:r>
              <w:t>+</w:t>
            </w:r>
          </w:p>
          <w:p w:rsidR="00191E70" w:rsidRDefault="00B13829">
            <w:pPr>
              <w:jc w:val="center"/>
            </w:pPr>
            <w:r>
              <w:t xml:space="preserve">R2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  <w:tc>
          <w:tcPr>
            <w:tcW w:w="1170" w:type="dxa"/>
            <w:vAlign w:val="center"/>
          </w:tcPr>
          <w:p w:rsidR="00191E70" w:rsidRDefault="00B13829">
            <w:pPr>
              <w:jc w:val="center"/>
            </w:pPr>
            <w:r>
              <w:t>(a), (e), (j)</w:t>
            </w:r>
          </w:p>
        </w:tc>
      </w:tr>
      <w:tr w:rsidR="00191E70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70" w:rsidRDefault="00B13829">
            <w:pPr>
              <w:spacing w:after="120"/>
              <w:jc w:val="center"/>
            </w:pPr>
            <w:r>
              <w:t>40-42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70" w:rsidRDefault="00B13829">
            <w:pPr>
              <w:spacing w:after="120"/>
            </w:pPr>
            <w:r>
              <w:t>Introduction to Machine Foundations</w:t>
            </w:r>
          </w:p>
          <w:p w:rsidR="00191E70" w:rsidRDefault="00191E70"/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70" w:rsidRDefault="00B1382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1" w:hanging="121"/>
              <w:jc w:val="both"/>
            </w:pPr>
            <w:r>
              <w:rPr>
                <w:color w:val="000000"/>
              </w:rPr>
              <w:t>Study Dynamic Properties of Soil</w:t>
            </w:r>
          </w:p>
          <w:p w:rsidR="00191E70" w:rsidRDefault="00B1382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1" w:hanging="121"/>
              <w:jc w:val="both"/>
            </w:pPr>
            <w:r>
              <w:rPr>
                <w:color w:val="000000"/>
              </w:rPr>
              <w:t xml:space="preserve">Study Single Degree of Freedom System </w:t>
            </w:r>
          </w:p>
          <w:p w:rsidR="00191E70" w:rsidRDefault="00B1382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1" w:hanging="121"/>
              <w:jc w:val="both"/>
            </w:pPr>
            <w:r>
              <w:rPr>
                <w:color w:val="000000"/>
              </w:rPr>
              <w:t>Study Stiffness and Damping</w:t>
            </w:r>
          </w:p>
          <w:p w:rsidR="00191E70" w:rsidRDefault="00B1382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hanging="121"/>
              <w:jc w:val="both"/>
            </w:pPr>
            <w:r>
              <w:rPr>
                <w:color w:val="000000"/>
              </w:rPr>
              <w:t>Study introduction to Block and Framed Foundations</w:t>
            </w:r>
          </w:p>
          <w:p w:rsidR="00191E70" w:rsidRDefault="00B1382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1" w:hanging="121"/>
              <w:jc w:val="both"/>
            </w:pPr>
            <w:r>
              <w:rPr>
                <w:color w:val="000000"/>
              </w:rPr>
              <w:t>Study liquefaction of soil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spacing w:after="120"/>
              <w:jc w:val="center"/>
            </w:pPr>
            <w:r>
              <w:t xml:space="preserve">R1 </w:t>
            </w:r>
            <w:proofErr w:type="spellStart"/>
            <w:r>
              <w:t>Ch</w:t>
            </w:r>
            <w:proofErr w:type="spellEnd"/>
            <w:r>
              <w:t xml:space="preserve"> 18,</w:t>
            </w:r>
          </w:p>
          <w:p w:rsidR="00191E70" w:rsidRDefault="00B13829">
            <w:pPr>
              <w:spacing w:after="120"/>
              <w:jc w:val="center"/>
            </w:pPr>
            <w:r>
              <w:t>IS 2974 (Part 1,2,3,4,5) – 1982,  IS1893-part1,2,3,4,5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spacing w:after="120"/>
              <w:jc w:val="center"/>
            </w:pPr>
            <w:r>
              <w:t>(a)</w:t>
            </w:r>
          </w:p>
        </w:tc>
      </w:tr>
    </w:tbl>
    <w:p w:rsidR="00191E70" w:rsidRDefault="00191E70">
      <w:pPr>
        <w:spacing w:line="360" w:lineRule="auto"/>
        <w:jc w:val="both"/>
        <w:rPr>
          <w:b/>
        </w:rPr>
      </w:pPr>
    </w:p>
    <w:p w:rsidR="00191E70" w:rsidRDefault="00B13829">
      <w:pPr>
        <w:spacing w:before="6"/>
        <w:rPr>
          <w:b/>
        </w:rPr>
      </w:pPr>
      <w:r>
        <w:rPr>
          <w:b/>
        </w:rPr>
        <w:t>*Student Learning Outcomes (SLOs):</w:t>
      </w:r>
    </w:p>
    <w:p w:rsidR="00191E70" w:rsidRDefault="00191E70">
      <w:pPr>
        <w:spacing w:before="6"/>
        <w:rPr>
          <w:b/>
        </w:rPr>
      </w:pPr>
    </w:p>
    <w:p w:rsidR="00191E70" w:rsidRDefault="00B13829">
      <w:r>
        <w:t>SLOs are outcomes (a) through (k) plus any additional outcomes that may be articulated by the program.</w:t>
      </w:r>
    </w:p>
    <w:p w:rsidR="00191E70" w:rsidRDefault="00191E70"/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apply knowledge of mathematics, science a</w:t>
      </w:r>
      <w:r>
        <w:t>nd engineering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and conduct experiments, as well as to analyze and interpret data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function on multidis</w:t>
      </w:r>
      <w:r>
        <w:t>ciplinary teams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identify, formulate, and solve engineering problems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understanding of professional and ethical responsibility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ability to communicate effectively 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the broad education necessary to understand the impact of engineering solut</w:t>
      </w:r>
      <w:r>
        <w:t>ions in a global, economic, environmental, and societal context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 recognition of the need for, and an ability to engage in life-long learning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 knowledge of contemporary issues</w:t>
      </w:r>
    </w:p>
    <w:p w:rsidR="00191E70" w:rsidRDefault="00B1382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ability to use the techniques, skills, and modern engineering tools necessar</w:t>
      </w:r>
      <w:r>
        <w:t>y for engineering practice.</w:t>
      </w:r>
    </w:p>
    <w:p w:rsidR="00191E70" w:rsidRDefault="00191E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:rsidR="00191E70" w:rsidRDefault="00B13829">
      <w:pPr>
        <w:spacing w:line="360" w:lineRule="auto"/>
        <w:jc w:val="both"/>
        <w:rPr>
          <w:b/>
        </w:rPr>
      </w:pPr>
      <w:r>
        <w:rPr>
          <w:b/>
        </w:rPr>
        <w:lastRenderedPageBreak/>
        <w:t>Evaluation Scheme:</w:t>
      </w:r>
    </w:p>
    <w:tbl>
      <w:tblPr>
        <w:tblStyle w:val="a0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1157"/>
        <w:gridCol w:w="1345"/>
        <w:gridCol w:w="2305"/>
        <w:gridCol w:w="1800"/>
      </w:tblGrid>
      <w:tr w:rsidR="00191E70">
        <w:trPr>
          <w:trHeight w:val="56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191E70">
        <w:trPr>
          <w:trHeight w:val="3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Midsemester</w:t>
            </w:r>
            <w:proofErr w:type="spellEnd"/>
            <w:r>
              <w:rPr>
                <w:b/>
              </w:rPr>
              <w:t xml:space="preserve"> Examination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30%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31/10 1.30 - 3.00PM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Closed Book</w:t>
            </w:r>
          </w:p>
        </w:tc>
      </w:tr>
      <w:tr w:rsidR="00191E70">
        <w:trPr>
          <w:trHeight w:val="3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Assignments </w:t>
            </w:r>
            <w:r>
              <w:t>(minimum 3 nos.)</w:t>
            </w:r>
            <w:r>
              <w:rPr>
                <w:b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15%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Continuous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 xml:space="preserve">Open Book </w:t>
            </w:r>
          </w:p>
        </w:tc>
      </w:tr>
      <w:tr w:rsidR="00191E70">
        <w:trPr>
          <w:trHeight w:val="3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 xml:space="preserve">Surprise Quiz </w:t>
            </w:r>
            <w:r>
              <w:t>(minimum 5 nos.)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15%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Continuous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Open Book</w:t>
            </w:r>
          </w:p>
        </w:tc>
      </w:tr>
      <w:tr w:rsidR="00191E70">
        <w:trPr>
          <w:trHeight w:val="3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E70" w:rsidRDefault="00B13829">
            <w:pPr>
              <w:jc w:val="center"/>
              <w:rPr>
                <w:b/>
              </w:rPr>
            </w:pPr>
            <w:r>
              <w:rPr>
                <w:b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40%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19/12 FN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70" w:rsidRDefault="00B13829">
            <w:pPr>
              <w:jc w:val="center"/>
            </w:pPr>
            <w:r>
              <w:t>Closed Book</w:t>
            </w:r>
          </w:p>
        </w:tc>
      </w:tr>
    </w:tbl>
    <w:p w:rsidR="00191E70" w:rsidRDefault="00191E70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b/>
          <w:color w:val="000000"/>
        </w:rPr>
      </w:pPr>
    </w:p>
    <w:p w:rsidR="00191E70" w:rsidRDefault="00B138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2" w:name="_heading=h.30j0zll" w:colFirst="0" w:colLast="0"/>
      <w:bookmarkEnd w:id="2"/>
      <w:r>
        <w:rPr>
          <w:b/>
          <w:color w:val="000000"/>
        </w:rPr>
        <w:t xml:space="preserve">Chamber Consultation Hour: </w:t>
      </w:r>
      <w:r>
        <w:rPr>
          <w:color w:val="000000"/>
        </w:rPr>
        <w:t xml:space="preserve">W and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10-11 AM, or by prior appointment based on urgency through BITS email only.</w:t>
      </w:r>
    </w:p>
    <w:p w:rsidR="00191E70" w:rsidRDefault="00B13829">
      <w:pPr>
        <w:jc w:val="both"/>
        <w:rPr>
          <w:b/>
        </w:rPr>
      </w:pPr>
      <w:r>
        <w:rPr>
          <w:b/>
        </w:rPr>
        <w:t xml:space="preserve"> </w:t>
      </w:r>
    </w:p>
    <w:p w:rsidR="00191E70" w:rsidRDefault="00B13829">
      <w:pPr>
        <w:jc w:val="both"/>
      </w:pPr>
      <w:r>
        <w:rPr>
          <w:b/>
        </w:rPr>
        <w:t>Notice</w:t>
      </w:r>
      <w:r>
        <w:t xml:space="preserve">: </w:t>
      </w:r>
      <w:r>
        <w:rPr>
          <w:color w:val="000000"/>
        </w:rPr>
        <w:t>All notices concerning the course will be conveyed through Google Classroom.</w:t>
      </w:r>
    </w:p>
    <w:p w:rsidR="00191E70" w:rsidRDefault="00191E70">
      <w:pPr>
        <w:jc w:val="both"/>
        <w:rPr>
          <w:b/>
        </w:rPr>
      </w:pPr>
    </w:p>
    <w:p w:rsidR="00191E70" w:rsidRDefault="00B13829">
      <w:pPr>
        <w:jc w:val="both"/>
        <w:rPr>
          <w:b/>
        </w:rPr>
      </w:pPr>
      <w:r>
        <w:rPr>
          <w:b/>
        </w:rPr>
        <w:t xml:space="preserve"> Make-up Policy: </w:t>
      </w:r>
    </w:p>
    <w:p w:rsidR="00191E70" w:rsidRDefault="00B13829">
      <w:pPr>
        <w:numPr>
          <w:ilvl w:val="0"/>
          <w:numId w:val="1"/>
        </w:numPr>
        <w:ind w:left="360"/>
        <w:jc w:val="both"/>
      </w:pPr>
      <w:r>
        <w:t xml:space="preserve">Make-up will be granted only on genuine reasons (medical emergencies). For medical cases, a certificate from the concerned physician of the Medical Centre must be produced. </w:t>
      </w:r>
    </w:p>
    <w:p w:rsidR="00191E70" w:rsidRDefault="00B13829">
      <w:pPr>
        <w:numPr>
          <w:ilvl w:val="0"/>
          <w:numId w:val="1"/>
        </w:numPr>
        <w:ind w:left="360"/>
        <w:jc w:val="both"/>
        <w:rPr>
          <w:b/>
        </w:rPr>
      </w:pPr>
      <w:r>
        <w:t>For the skill tests, surprise tests, lab demo sessions and tour case study (if any</w:t>
      </w:r>
      <w:r>
        <w:t xml:space="preserve">), make-ups are not possible. </w:t>
      </w:r>
    </w:p>
    <w:p w:rsidR="00191E70" w:rsidRDefault="00191E70">
      <w:pPr>
        <w:ind w:left="360"/>
        <w:jc w:val="both"/>
      </w:pPr>
    </w:p>
    <w:p w:rsidR="00191E70" w:rsidRDefault="00B13829">
      <w:pPr>
        <w:jc w:val="both"/>
      </w:pPr>
      <w:r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</w:p>
    <w:p w:rsidR="00191E70" w:rsidRDefault="00191E70">
      <w:pPr>
        <w:ind w:left="360"/>
        <w:jc w:val="both"/>
        <w:rPr>
          <w:b/>
        </w:rPr>
      </w:pPr>
    </w:p>
    <w:p w:rsidR="00191E70" w:rsidRDefault="00B13829">
      <w:pPr>
        <w:jc w:val="right"/>
      </w:pPr>
      <w:r>
        <w:rPr>
          <w:b/>
        </w:rPr>
        <w:t>Instructor-in-charge</w:t>
      </w:r>
      <w:r>
        <w:t xml:space="preserve">  </w:t>
      </w:r>
    </w:p>
    <w:p w:rsidR="00191E70" w:rsidRDefault="00B13829">
      <w:pPr>
        <w:jc w:val="right"/>
        <w:rPr>
          <w:b/>
        </w:rPr>
      </w:pPr>
      <w:r>
        <w:rPr>
          <w:b/>
        </w:rPr>
        <w:t>CE F313</w:t>
      </w:r>
    </w:p>
    <w:sectPr w:rsidR="00191E7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982"/>
    <w:multiLevelType w:val="multilevel"/>
    <w:tmpl w:val="51F46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76607"/>
    <w:multiLevelType w:val="multilevel"/>
    <w:tmpl w:val="DD4AF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5E49B4"/>
    <w:multiLevelType w:val="multilevel"/>
    <w:tmpl w:val="A55C4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724278"/>
    <w:multiLevelType w:val="multilevel"/>
    <w:tmpl w:val="87763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A95036"/>
    <w:multiLevelType w:val="multilevel"/>
    <w:tmpl w:val="F0DA7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BD1634"/>
    <w:multiLevelType w:val="multilevel"/>
    <w:tmpl w:val="06C29C8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4260CA"/>
    <w:multiLevelType w:val="multilevel"/>
    <w:tmpl w:val="CDD26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4F207F"/>
    <w:multiLevelType w:val="multilevel"/>
    <w:tmpl w:val="D9BA3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FD2991"/>
    <w:multiLevelType w:val="multilevel"/>
    <w:tmpl w:val="A1640B92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D4619D"/>
    <w:multiLevelType w:val="multilevel"/>
    <w:tmpl w:val="377046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409C"/>
    <w:multiLevelType w:val="multilevel"/>
    <w:tmpl w:val="A1EA2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346934"/>
    <w:multiLevelType w:val="multilevel"/>
    <w:tmpl w:val="87C8818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2" w15:restartNumberingAfterBreak="0">
    <w:nsid w:val="54FD269D"/>
    <w:multiLevelType w:val="multilevel"/>
    <w:tmpl w:val="094621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B81F71"/>
    <w:multiLevelType w:val="multilevel"/>
    <w:tmpl w:val="C1D49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7520647"/>
    <w:multiLevelType w:val="multilevel"/>
    <w:tmpl w:val="EE46A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564E26"/>
    <w:multiLevelType w:val="multilevel"/>
    <w:tmpl w:val="83586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70"/>
    <w:rsid w:val="00191E70"/>
    <w:rsid w:val="00B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D427"/>
  <w15:docId w15:val="{8BDFCD03-30F5-4527-9DD6-E1D25796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DF"/>
  </w:style>
  <w:style w:type="paragraph" w:styleId="Heading1">
    <w:name w:val="heading 1"/>
    <w:basedOn w:val="Normal"/>
    <w:next w:val="Normal"/>
    <w:link w:val="Heading1Char"/>
    <w:qFormat/>
    <w:rsid w:val="001C3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109D"/>
    <w:pPr>
      <w:keepNext/>
      <w:suppressAutoHyphens/>
      <w:overflowPunct w:val="0"/>
      <w:autoSpaceDE w:val="0"/>
      <w:autoSpaceDN w:val="0"/>
      <w:adjustRightInd w:val="0"/>
      <w:spacing w:before="40" w:after="60"/>
      <w:jc w:val="both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109D"/>
    <w:pPr>
      <w:jc w:val="center"/>
    </w:pPr>
    <w:rPr>
      <w:b/>
      <w:bCs/>
    </w:rPr>
  </w:style>
  <w:style w:type="paragraph" w:styleId="NormalWeb">
    <w:name w:val="Normal (Web)"/>
    <w:basedOn w:val="Normal"/>
    <w:rsid w:val="004B7B43"/>
    <w:pPr>
      <w:spacing w:before="100" w:beforeAutospacing="1" w:after="100" w:afterAutospacing="1"/>
    </w:pPr>
    <w:rPr>
      <w:lang w:bidi="ta-IN"/>
    </w:rPr>
  </w:style>
  <w:style w:type="character" w:styleId="Hyperlink">
    <w:name w:val="Hyperlink"/>
    <w:rsid w:val="004B7B43"/>
    <w:rPr>
      <w:color w:val="0000FF"/>
      <w:u w:val="single"/>
    </w:rPr>
  </w:style>
  <w:style w:type="character" w:customStyle="1" w:styleId="sheading1">
    <w:name w:val="sheading1"/>
    <w:rsid w:val="00F07734"/>
    <w:rPr>
      <w:rFonts w:ascii="Verdana" w:hAnsi="Verdana" w:hint="default"/>
      <w:b/>
      <w:bCs/>
      <w:color w:val="000000"/>
      <w:sz w:val="16"/>
      <w:szCs w:val="16"/>
    </w:rPr>
  </w:style>
  <w:style w:type="character" w:customStyle="1" w:styleId="boldtxt1">
    <w:name w:val="boldtxt1"/>
    <w:rsid w:val="00620886"/>
    <w:rPr>
      <w:rFonts w:ascii="Arial" w:hAnsi="Arial" w:cs="Arial" w:hint="default"/>
      <w:b/>
      <w:bCs/>
      <w:color w:val="000000"/>
      <w:sz w:val="12"/>
      <w:szCs w:val="12"/>
    </w:rPr>
  </w:style>
  <w:style w:type="paragraph" w:styleId="Header">
    <w:name w:val="header"/>
    <w:basedOn w:val="Normal"/>
    <w:link w:val="HeaderChar"/>
    <w:rsid w:val="005E19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19E9"/>
    <w:rPr>
      <w:sz w:val="24"/>
      <w:szCs w:val="24"/>
    </w:rPr>
  </w:style>
  <w:style w:type="paragraph" w:styleId="Footer">
    <w:name w:val="footer"/>
    <w:basedOn w:val="Normal"/>
    <w:link w:val="FooterChar"/>
    <w:rsid w:val="005E19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19E9"/>
    <w:rPr>
      <w:sz w:val="24"/>
      <w:szCs w:val="24"/>
    </w:rPr>
  </w:style>
  <w:style w:type="character" w:customStyle="1" w:styleId="Heading1Char">
    <w:name w:val="Heading 1 Char"/>
    <w:link w:val="Heading1"/>
    <w:rsid w:val="001C3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49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E3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3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83895"/>
    <w:pPr>
      <w:jc w:val="both"/>
    </w:pPr>
  </w:style>
  <w:style w:type="character" w:customStyle="1" w:styleId="BodyTextChar">
    <w:name w:val="Body Text Char"/>
    <w:basedOn w:val="DefaultParagraphFont"/>
    <w:link w:val="BodyText"/>
    <w:rsid w:val="00E83895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azon.com/Jonathan-Knappett/e/B005LT12MK/ref=ntt_athr_dp_pel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rwmW8QYBiVoxXQ6AAPRJsn0Ow==">AMUW2mUNY1hm0mutytoqtQgTl2ve48M2J43W7vcymcABeZAVPToJQgW/C5bcYGuQhEp+yytvxtTVEx4aXf1udlUSMN4CkicC7QSdHfUBaoS7e/0Mh+izCqFTtzHCgqszNd+BZlxre8C4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Mittal</dc:creator>
  <cp:lastModifiedBy>Windows User</cp:lastModifiedBy>
  <cp:revision>2</cp:revision>
  <dcterms:created xsi:type="dcterms:W3CDTF">2015-04-20T10:18:00Z</dcterms:created>
  <dcterms:modified xsi:type="dcterms:W3CDTF">2022-08-26T05:14:00Z</dcterms:modified>
</cp:coreProperties>
</file>