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5A31" w:rsidRDefault="00DC5A31">
      <w:pPr>
        <w:suppressAutoHyphens/>
        <w:jc w:val="center"/>
        <w:rPr>
          <w:b/>
          <w:spacing w:val="-2"/>
        </w:rPr>
      </w:pPr>
    </w:p>
    <w:p w:rsidR="004E33A3" w:rsidRDefault="00B1247F">
      <w:pPr>
        <w:suppressAutoHyphens/>
        <w:jc w:val="center"/>
        <w:rPr>
          <w:b/>
          <w:spacing w:val="-2"/>
        </w:rPr>
      </w:pPr>
      <w:r>
        <w:rPr>
          <w:b/>
          <w:spacing w:val="-2"/>
        </w:rPr>
        <w:t>BIRLA INSTITUTE OF TECHNOLOGY AND SCIENCE, PILANI</w:t>
      </w:r>
      <w:r w:rsidR="00D05B52">
        <w:rPr>
          <w:b/>
          <w:spacing w:val="-2"/>
        </w:rPr>
        <w:fldChar w:fldCharType="begin"/>
      </w:r>
      <w:r w:rsidRPr="00A526FE">
        <w:rPr>
          <w:b/>
          <w:spacing w:val="-2"/>
        </w:rPr>
        <w:instrText xml:space="preserve">PRIVATE </w:instrText>
      </w:r>
      <w:r w:rsidR="00D05B52">
        <w:rPr>
          <w:b/>
          <w:spacing w:val="-2"/>
        </w:rPr>
        <w:fldChar w:fldCharType="end"/>
      </w:r>
    </w:p>
    <w:p w:rsidR="004E33A3" w:rsidRDefault="00B1247F">
      <w:pPr>
        <w:pStyle w:val="Heading1"/>
      </w:pPr>
      <w:r>
        <w:t xml:space="preserve">        </w:t>
      </w:r>
      <w:r w:rsidR="002D3971">
        <w:t xml:space="preserve">             FIRST SEMESTER 2022</w:t>
      </w:r>
      <w:r w:rsidR="002D3971">
        <w:noBreakHyphen/>
        <w:t>2023</w:t>
      </w:r>
    </w:p>
    <w:p w:rsidR="004E33A3" w:rsidRDefault="00B1247F">
      <w:pPr>
        <w:suppressAutoHyphens/>
        <w:jc w:val="center"/>
        <w:rPr>
          <w:b/>
          <w:spacing w:val="-2"/>
        </w:rPr>
      </w:pPr>
      <w:r>
        <w:rPr>
          <w:spacing w:val="-2"/>
        </w:rPr>
        <w:t xml:space="preserve">                       </w:t>
      </w:r>
      <w:r>
        <w:rPr>
          <w:b/>
          <w:spacing w:val="-2"/>
        </w:rPr>
        <w:t>Course Handout (Part II)</w:t>
      </w:r>
    </w:p>
    <w:p w:rsidR="003018B5" w:rsidRDefault="003018B5">
      <w:pPr>
        <w:suppressAutoHyphens/>
        <w:jc w:val="center"/>
        <w:rPr>
          <w:spacing w:val="-2"/>
        </w:rPr>
      </w:pPr>
    </w:p>
    <w:p w:rsidR="004E33A3" w:rsidRPr="00A4721B" w:rsidRDefault="00B1247F">
      <w:pPr>
        <w:suppressAutoHyphens/>
        <w:jc w:val="right"/>
        <w:rPr>
          <w:bCs/>
          <w:spacing w:val="-2"/>
        </w:rPr>
      </w:pPr>
      <w:r w:rsidRPr="00A4721B">
        <w:rPr>
          <w:spacing w:val="-2"/>
        </w:rPr>
        <w:t xml:space="preserve">                                                  </w:t>
      </w:r>
      <w:r w:rsidR="00D91B91" w:rsidRPr="00A4721B">
        <w:rPr>
          <w:bCs/>
          <w:spacing w:val="-2"/>
        </w:rPr>
        <w:t xml:space="preserve"> Date: </w:t>
      </w:r>
      <w:r w:rsidR="00A4721B" w:rsidRPr="00A4721B">
        <w:rPr>
          <w:bCs/>
          <w:spacing w:val="-2"/>
        </w:rPr>
        <w:t>29</w:t>
      </w:r>
      <w:r w:rsidR="002D3971" w:rsidRPr="00A4721B">
        <w:rPr>
          <w:bCs/>
          <w:spacing w:val="-2"/>
        </w:rPr>
        <w:t>-08-2022</w:t>
      </w:r>
    </w:p>
    <w:p w:rsidR="003018B5" w:rsidRDefault="003018B5">
      <w:pPr>
        <w:suppressAutoHyphens/>
        <w:jc w:val="right"/>
        <w:rPr>
          <w:b/>
          <w:bCs/>
          <w:spacing w:val="-2"/>
        </w:rPr>
      </w:pPr>
    </w:p>
    <w:p w:rsidR="004E33A3" w:rsidRDefault="00B1247F">
      <w:pPr>
        <w:suppressAutoHyphens/>
        <w:jc w:val="both"/>
        <w:rPr>
          <w:spacing w:val="-2"/>
        </w:rPr>
      </w:pPr>
      <w:r>
        <w:rPr>
          <w:spacing w:val="-2"/>
        </w:rPr>
        <w:t>In addition to part</w:t>
      </w:r>
      <w:r>
        <w:rPr>
          <w:spacing w:val="-2"/>
        </w:rPr>
        <w:noBreakHyphen/>
        <w:t>I (General Handout for all courses appended to the timetable) this portion gives further specific details regarding the course.</w:t>
      </w:r>
    </w:p>
    <w:p w:rsidR="004E33A3" w:rsidRDefault="004E33A3">
      <w:pPr>
        <w:suppressAutoHyphens/>
        <w:jc w:val="both"/>
        <w:rPr>
          <w:spacing w:val="-2"/>
        </w:rPr>
      </w:pPr>
    </w:p>
    <w:p w:rsidR="004E33A3" w:rsidRDefault="00C136E2">
      <w:pPr>
        <w:pStyle w:val="Heading2"/>
      </w:pPr>
      <w:r>
        <w:t>Course No.</w:t>
      </w:r>
      <w:r>
        <w:tab/>
      </w:r>
      <w:r>
        <w:tab/>
        <w:t xml:space="preserve">: </w:t>
      </w:r>
      <w:r w:rsidRPr="00842FDF">
        <w:rPr>
          <w:b w:val="0"/>
        </w:rPr>
        <w:t>CHE F</w:t>
      </w:r>
      <w:r w:rsidR="00B1247F" w:rsidRPr="00842FDF">
        <w:rPr>
          <w:b w:val="0"/>
        </w:rPr>
        <w:t>413</w:t>
      </w:r>
    </w:p>
    <w:p w:rsidR="004E33A3" w:rsidRDefault="00B1247F">
      <w:pPr>
        <w:pStyle w:val="Heading2"/>
      </w:pPr>
      <w:r>
        <w:t>Course Title</w:t>
      </w:r>
      <w:r>
        <w:tab/>
      </w:r>
      <w:r>
        <w:tab/>
        <w:t xml:space="preserve">: </w:t>
      </w:r>
      <w:r w:rsidRPr="00842FDF">
        <w:rPr>
          <w:b w:val="0"/>
        </w:rPr>
        <w:t>Process Plant Safety</w:t>
      </w:r>
    </w:p>
    <w:p w:rsidR="004E33A3" w:rsidRPr="00842FDF" w:rsidRDefault="00B1247F">
      <w:pPr>
        <w:rPr>
          <w:sz w:val="22"/>
        </w:rPr>
      </w:pPr>
      <w:r>
        <w:rPr>
          <w:b/>
          <w:bCs/>
          <w:sz w:val="22"/>
        </w:rPr>
        <w:t>Instructor in Charge</w:t>
      </w:r>
      <w:r>
        <w:rPr>
          <w:b/>
          <w:bCs/>
          <w:sz w:val="22"/>
        </w:rPr>
        <w:tab/>
        <w:t xml:space="preserve">: </w:t>
      </w:r>
      <w:r w:rsidR="002D3971">
        <w:rPr>
          <w:b/>
          <w:bCs/>
          <w:sz w:val="22"/>
        </w:rPr>
        <w:t>Afkham Mir</w:t>
      </w:r>
    </w:p>
    <w:p w:rsidR="004E33A3" w:rsidRDefault="004E33A3">
      <w:pPr>
        <w:rPr>
          <w:sz w:val="22"/>
        </w:rPr>
      </w:pPr>
    </w:p>
    <w:p w:rsidR="004E33A3" w:rsidRDefault="00842FDF" w:rsidP="00D22984">
      <w:pPr>
        <w:pStyle w:val="ListParagraph"/>
        <w:numPr>
          <w:ilvl w:val="0"/>
          <w:numId w:val="5"/>
        </w:numPr>
        <w:jc w:val="both"/>
        <w:rPr>
          <w:b/>
          <w:bCs/>
          <w:sz w:val="22"/>
        </w:rPr>
      </w:pPr>
      <w:r w:rsidRPr="00D22984">
        <w:rPr>
          <w:b/>
          <w:bCs/>
          <w:sz w:val="22"/>
        </w:rPr>
        <w:t>Objective and Learning Outcomes</w:t>
      </w:r>
    </w:p>
    <w:p w:rsidR="00601161" w:rsidRPr="00601161" w:rsidRDefault="00601161" w:rsidP="00601161">
      <w:pPr>
        <w:pStyle w:val="ListParagraph"/>
        <w:jc w:val="both"/>
        <w:rPr>
          <w:b/>
          <w:bCs/>
          <w:sz w:val="22"/>
        </w:rPr>
      </w:pPr>
    </w:p>
    <w:p w:rsidR="00EB267D" w:rsidRDefault="00601161" w:rsidP="00A526FE">
      <w:pPr>
        <w:pStyle w:val="ListParagraph"/>
        <w:ind w:left="0"/>
        <w:jc w:val="both"/>
        <w:rPr>
          <w:sz w:val="22"/>
        </w:rPr>
      </w:pPr>
      <w:r>
        <w:rPr>
          <w:bCs/>
          <w:sz w:val="22"/>
        </w:rPr>
        <w:t>Plant safety is an integral part of any process industry</w:t>
      </w:r>
      <w:r w:rsidRPr="00601161">
        <w:rPr>
          <w:bCs/>
          <w:sz w:val="22"/>
        </w:rPr>
        <w:t xml:space="preserve">. Knowledge of plant safety is essential to prevent accidents </w:t>
      </w:r>
      <w:r>
        <w:rPr>
          <w:bCs/>
          <w:sz w:val="22"/>
        </w:rPr>
        <w:t xml:space="preserve">in the plant, thereby having a direct impact on process economics. A chemical engineer is expected to have a thorough understanding of various aspects of plant safety, including hazard analysis, safety regulations and practices, risk assessment and management, etc. </w:t>
      </w:r>
      <w:r w:rsidR="00B1247F" w:rsidRPr="00601161">
        <w:rPr>
          <w:sz w:val="22"/>
        </w:rPr>
        <w:t xml:space="preserve">This course </w:t>
      </w:r>
      <w:r w:rsidR="00EB267D" w:rsidRPr="00601161">
        <w:rPr>
          <w:sz w:val="22"/>
        </w:rPr>
        <w:t>deals with the application of</w:t>
      </w:r>
      <w:r w:rsidR="00B1247F" w:rsidRPr="00601161">
        <w:rPr>
          <w:sz w:val="22"/>
        </w:rPr>
        <w:t xml:space="preserve"> fundamentals of chemical process safety. It introduces </w:t>
      </w:r>
      <w:r w:rsidR="00EB267D" w:rsidRPr="00601161">
        <w:rPr>
          <w:sz w:val="22"/>
        </w:rPr>
        <w:t>the</w:t>
      </w:r>
      <w:r w:rsidR="00EB267D">
        <w:rPr>
          <w:sz w:val="22"/>
        </w:rPr>
        <w:t xml:space="preserve"> role of safety in process industries, concepts of chemical hazards, risk assessment methods etc. Various cases studies </w:t>
      </w:r>
      <w:r w:rsidR="00842FDF">
        <w:rPr>
          <w:sz w:val="22"/>
        </w:rPr>
        <w:t xml:space="preserve">of industrial accidents </w:t>
      </w:r>
      <w:r w:rsidR="00EB267D">
        <w:rPr>
          <w:sz w:val="22"/>
        </w:rPr>
        <w:t>are analyzed in this course.</w:t>
      </w:r>
    </w:p>
    <w:p w:rsidR="00A526FE" w:rsidRDefault="00842FDF" w:rsidP="00A526FE">
      <w:pPr>
        <w:ind w:hanging="90"/>
        <w:jc w:val="both"/>
      </w:pPr>
      <w:r>
        <w:t>At the end of the course, the student should be able to:</w:t>
      </w:r>
    </w:p>
    <w:p w:rsidR="00A526FE" w:rsidRDefault="00232187" w:rsidP="00A526FE">
      <w:pPr>
        <w:pStyle w:val="ListParagraph"/>
        <w:numPr>
          <w:ilvl w:val="0"/>
          <w:numId w:val="6"/>
        </w:numPr>
        <w:jc w:val="both"/>
      </w:pPr>
      <w:r w:rsidRPr="00A526FE">
        <w:rPr>
          <w:bCs/>
          <w:sz w:val="22"/>
        </w:rPr>
        <w:t>Describe the engineering aspects of process plant safety</w:t>
      </w:r>
    </w:p>
    <w:p w:rsidR="00A526FE" w:rsidRDefault="00232187" w:rsidP="00A526FE">
      <w:pPr>
        <w:pStyle w:val="ListParagraph"/>
        <w:numPr>
          <w:ilvl w:val="0"/>
          <w:numId w:val="6"/>
        </w:numPr>
        <w:jc w:val="both"/>
      </w:pPr>
      <w:r w:rsidRPr="00A526FE">
        <w:rPr>
          <w:bCs/>
          <w:sz w:val="22"/>
        </w:rPr>
        <w:t>Define the physical and chemical agents that affect safety at the workplace and the effects of occupational hazards on the health of workers</w:t>
      </w:r>
    </w:p>
    <w:p w:rsidR="00A526FE" w:rsidRDefault="0045351C" w:rsidP="00A526FE">
      <w:pPr>
        <w:pStyle w:val="ListParagraph"/>
        <w:numPr>
          <w:ilvl w:val="0"/>
          <w:numId w:val="6"/>
        </w:numPr>
        <w:jc w:val="both"/>
      </w:pPr>
      <w:r w:rsidRPr="00A526FE">
        <w:rPr>
          <w:bCs/>
          <w:sz w:val="22"/>
        </w:rPr>
        <w:t>Identify and classify hazardous substances and define precautions for their handling and storage</w:t>
      </w:r>
    </w:p>
    <w:p w:rsidR="00A526FE" w:rsidRDefault="0045351C" w:rsidP="00A526FE">
      <w:pPr>
        <w:pStyle w:val="ListParagraph"/>
        <w:numPr>
          <w:ilvl w:val="0"/>
          <w:numId w:val="6"/>
        </w:numPr>
        <w:jc w:val="both"/>
      </w:pPr>
      <w:r w:rsidRPr="00A526FE">
        <w:rPr>
          <w:bCs/>
          <w:sz w:val="22"/>
        </w:rPr>
        <w:t>Define the basic steps involved in risk assessment and apply this to various case studies</w:t>
      </w:r>
    </w:p>
    <w:p w:rsidR="0045351C" w:rsidRPr="00A526FE" w:rsidRDefault="0045351C" w:rsidP="00A526FE">
      <w:pPr>
        <w:pStyle w:val="ListParagraph"/>
        <w:numPr>
          <w:ilvl w:val="0"/>
          <w:numId w:val="6"/>
        </w:numPr>
        <w:jc w:val="both"/>
      </w:pPr>
      <w:r w:rsidRPr="00A526FE">
        <w:rPr>
          <w:bCs/>
          <w:sz w:val="22"/>
        </w:rPr>
        <w:t>Describe the various steps and procedures of a safety audit</w:t>
      </w:r>
    </w:p>
    <w:p w:rsidR="00DC5A31" w:rsidRDefault="00DC5A31" w:rsidP="00DC5A31">
      <w:pPr>
        <w:pStyle w:val="ListParagraph"/>
        <w:jc w:val="both"/>
        <w:rPr>
          <w:b/>
          <w:bCs/>
          <w:sz w:val="22"/>
        </w:rPr>
      </w:pPr>
    </w:p>
    <w:p w:rsidR="004E33A3" w:rsidRPr="00D22984" w:rsidRDefault="00B1247F" w:rsidP="00A526FE">
      <w:pPr>
        <w:pStyle w:val="ListParagraph"/>
        <w:numPr>
          <w:ilvl w:val="0"/>
          <w:numId w:val="5"/>
        </w:numPr>
        <w:ind w:left="0" w:hanging="11"/>
        <w:jc w:val="both"/>
        <w:rPr>
          <w:b/>
          <w:bCs/>
          <w:sz w:val="22"/>
        </w:rPr>
      </w:pPr>
      <w:r w:rsidRPr="00D22984">
        <w:rPr>
          <w:b/>
          <w:bCs/>
          <w:sz w:val="22"/>
        </w:rPr>
        <w:t>Text Books:</w:t>
      </w:r>
    </w:p>
    <w:p w:rsidR="004E33A3" w:rsidRDefault="00B1247F" w:rsidP="00A526FE">
      <w:pPr>
        <w:ind w:hanging="11"/>
        <w:jc w:val="both"/>
        <w:rPr>
          <w:sz w:val="22"/>
        </w:rPr>
      </w:pPr>
      <w:r w:rsidRPr="003018B5">
        <w:rPr>
          <w:b/>
          <w:sz w:val="22"/>
          <w:u w:val="single"/>
        </w:rPr>
        <w:t>T1:</w:t>
      </w:r>
      <w:r w:rsidR="003018B5">
        <w:rPr>
          <w:sz w:val="22"/>
        </w:rPr>
        <w:t xml:space="preserve"> </w:t>
      </w:r>
      <w:proofErr w:type="spellStart"/>
      <w:r w:rsidR="00FC1567">
        <w:rPr>
          <w:sz w:val="22"/>
        </w:rPr>
        <w:t>Ful</w:t>
      </w:r>
      <w:r w:rsidR="002D3971">
        <w:rPr>
          <w:sz w:val="22"/>
        </w:rPr>
        <w:t>ekar</w:t>
      </w:r>
      <w:proofErr w:type="spellEnd"/>
      <w:r w:rsidR="002D3971">
        <w:rPr>
          <w:sz w:val="22"/>
        </w:rPr>
        <w:t xml:space="preserve"> M.H. Industrial Hygiene and</w:t>
      </w:r>
      <w:r w:rsidR="00FC1567">
        <w:rPr>
          <w:sz w:val="22"/>
        </w:rPr>
        <w:t xml:space="preserve"> Chemical Safety. Publisher: </w:t>
      </w:r>
      <w:r w:rsidR="002E604B">
        <w:rPr>
          <w:sz w:val="22"/>
        </w:rPr>
        <w:t xml:space="preserve">I.K. </w:t>
      </w:r>
      <w:r w:rsidR="00FC1567">
        <w:rPr>
          <w:sz w:val="22"/>
        </w:rPr>
        <w:t>International, New</w:t>
      </w:r>
      <w:r w:rsidR="00C63162">
        <w:rPr>
          <w:sz w:val="22"/>
        </w:rPr>
        <w:t xml:space="preserve"> D</w:t>
      </w:r>
      <w:r w:rsidR="00FC1567">
        <w:rPr>
          <w:sz w:val="22"/>
        </w:rPr>
        <w:t>elhi. 2006</w:t>
      </w:r>
      <w:r w:rsidR="002D3971">
        <w:rPr>
          <w:sz w:val="22"/>
        </w:rPr>
        <w:t>. Library code: 363.179, FUL-M</w:t>
      </w:r>
      <w:r w:rsidR="00FC1567">
        <w:rPr>
          <w:sz w:val="22"/>
        </w:rPr>
        <w:t>.</w:t>
      </w:r>
    </w:p>
    <w:p w:rsidR="00FC1567" w:rsidRDefault="00FC1567" w:rsidP="00A526FE">
      <w:pPr>
        <w:ind w:hanging="11"/>
        <w:jc w:val="both"/>
        <w:rPr>
          <w:sz w:val="22"/>
        </w:rPr>
      </w:pPr>
    </w:p>
    <w:p w:rsidR="00DC5A31" w:rsidRDefault="00DC5A31" w:rsidP="00A526FE">
      <w:pPr>
        <w:ind w:hanging="11"/>
        <w:jc w:val="both"/>
        <w:rPr>
          <w:sz w:val="22"/>
        </w:rPr>
      </w:pPr>
    </w:p>
    <w:p w:rsidR="004E33A3" w:rsidRPr="00D22984" w:rsidRDefault="00B1247F" w:rsidP="00A526FE">
      <w:pPr>
        <w:pStyle w:val="ListParagraph"/>
        <w:numPr>
          <w:ilvl w:val="0"/>
          <w:numId w:val="5"/>
        </w:numPr>
        <w:ind w:left="0" w:hanging="11"/>
        <w:jc w:val="both"/>
        <w:rPr>
          <w:sz w:val="22"/>
        </w:rPr>
      </w:pPr>
      <w:r w:rsidRPr="00D22984">
        <w:rPr>
          <w:b/>
          <w:bCs/>
          <w:sz w:val="22"/>
        </w:rPr>
        <w:t>Reference Books</w:t>
      </w:r>
      <w:r w:rsidRPr="00D22984">
        <w:rPr>
          <w:sz w:val="22"/>
        </w:rPr>
        <w:t>:</w:t>
      </w:r>
    </w:p>
    <w:p w:rsidR="004E33A3" w:rsidRDefault="00B1247F" w:rsidP="00A526FE">
      <w:pPr>
        <w:ind w:hanging="11"/>
        <w:jc w:val="both"/>
        <w:rPr>
          <w:sz w:val="22"/>
        </w:rPr>
      </w:pPr>
      <w:r w:rsidRPr="00FC1567">
        <w:rPr>
          <w:b/>
          <w:sz w:val="22"/>
          <w:u w:val="single"/>
        </w:rPr>
        <w:t>R1</w:t>
      </w:r>
      <w:r>
        <w:rPr>
          <w:sz w:val="22"/>
        </w:rPr>
        <w:t>: Sanders R.E., “Chemical Process Safety: Learning from case Histories”, Butterworth-Heinemann</w:t>
      </w:r>
      <w:r w:rsidR="00FC1567">
        <w:rPr>
          <w:sz w:val="22"/>
        </w:rPr>
        <w:t xml:space="preserve"> (Elsevier), Boston and New</w:t>
      </w:r>
      <w:r w:rsidR="00D91B91">
        <w:rPr>
          <w:sz w:val="22"/>
        </w:rPr>
        <w:t xml:space="preserve"> D</w:t>
      </w:r>
      <w:r w:rsidR="00FC1567">
        <w:rPr>
          <w:sz w:val="22"/>
        </w:rPr>
        <w:t>elhi, 2005.</w:t>
      </w:r>
    </w:p>
    <w:p w:rsidR="00715A1F" w:rsidRPr="00715A1F" w:rsidRDefault="00715A1F" w:rsidP="00A526FE">
      <w:pPr>
        <w:ind w:hanging="11"/>
        <w:jc w:val="both"/>
        <w:rPr>
          <w:sz w:val="22"/>
        </w:rPr>
      </w:pPr>
      <w:r>
        <w:rPr>
          <w:b/>
          <w:sz w:val="22"/>
          <w:u w:val="single"/>
        </w:rPr>
        <w:t>R2</w:t>
      </w:r>
      <w:r w:rsidRPr="00715A1F">
        <w:rPr>
          <w:sz w:val="22"/>
        </w:rPr>
        <w:t>:</w:t>
      </w:r>
      <w:r>
        <w:rPr>
          <w:sz w:val="22"/>
        </w:rPr>
        <w:t xml:space="preserve"> </w:t>
      </w:r>
      <w:proofErr w:type="spellStart"/>
      <w:r>
        <w:rPr>
          <w:sz w:val="22"/>
        </w:rPr>
        <w:t>Crowl</w:t>
      </w:r>
      <w:proofErr w:type="spellEnd"/>
      <w:r>
        <w:rPr>
          <w:sz w:val="22"/>
        </w:rPr>
        <w:t xml:space="preserve"> D.A. and </w:t>
      </w:r>
      <w:proofErr w:type="spellStart"/>
      <w:r>
        <w:rPr>
          <w:sz w:val="22"/>
        </w:rPr>
        <w:t>Louvar</w:t>
      </w:r>
      <w:proofErr w:type="spellEnd"/>
      <w:r>
        <w:rPr>
          <w:sz w:val="22"/>
        </w:rPr>
        <w:t xml:space="preserve"> J.F., “Chemical Process Safety” Prentice Hall International Series in the Physical and Chemical Engineering Sciences. Third Edition. 2011</w:t>
      </w:r>
    </w:p>
    <w:p w:rsidR="002E604B" w:rsidRDefault="002E604B">
      <w:pPr>
        <w:jc w:val="both"/>
        <w:rPr>
          <w:sz w:val="22"/>
        </w:rPr>
      </w:pPr>
    </w:p>
    <w:p w:rsidR="004E33A3" w:rsidRPr="00D22984" w:rsidRDefault="00B1247F" w:rsidP="00D22984">
      <w:pPr>
        <w:pStyle w:val="ListParagraph"/>
        <w:numPr>
          <w:ilvl w:val="0"/>
          <w:numId w:val="5"/>
        </w:numPr>
        <w:rPr>
          <w:b/>
          <w:bCs/>
          <w:sz w:val="22"/>
        </w:rPr>
      </w:pPr>
      <w:r w:rsidRPr="00D22984">
        <w:rPr>
          <w:b/>
          <w:bCs/>
          <w:sz w:val="22"/>
        </w:rPr>
        <w:t>Course Plan:</w:t>
      </w:r>
    </w:p>
    <w:p w:rsidR="004E33A3" w:rsidRDefault="004E33A3">
      <w:pPr>
        <w:ind w:left="360"/>
        <w:rPr>
          <w:sz w:val="22"/>
        </w:rPr>
      </w:pPr>
    </w:p>
    <w:tbl>
      <w:tblPr>
        <w:tblW w:w="9828" w:type="dxa"/>
        <w:tblInd w:w="3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2520"/>
        <w:gridCol w:w="4770"/>
        <w:gridCol w:w="1530"/>
      </w:tblGrid>
      <w:tr w:rsidR="00715A1F" w:rsidTr="00BC2136">
        <w:tc>
          <w:tcPr>
            <w:tcW w:w="1008" w:type="dxa"/>
          </w:tcPr>
          <w:p w:rsidR="00715A1F" w:rsidRPr="007D006F" w:rsidRDefault="00715A1F">
            <w:pPr>
              <w:rPr>
                <w:b/>
                <w:sz w:val="22"/>
              </w:rPr>
            </w:pPr>
            <w:r w:rsidRPr="007D006F">
              <w:rPr>
                <w:b/>
                <w:sz w:val="22"/>
              </w:rPr>
              <w:t>Lecture No.</w:t>
            </w:r>
          </w:p>
        </w:tc>
        <w:tc>
          <w:tcPr>
            <w:tcW w:w="2520" w:type="dxa"/>
          </w:tcPr>
          <w:p w:rsidR="00715A1F" w:rsidRPr="007D006F" w:rsidRDefault="00A4721B" w:rsidP="00E825A4">
            <w:pPr>
              <w:rPr>
                <w:b/>
                <w:sz w:val="22"/>
              </w:rPr>
            </w:pPr>
            <w:r w:rsidRPr="00BA568D">
              <w:rPr>
                <w:b/>
                <w:bCs/>
                <w:sz w:val="22"/>
                <w:szCs w:val="22"/>
              </w:rPr>
              <w:t>Topics to be covered</w:t>
            </w:r>
          </w:p>
        </w:tc>
        <w:tc>
          <w:tcPr>
            <w:tcW w:w="4770" w:type="dxa"/>
          </w:tcPr>
          <w:p w:rsidR="00715A1F" w:rsidRDefault="00715A1F" w:rsidP="00E825A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>Learning Objectives</w:t>
            </w:r>
          </w:p>
        </w:tc>
        <w:tc>
          <w:tcPr>
            <w:tcW w:w="1530" w:type="dxa"/>
          </w:tcPr>
          <w:p w:rsidR="00715A1F" w:rsidRDefault="00A4721B" w:rsidP="00BC2136">
            <w:pPr>
              <w:tabs>
                <w:tab w:val="left" w:pos="1152"/>
                <w:tab w:val="left" w:pos="1422"/>
              </w:tabs>
              <w:ind w:right="162"/>
              <w:jc w:val="both"/>
              <w:rPr>
                <w:b/>
                <w:sz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Chapter in the </w:t>
            </w:r>
            <w:r w:rsidRPr="00BA568D">
              <w:rPr>
                <w:b/>
                <w:bCs/>
                <w:sz w:val="22"/>
                <w:szCs w:val="22"/>
              </w:rPr>
              <w:t>Text Book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1-2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Introduction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Role of safety, Accident and loss statistics</w:t>
            </w:r>
          </w:p>
        </w:tc>
        <w:tc>
          <w:tcPr>
            <w:tcW w:w="1530" w:type="dxa"/>
          </w:tcPr>
          <w:p w:rsidR="00BC2136" w:rsidRPr="00BC2136" w:rsidRDefault="00BC2136" w:rsidP="008E5191">
            <w:pPr>
              <w:tabs>
                <w:tab w:val="left" w:pos="1152"/>
                <w:tab w:val="left" w:pos="1422"/>
              </w:tabs>
              <w:ind w:right="162"/>
              <w:jc w:val="both"/>
              <w:rPr>
                <w:sz w:val="22"/>
              </w:rPr>
            </w:pPr>
            <w:proofErr w:type="spellStart"/>
            <w:r w:rsidRPr="00BC2136">
              <w:t>Ch</w:t>
            </w:r>
            <w:proofErr w:type="spellEnd"/>
            <w:r>
              <w:t xml:space="preserve"> 1 : R2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3-7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Industrial hygiene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Chemical Hazards and worker safety, Identification evaluation and control of occupational conditions</w:t>
            </w:r>
          </w:p>
        </w:tc>
        <w:tc>
          <w:tcPr>
            <w:tcW w:w="1530" w:type="dxa"/>
          </w:tcPr>
          <w:p w:rsidR="00BC2136" w:rsidRDefault="00BC2136" w:rsidP="00BC2136">
            <w:proofErr w:type="spellStart"/>
            <w:r w:rsidRPr="00F80DA5">
              <w:t>Ch</w:t>
            </w:r>
            <w:proofErr w:type="spellEnd"/>
            <w:r>
              <w:t xml:space="preserve"> 1-2 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lastRenderedPageBreak/>
              <w:t>8-11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Physical and chemical stresses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To study the hazards and worker safety in regards to noise, vibration, heat, chemicals and manufacturing processes</w:t>
            </w:r>
          </w:p>
        </w:tc>
        <w:tc>
          <w:tcPr>
            <w:tcW w:w="1530" w:type="dxa"/>
          </w:tcPr>
          <w:p w:rsidR="00BC2136" w:rsidRDefault="00BC2136" w:rsidP="00BC2136">
            <w:proofErr w:type="spellStart"/>
            <w:r w:rsidRPr="00F80DA5">
              <w:t>Ch</w:t>
            </w:r>
            <w:proofErr w:type="spellEnd"/>
            <w:r>
              <w:t xml:space="preserve"> 3-4 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12-13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Occupational Diseases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To study afflictions that arise due to effects of physical, chemical, biological and psychological hazards</w:t>
            </w:r>
          </w:p>
        </w:tc>
        <w:tc>
          <w:tcPr>
            <w:tcW w:w="1530" w:type="dxa"/>
          </w:tcPr>
          <w:p w:rsidR="00BC2136" w:rsidRDefault="00BC2136" w:rsidP="00BC2136">
            <w:proofErr w:type="spellStart"/>
            <w:r w:rsidRPr="00F80DA5">
              <w:t>Ch</w:t>
            </w:r>
            <w:proofErr w:type="spellEnd"/>
            <w:r>
              <w:t xml:space="preserve"> 7 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14-16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Personal protective equipment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Introduction, requirements, selection guidelines and study of various protective equipment</w:t>
            </w:r>
          </w:p>
        </w:tc>
        <w:tc>
          <w:tcPr>
            <w:tcW w:w="1530" w:type="dxa"/>
          </w:tcPr>
          <w:p w:rsidR="00BC2136" w:rsidRDefault="00BC2136" w:rsidP="00BC2136">
            <w:proofErr w:type="spellStart"/>
            <w:r w:rsidRPr="00F80DA5">
              <w:t>Ch</w:t>
            </w:r>
            <w:proofErr w:type="spellEnd"/>
            <w:r>
              <w:t xml:space="preserve"> 9 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17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Introduction to chemical safety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Chemical plant layout and legal requirements</w:t>
            </w:r>
          </w:p>
        </w:tc>
        <w:tc>
          <w:tcPr>
            <w:tcW w:w="1530" w:type="dxa"/>
          </w:tcPr>
          <w:p w:rsidR="00BC2136" w:rsidRDefault="00BC2136" w:rsidP="00FD5E51">
            <w:proofErr w:type="spellStart"/>
            <w:r w:rsidRPr="00F80DA5">
              <w:t>Ch</w:t>
            </w:r>
            <w:proofErr w:type="spellEnd"/>
            <w:r w:rsidRPr="00F80DA5">
              <w:t xml:space="preserve"> </w:t>
            </w:r>
            <w:r w:rsidR="00FD5E51">
              <w:t>10: T1</w:t>
            </w:r>
          </w:p>
        </w:tc>
      </w:tr>
      <w:tr w:rsidR="00BC2136" w:rsidTr="00BC2136">
        <w:trPr>
          <w:cantSplit/>
          <w:trHeight w:val="773"/>
        </w:trPr>
        <w:tc>
          <w:tcPr>
            <w:tcW w:w="1008" w:type="dxa"/>
            <w:tcBorders>
              <w:bottom w:val="single" w:sz="4" w:space="0" w:color="auto"/>
            </w:tcBorders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18-22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Hazardous Chemicals and Substances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Classification, storage and handling. Fire Precautions.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C2136" w:rsidRDefault="00BC2136" w:rsidP="00FD5E51">
            <w:proofErr w:type="spellStart"/>
            <w:r w:rsidRPr="00F80DA5">
              <w:t>Ch</w:t>
            </w:r>
            <w:proofErr w:type="spellEnd"/>
            <w:r w:rsidRPr="00F80DA5">
              <w:t xml:space="preserve"> 1</w:t>
            </w:r>
            <w:r w:rsidR="00FD5E51">
              <w:t xml:space="preserve">1-12: </w:t>
            </w:r>
            <w:r w:rsidRPr="00F80DA5">
              <w:t xml:space="preserve"> </w:t>
            </w:r>
            <w:r w:rsidR="00FD5E51">
              <w:t>T1</w:t>
            </w:r>
          </w:p>
        </w:tc>
      </w:tr>
      <w:tr w:rsidR="00BC2136" w:rsidTr="00BC2136">
        <w:trPr>
          <w:cantSplit/>
          <w:trHeight w:val="980"/>
        </w:trPr>
        <w:tc>
          <w:tcPr>
            <w:tcW w:w="1008" w:type="dxa"/>
            <w:tcBorders>
              <w:bottom w:val="single" w:sz="4" w:space="0" w:color="auto"/>
            </w:tcBorders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23-25</w:t>
            </w:r>
          </w:p>
          <w:p w:rsidR="00BC2136" w:rsidRDefault="00BC2136">
            <w:pPr>
              <w:rPr>
                <w:sz w:val="22"/>
              </w:rPr>
            </w:pP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Safety in Explosives and Pipeline Safety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Classification of explosives. Risk assessment, stress corrosion cracking, pipelines-spills.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C2136" w:rsidRDefault="00BC2136" w:rsidP="00FD5E51">
            <w:proofErr w:type="spellStart"/>
            <w:r w:rsidRPr="00F80DA5">
              <w:t>Ch</w:t>
            </w:r>
            <w:proofErr w:type="spellEnd"/>
            <w:r w:rsidRPr="00F80DA5">
              <w:t xml:space="preserve"> </w:t>
            </w:r>
            <w:r w:rsidR="00FD5E51">
              <w:t>13-14: T1</w:t>
            </w:r>
          </w:p>
        </w:tc>
      </w:tr>
      <w:tr w:rsidR="00BC2136" w:rsidTr="00BC2136">
        <w:trPr>
          <w:cantSplit/>
          <w:trHeight w:val="980"/>
        </w:trPr>
        <w:tc>
          <w:tcPr>
            <w:tcW w:w="1008" w:type="dxa"/>
            <w:tcBorders>
              <w:bottom w:val="single" w:sz="4" w:space="0" w:color="auto"/>
            </w:tcBorders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26-27</w:t>
            </w:r>
          </w:p>
        </w:tc>
        <w:tc>
          <w:tcPr>
            <w:tcW w:w="2520" w:type="dxa"/>
            <w:tcBorders>
              <w:bottom w:val="single" w:sz="4" w:space="0" w:color="auto"/>
            </w:tcBorders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Chemical process safety</w:t>
            </w:r>
          </w:p>
        </w:tc>
        <w:tc>
          <w:tcPr>
            <w:tcW w:w="4770" w:type="dxa"/>
            <w:tcBorders>
              <w:bottom w:val="single" w:sz="4" w:space="0" w:color="auto"/>
            </w:tcBorders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Introduction, hazardous chemical processes, reactors and reaction hazards and necessary precautionary measures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:rsidR="00BC2136" w:rsidRDefault="00FD5E51" w:rsidP="008E5191">
            <w:r>
              <w:t>CH 15: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28-30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Risk assessment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Risk assessment procedures and typical operational practices</w:t>
            </w:r>
          </w:p>
        </w:tc>
        <w:tc>
          <w:tcPr>
            <w:tcW w:w="1530" w:type="dxa"/>
          </w:tcPr>
          <w:p w:rsidR="00BC2136" w:rsidRDefault="00FD5E51" w:rsidP="008E5191">
            <w:r>
              <w:t>CH 16: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31-33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Hazard Identification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Hazard and operability studies</w:t>
            </w:r>
          </w:p>
        </w:tc>
        <w:tc>
          <w:tcPr>
            <w:tcW w:w="1530" w:type="dxa"/>
          </w:tcPr>
          <w:p w:rsidR="00BC2136" w:rsidRDefault="00BC2136" w:rsidP="00FD5E51">
            <w:proofErr w:type="spellStart"/>
            <w:r w:rsidRPr="00F80DA5">
              <w:t>Ch</w:t>
            </w:r>
            <w:proofErr w:type="spellEnd"/>
            <w:r w:rsidRPr="00F80DA5">
              <w:t xml:space="preserve"> 1</w:t>
            </w:r>
            <w:r w:rsidR="00FD5E51">
              <w:t>7: T1, R1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34-36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Emergency preparation and Accident investigation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On-site and off-site emergency plan and infrastructure, Learning from accidents, Layered investigation, Aids for diagnosis and recommendations</w:t>
            </w:r>
          </w:p>
        </w:tc>
        <w:tc>
          <w:tcPr>
            <w:tcW w:w="1530" w:type="dxa"/>
          </w:tcPr>
          <w:p w:rsidR="00BC2136" w:rsidRDefault="00FD5E51" w:rsidP="008E5191">
            <w:proofErr w:type="spellStart"/>
            <w:r>
              <w:t>Ch</w:t>
            </w:r>
            <w:proofErr w:type="spellEnd"/>
            <w:r>
              <w:t xml:space="preserve"> 18: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37-38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Safety audit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Introduction, essentials, requirements, programs and procedures</w:t>
            </w:r>
          </w:p>
        </w:tc>
        <w:tc>
          <w:tcPr>
            <w:tcW w:w="1530" w:type="dxa"/>
          </w:tcPr>
          <w:p w:rsidR="00BC2136" w:rsidRDefault="00FD5E51" w:rsidP="008E5191">
            <w:proofErr w:type="spellStart"/>
            <w:r>
              <w:t>Ch</w:t>
            </w:r>
            <w:proofErr w:type="spellEnd"/>
            <w:r>
              <w:t xml:space="preserve"> 19: T1</w:t>
            </w:r>
          </w:p>
        </w:tc>
      </w:tr>
      <w:tr w:rsidR="00BC2136" w:rsidTr="00BC2136">
        <w:tc>
          <w:tcPr>
            <w:tcW w:w="1008" w:type="dxa"/>
          </w:tcPr>
          <w:p w:rsidR="00BC2136" w:rsidRDefault="00BC2136">
            <w:pPr>
              <w:rPr>
                <w:sz w:val="22"/>
              </w:rPr>
            </w:pPr>
            <w:r>
              <w:rPr>
                <w:sz w:val="22"/>
              </w:rPr>
              <w:t>39-42</w:t>
            </w:r>
          </w:p>
        </w:tc>
        <w:tc>
          <w:tcPr>
            <w:tcW w:w="252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Case studies of major disasters due to safety violations</w:t>
            </w:r>
          </w:p>
        </w:tc>
        <w:tc>
          <w:tcPr>
            <w:tcW w:w="4770" w:type="dxa"/>
          </w:tcPr>
          <w:p w:rsidR="00BC2136" w:rsidRDefault="00BC2136" w:rsidP="00E825A4">
            <w:pPr>
              <w:rPr>
                <w:sz w:val="22"/>
              </w:rPr>
            </w:pPr>
            <w:r>
              <w:rPr>
                <w:sz w:val="22"/>
              </w:rPr>
              <w:t>Chernobyl disaster, Bhopal disaster, recent oil spills etc.</w:t>
            </w:r>
          </w:p>
        </w:tc>
        <w:tc>
          <w:tcPr>
            <w:tcW w:w="1530" w:type="dxa"/>
          </w:tcPr>
          <w:p w:rsidR="00BC2136" w:rsidRDefault="00FD5E51" w:rsidP="008E5191">
            <w:r>
              <w:t>R1, R2</w:t>
            </w:r>
          </w:p>
        </w:tc>
      </w:tr>
    </w:tbl>
    <w:p w:rsidR="00A526FE" w:rsidRDefault="00A526FE" w:rsidP="00A526FE">
      <w:pPr>
        <w:ind w:left="360"/>
        <w:rPr>
          <w:b/>
          <w:bCs/>
        </w:rPr>
      </w:pPr>
    </w:p>
    <w:p w:rsidR="00A526FE" w:rsidRDefault="00A526FE" w:rsidP="00A526FE">
      <w:pPr>
        <w:ind w:left="720"/>
        <w:rPr>
          <w:b/>
          <w:bCs/>
        </w:rPr>
      </w:pPr>
    </w:p>
    <w:p w:rsidR="00A526FE" w:rsidRDefault="00A526FE" w:rsidP="00A526FE">
      <w:pPr>
        <w:ind w:left="720"/>
        <w:rPr>
          <w:b/>
          <w:bCs/>
        </w:rPr>
      </w:pPr>
    </w:p>
    <w:p w:rsidR="00A526FE" w:rsidRDefault="00A526FE" w:rsidP="00A526FE">
      <w:pPr>
        <w:ind w:left="720"/>
        <w:rPr>
          <w:b/>
          <w:bCs/>
        </w:rPr>
      </w:pPr>
    </w:p>
    <w:p w:rsidR="00A526FE" w:rsidRDefault="00A526FE" w:rsidP="00A526FE">
      <w:pPr>
        <w:ind w:left="720"/>
        <w:rPr>
          <w:b/>
          <w:bCs/>
        </w:rPr>
      </w:pPr>
    </w:p>
    <w:p w:rsidR="00D22984" w:rsidRDefault="00D22984" w:rsidP="00D22984">
      <w:pPr>
        <w:numPr>
          <w:ilvl w:val="0"/>
          <w:numId w:val="4"/>
        </w:numPr>
        <w:tabs>
          <w:tab w:val="clear" w:pos="720"/>
          <w:tab w:val="num" w:pos="360"/>
        </w:tabs>
        <w:ind w:hanging="810"/>
        <w:rPr>
          <w:b/>
          <w:bCs/>
        </w:rPr>
      </w:pPr>
      <w:r w:rsidRPr="00FE7D93">
        <w:rPr>
          <w:b/>
          <w:bCs/>
        </w:rPr>
        <w:t>Evaluation Scheme:</w:t>
      </w:r>
    </w:p>
    <w:p w:rsidR="00456DD0" w:rsidRDefault="00456DD0" w:rsidP="00456DD0">
      <w:pPr>
        <w:ind w:left="720"/>
        <w:rPr>
          <w:b/>
          <w:bCs/>
        </w:rPr>
      </w:pPr>
    </w:p>
    <w:tbl>
      <w:tblPr>
        <w:tblW w:w="92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5"/>
        <w:gridCol w:w="1260"/>
        <w:gridCol w:w="1440"/>
        <w:gridCol w:w="2408"/>
        <w:gridCol w:w="1764"/>
      </w:tblGrid>
      <w:tr w:rsidR="00A526FE" w:rsidRPr="00496FBD" w:rsidTr="00A526FE">
        <w:trPr>
          <w:trHeight w:val="422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6FE" w:rsidRPr="00496FBD" w:rsidRDefault="00A526FE" w:rsidP="001D01A2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Component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6FE" w:rsidRPr="00496FBD" w:rsidRDefault="00A526FE" w:rsidP="001D01A2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Duration (minutes)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6FE" w:rsidRPr="00496FBD" w:rsidRDefault="00A526FE" w:rsidP="001D01A2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Weightage (%)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6FE" w:rsidRPr="00496FBD" w:rsidRDefault="00A526FE" w:rsidP="001D01A2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Date &amp; Time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A526FE" w:rsidRPr="00496FBD" w:rsidRDefault="00A526FE" w:rsidP="001D01A2">
            <w:pPr>
              <w:jc w:val="center"/>
              <w:rPr>
                <w:b/>
                <w:bCs/>
              </w:rPr>
            </w:pPr>
            <w:r w:rsidRPr="00496FBD">
              <w:rPr>
                <w:b/>
                <w:bCs/>
              </w:rPr>
              <w:t>Nature of Component</w:t>
            </w:r>
          </w:p>
        </w:tc>
      </w:tr>
      <w:tr w:rsidR="00A526FE" w:rsidRPr="00496FBD" w:rsidTr="00A526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91602E" w:rsidP="001D01A2">
            <w:pPr>
              <w:jc w:val="center"/>
            </w:pPr>
            <w:r>
              <w:rPr>
                <w:bCs/>
              </w:rPr>
              <w:t>Mid-</w:t>
            </w:r>
            <w:proofErr w:type="spellStart"/>
            <w:r>
              <w:rPr>
                <w:bCs/>
              </w:rPr>
              <w:t>Sem</w:t>
            </w:r>
            <w:proofErr w:type="spellEnd"/>
            <w:r>
              <w:rPr>
                <w:bCs/>
              </w:rPr>
              <w:t xml:space="preserve"> Exam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</w:pPr>
            <w:r w:rsidRPr="00496FBD">
              <w:rPr>
                <w:bCs/>
              </w:rPr>
              <w:t xml:space="preserve">90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</w:pPr>
            <w:r w:rsidRPr="00496FBD">
              <w:rPr>
                <w:bCs/>
              </w:rPr>
              <w:t>30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91602E" w:rsidP="001D01A2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t>05/11 3.30 - 5.00PM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980C3C" w:rsidP="001D01A2">
            <w:pPr>
              <w:jc w:val="center"/>
            </w:pPr>
            <w:r>
              <w:t>C</w:t>
            </w:r>
            <w:r w:rsidR="00A526FE" w:rsidRPr="00496FBD">
              <w:t>B</w:t>
            </w:r>
          </w:p>
        </w:tc>
      </w:tr>
      <w:tr w:rsidR="00A526FE" w:rsidRPr="00496FBD" w:rsidTr="00A526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Class Test (2)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 xml:space="preserve">30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20</w:t>
            </w:r>
          </w:p>
        </w:tc>
        <w:tc>
          <w:tcPr>
            <w:tcW w:w="240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A526FE" w:rsidRPr="009C5B8F" w:rsidRDefault="00A526FE" w:rsidP="001D01A2">
            <w:pPr>
              <w:pStyle w:val="Default"/>
              <w:jc w:val="center"/>
              <w:rPr>
                <w:szCs w:val="17"/>
              </w:rPr>
            </w:pPr>
            <w:r w:rsidRPr="00496FBD">
              <w:rPr>
                <w:rFonts w:ascii="Times New Roman" w:hAnsi="Times New Roman" w:cs="Times New Roman"/>
                <w:sz w:val="23"/>
                <w:szCs w:val="23"/>
              </w:rPr>
              <w:t xml:space="preserve">Evenly spaced throughout the semester 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sz w:val="23"/>
                <w:szCs w:val="23"/>
              </w:rPr>
              <w:t xml:space="preserve">OB </w:t>
            </w:r>
          </w:p>
        </w:tc>
      </w:tr>
      <w:tr w:rsidR="00A526FE" w:rsidRPr="00496FBD" w:rsidTr="00A526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Assignment (1)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TBA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10</w:t>
            </w:r>
          </w:p>
        </w:tc>
        <w:tc>
          <w:tcPr>
            <w:tcW w:w="240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szCs w:val="17"/>
              </w:rPr>
            </w:pP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OB</w:t>
            </w:r>
          </w:p>
        </w:tc>
      </w:tr>
      <w:tr w:rsidR="00A526FE" w:rsidRPr="00496FBD" w:rsidTr="00A526FE">
        <w:trPr>
          <w:trHeight w:val="530"/>
          <w:jc w:val="center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Comprehensive Exam.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E40823">
            <w:pPr>
              <w:jc w:val="center"/>
              <w:rPr>
                <w:bCs/>
              </w:rPr>
            </w:pPr>
            <w:r w:rsidRPr="00496FBD">
              <w:rPr>
                <w:bCs/>
              </w:rPr>
              <w:t>1</w:t>
            </w:r>
            <w:r w:rsidR="00E40823">
              <w:rPr>
                <w:bCs/>
              </w:rPr>
              <w:t>8</w:t>
            </w:r>
            <w:bookmarkStart w:id="0" w:name="_GoBack"/>
            <w:bookmarkEnd w:id="0"/>
            <w:r w:rsidRPr="00496FBD">
              <w:rPr>
                <w:bCs/>
              </w:rPr>
              <w:t xml:space="preserve">0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A526FE" w:rsidP="001D01A2">
            <w:pPr>
              <w:jc w:val="center"/>
              <w:rPr>
                <w:bCs/>
              </w:rPr>
            </w:pPr>
            <w:r w:rsidRPr="00496FBD">
              <w:rPr>
                <w:bCs/>
              </w:rPr>
              <w:t>40</w:t>
            </w:r>
          </w:p>
        </w:tc>
        <w:tc>
          <w:tcPr>
            <w:tcW w:w="2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91602E" w:rsidP="00A526FE">
            <w:pPr>
              <w:pStyle w:val="Default"/>
              <w:jc w:val="center"/>
              <w:rPr>
                <w:rFonts w:ascii="Times New Roman" w:hAnsi="Times New Roman" w:cs="Times New Roman"/>
                <w:sz w:val="23"/>
                <w:szCs w:val="23"/>
              </w:rPr>
            </w:pPr>
            <w:r>
              <w:t>31/12 FN</w:t>
            </w:r>
          </w:p>
        </w:tc>
        <w:tc>
          <w:tcPr>
            <w:tcW w:w="17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526FE" w:rsidRPr="00496FBD" w:rsidRDefault="00296025" w:rsidP="001D01A2">
            <w:pPr>
              <w:jc w:val="center"/>
              <w:rPr>
                <w:bCs/>
              </w:rPr>
            </w:pPr>
            <w:r>
              <w:rPr>
                <w:bCs/>
              </w:rPr>
              <w:t>C</w:t>
            </w:r>
            <w:r w:rsidR="00A526FE" w:rsidRPr="00496FBD">
              <w:rPr>
                <w:bCs/>
              </w:rPr>
              <w:t>B</w:t>
            </w:r>
          </w:p>
        </w:tc>
      </w:tr>
    </w:tbl>
    <w:p w:rsidR="00D22984" w:rsidRDefault="00D22984" w:rsidP="00D22984">
      <w:pPr>
        <w:ind w:left="720"/>
        <w:rPr>
          <w:b/>
          <w:bCs/>
        </w:rPr>
      </w:pPr>
    </w:p>
    <w:p w:rsidR="00D22984" w:rsidRPr="00FE7D93" w:rsidRDefault="00D22984" w:rsidP="00D22984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hanging="810"/>
        <w:rPr>
          <w:b/>
          <w:bCs/>
        </w:rPr>
      </w:pPr>
      <w:r w:rsidRPr="00FE7D93">
        <w:rPr>
          <w:b/>
          <w:bCs/>
        </w:rPr>
        <w:t>Chamber Consultation Hour:</w:t>
      </w:r>
      <w:r>
        <w:rPr>
          <w:b/>
          <w:bCs/>
        </w:rPr>
        <w:t xml:space="preserve"> </w:t>
      </w:r>
      <w:r w:rsidRPr="00F00252">
        <w:rPr>
          <w:bCs/>
        </w:rPr>
        <w:t>Will be anno</w:t>
      </w:r>
      <w:r w:rsidR="00A526FE">
        <w:rPr>
          <w:bCs/>
        </w:rPr>
        <w:t>unced in the class (Chamber: D-319</w:t>
      </w:r>
      <w:r w:rsidRPr="00F00252">
        <w:rPr>
          <w:bCs/>
        </w:rPr>
        <w:t>)</w:t>
      </w:r>
    </w:p>
    <w:p w:rsidR="00D22984" w:rsidRPr="00FE7D93" w:rsidRDefault="00D22984" w:rsidP="00D22984">
      <w:pPr>
        <w:numPr>
          <w:ilvl w:val="0"/>
          <w:numId w:val="4"/>
        </w:numPr>
        <w:tabs>
          <w:tab w:val="clear" w:pos="720"/>
          <w:tab w:val="num" w:pos="360"/>
        </w:tabs>
        <w:spacing w:line="360" w:lineRule="auto"/>
        <w:ind w:hanging="810"/>
        <w:rPr>
          <w:b/>
          <w:bCs/>
        </w:rPr>
      </w:pPr>
      <w:r w:rsidRPr="00FE7D93">
        <w:rPr>
          <w:b/>
          <w:bCs/>
        </w:rPr>
        <w:t xml:space="preserve">Notices: </w:t>
      </w:r>
      <w:r>
        <w:rPr>
          <w:b/>
          <w:bCs/>
        </w:rPr>
        <w:t xml:space="preserve"> </w:t>
      </w:r>
      <w:r w:rsidRPr="00795901">
        <w:rPr>
          <w:bCs/>
        </w:rPr>
        <w:t>Notices concerning the course will be displayed on the CMS website</w:t>
      </w:r>
    </w:p>
    <w:p w:rsidR="00D22984" w:rsidRPr="0091602E" w:rsidRDefault="00D22984" w:rsidP="00D22984">
      <w:pPr>
        <w:numPr>
          <w:ilvl w:val="0"/>
          <w:numId w:val="4"/>
        </w:numPr>
        <w:tabs>
          <w:tab w:val="clear" w:pos="720"/>
          <w:tab w:val="num" w:pos="360"/>
        </w:tabs>
        <w:ind w:left="360" w:hanging="450"/>
        <w:jc w:val="both"/>
        <w:rPr>
          <w:b/>
          <w:bCs/>
        </w:rPr>
      </w:pPr>
      <w:r w:rsidRPr="00795901">
        <w:rPr>
          <w:b/>
          <w:bCs/>
        </w:rPr>
        <w:t xml:space="preserve">Make-up Policy: </w:t>
      </w:r>
      <w:r w:rsidRPr="00795901">
        <w:t xml:space="preserve">Make-up </w:t>
      </w:r>
      <w:r>
        <w:t>will be</w:t>
      </w:r>
      <w:r w:rsidRPr="00795901">
        <w:t xml:space="preserve"> granted only for genuine cases with valid justification and </w:t>
      </w:r>
      <w:r>
        <w:t xml:space="preserve">only </w:t>
      </w:r>
      <w:r w:rsidRPr="00795901">
        <w:t>with prior permission of Instructor-in-charge.</w:t>
      </w:r>
    </w:p>
    <w:p w:rsidR="0091602E" w:rsidRPr="0091602E" w:rsidRDefault="0091602E" w:rsidP="0091602E">
      <w:pPr>
        <w:jc w:val="both"/>
        <w:rPr>
          <w:bCs/>
        </w:rPr>
      </w:pPr>
      <w:r>
        <w:rPr>
          <w:b/>
          <w:sz w:val="22"/>
          <w:szCs w:val="22"/>
        </w:rPr>
        <w:t xml:space="preserve">9.    </w:t>
      </w:r>
      <w:r w:rsidRPr="0091602E">
        <w:rPr>
          <w:b/>
          <w:sz w:val="22"/>
          <w:szCs w:val="22"/>
        </w:rPr>
        <w:t xml:space="preserve">Academic Honesty and Integrity Policy: </w:t>
      </w:r>
      <w:r w:rsidRPr="0091602E">
        <w:rPr>
          <w:bCs/>
        </w:rPr>
        <w:t>Academic honesty and integrity are to be maintained by all the students throughout the semester and no type of academic dishonesty is acceptable.</w:t>
      </w:r>
    </w:p>
    <w:p w:rsidR="0091602E" w:rsidRPr="00795901" w:rsidRDefault="0091602E" w:rsidP="0091602E">
      <w:pPr>
        <w:ind w:left="360"/>
        <w:jc w:val="both"/>
        <w:rPr>
          <w:b/>
          <w:bCs/>
        </w:rPr>
      </w:pPr>
    </w:p>
    <w:p w:rsidR="00D22984" w:rsidRDefault="00D22984" w:rsidP="00D22984">
      <w:pPr>
        <w:ind w:left="-90"/>
        <w:jc w:val="right"/>
        <w:rPr>
          <w:b/>
        </w:rPr>
      </w:pPr>
    </w:p>
    <w:p w:rsidR="00B1247F" w:rsidRDefault="00D22984" w:rsidP="00D22984">
      <w:pPr>
        <w:suppressAutoHyphens/>
        <w:overflowPunct w:val="0"/>
        <w:autoSpaceDE w:val="0"/>
        <w:autoSpaceDN w:val="0"/>
        <w:adjustRightInd w:val="0"/>
        <w:ind w:left="6480"/>
        <w:jc w:val="both"/>
        <w:textAlignment w:val="baseline"/>
        <w:rPr>
          <w:b/>
        </w:rPr>
      </w:pPr>
      <w:r w:rsidRPr="00F00252">
        <w:rPr>
          <w:b/>
        </w:rPr>
        <w:t>Instructor-in-charge</w:t>
      </w:r>
    </w:p>
    <w:p w:rsidR="00A526FE" w:rsidRDefault="00A526FE" w:rsidP="00D22984">
      <w:pPr>
        <w:suppressAutoHyphens/>
        <w:overflowPunct w:val="0"/>
        <w:autoSpaceDE w:val="0"/>
        <w:autoSpaceDN w:val="0"/>
        <w:adjustRightInd w:val="0"/>
        <w:ind w:left="6480"/>
        <w:jc w:val="both"/>
        <w:textAlignment w:val="baseline"/>
        <w:rPr>
          <w:b/>
          <w:bCs/>
          <w:sz w:val="22"/>
        </w:rPr>
      </w:pPr>
      <w:r>
        <w:rPr>
          <w:b/>
        </w:rPr>
        <w:t>CHE F413</w:t>
      </w:r>
    </w:p>
    <w:sectPr w:rsidR="00A526FE" w:rsidSect="008305CC">
      <w:pgSz w:w="12240" w:h="15840"/>
      <w:pgMar w:top="900" w:right="135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035D4"/>
    <w:multiLevelType w:val="hybridMultilevel"/>
    <w:tmpl w:val="7E482542"/>
    <w:lvl w:ilvl="0" w:tplc="40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2B1577EE"/>
    <w:multiLevelType w:val="hybridMultilevel"/>
    <w:tmpl w:val="7E18E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67531C"/>
    <w:multiLevelType w:val="hybridMultilevel"/>
    <w:tmpl w:val="6C2AE0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84B04C2"/>
    <w:multiLevelType w:val="hybridMultilevel"/>
    <w:tmpl w:val="71E6FE1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21B337E"/>
    <w:multiLevelType w:val="hybridMultilevel"/>
    <w:tmpl w:val="B0B21690"/>
    <w:lvl w:ilvl="0" w:tplc="04800E3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332A78"/>
    <w:multiLevelType w:val="hybridMultilevel"/>
    <w:tmpl w:val="0FF20B92"/>
    <w:lvl w:ilvl="0" w:tplc="211222F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EC2"/>
    <w:rsid w:val="000C406A"/>
    <w:rsid w:val="00232187"/>
    <w:rsid w:val="002936C6"/>
    <w:rsid w:val="00296025"/>
    <w:rsid w:val="002D3971"/>
    <w:rsid w:val="002E604B"/>
    <w:rsid w:val="003018B5"/>
    <w:rsid w:val="003507B0"/>
    <w:rsid w:val="0038647E"/>
    <w:rsid w:val="003B370C"/>
    <w:rsid w:val="003F2358"/>
    <w:rsid w:val="00412667"/>
    <w:rsid w:val="0045351C"/>
    <w:rsid w:val="00456DD0"/>
    <w:rsid w:val="00496010"/>
    <w:rsid w:val="004C145A"/>
    <w:rsid w:val="004E33A3"/>
    <w:rsid w:val="00601161"/>
    <w:rsid w:val="006727B9"/>
    <w:rsid w:val="007065F1"/>
    <w:rsid w:val="00715A1F"/>
    <w:rsid w:val="0072330D"/>
    <w:rsid w:val="00760CBA"/>
    <w:rsid w:val="007829F5"/>
    <w:rsid w:val="007D006F"/>
    <w:rsid w:val="00802A84"/>
    <w:rsid w:val="008305CC"/>
    <w:rsid w:val="00832F13"/>
    <w:rsid w:val="00842FDF"/>
    <w:rsid w:val="00864AD8"/>
    <w:rsid w:val="008A730E"/>
    <w:rsid w:val="008E5E02"/>
    <w:rsid w:val="00911639"/>
    <w:rsid w:val="0091602E"/>
    <w:rsid w:val="00980C3C"/>
    <w:rsid w:val="00990EC2"/>
    <w:rsid w:val="00A35FEA"/>
    <w:rsid w:val="00A4721B"/>
    <w:rsid w:val="00A47F60"/>
    <w:rsid w:val="00A526FE"/>
    <w:rsid w:val="00AD5E1C"/>
    <w:rsid w:val="00AE4A03"/>
    <w:rsid w:val="00B1247F"/>
    <w:rsid w:val="00B148C3"/>
    <w:rsid w:val="00B33CBE"/>
    <w:rsid w:val="00B7097D"/>
    <w:rsid w:val="00BC2136"/>
    <w:rsid w:val="00C136E2"/>
    <w:rsid w:val="00C15DA4"/>
    <w:rsid w:val="00C63162"/>
    <w:rsid w:val="00CB586A"/>
    <w:rsid w:val="00CE2C2D"/>
    <w:rsid w:val="00D05B52"/>
    <w:rsid w:val="00D22984"/>
    <w:rsid w:val="00D266A4"/>
    <w:rsid w:val="00D67EC2"/>
    <w:rsid w:val="00D91B91"/>
    <w:rsid w:val="00DB1FD7"/>
    <w:rsid w:val="00DC0C08"/>
    <w:rsid w:val="00DC5A31"/>
    <w:rsid w:val="00E1088B"/>
    <w:rsid w:val="00E40823"/>
    <w:rsid w:val="00E526DA"/>
    <w:rsid w:val="00E62D1C"/>
    <w:rsid w:val="00EB0D53"/>
    <w:rsid w:val="00EB267D"/>
    <w:rsid w:val="00F973AB"/>
    <w:rsid w:val="00FC1567"/>
    <w:rsid w:val="00FD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F6B54B"/>
  <w15:docId w15:val="{4FD4C067-D9D1-4442-A707-C89DA2276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33A3"/>
    <w:rPr>
      <w:color w:val="000000"/>
      <w:sz w:val="24"/>
      <w:szCs w:val="24"/>
    </w:rPr>
  </w:style>
  <w:style w:type="paragraph" w:styleId="Heading1">
    <w:name w:val="heading 1"/>
    <w:basedOn w:val="Normal"/>
    <w:next w:val="Normal"/>
    <w:qFormat/>
    <w:rsid w:val="004E33A3"/>
    <w:pPr>
      <w:keepNext/>
      <w:suppressAutoHyphens/>
      <w:overflowPunct w:val="0"/>
      <w:autoSpaceDE w:val="0"/>
      <w:autoSpaceDN w:val="0"/>
      <w:adjustRightInd w:val="0"/>
      <w:jc w:val="center"/>
      <w:textAlignment w:val="baseline"/>
      <w:outlineLvl w:val="0"/>
    </w:pPr>
    <w:rPr>
      <w:b/>
      <w:color w:val="auto"/>
      <w:spacing w:val="-2"/>
      <w:szCs w:val="20"/>
    </w:rPr>
  </w:style>
  <w:style w:type="paragraph" w:styleId="Heading2">
    <w:name w:val="heading 2"/>
    <w:basedOn w:val="Normal"/>
    <w:next w:val="Normal"/>
    <w:qFormat/>
    <w:rsid w:val="004E33A3"/>
    <w:pPr>
      <w:keepNext/>
      <w:outlineLvl w:val="1"/>
    </w:pPr>
    <w:rPr>
      <w:b/>
      <w:bCs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4E33A3"/>
    <w:pPr>
      <w:jc w:val="both"/>
    </w:pPr>
  </w:style>
  <w:style w:type="paragraph" w:styleId="ListParagraph">
    <w:name w:val="List Paragraph"/>
    <w:basedOn w:val="Normal"/>
    <w:uiPriority w:val="34"/>
    <w:qFormat/>
    <w:rsid w:val="00842FDF"/>
    <w:pPr>
      <w:ind w:left="720"/>
      <w:contextualSpacing/>
    </w:pPr>
  </w:style>
  <w:style w:type="table" w:styleId="TableGrid">
    <w:name w:val="Table Grid"/>
    <w:basedOn w:val="TableNormal"/>
    <w:uiPriority w:val="59"/>
    <w:rsid w:val="00D22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26FE"/>
    <w:pPr>
      <w:autoSpaceDE w:val="0"/>
      <w:autoSpaceDN w:val="0"/>
      <w:adjustRightInd w:val="0"/>
    </w:pPr>
    <w:rPr>
      <w:rFonts w:ascii="Cambria" w:hAnsi="Cambria" w:cs="Cambria"/>
      <w:color w:val="000000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94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715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BIRLA INSTITUTE OF TECHNOLOGY AND SCIENCE, PILANI</vt:lpstr>
    </vt:vector>
  </TitlesOfParts>
  <Company>PERSONNAL</Company>
  <LinksUpToDate>false</LinksUpToDate>
  <CharactersWithSpaces>4782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HAREKRISHNA</dc:creator>
  <cp:lastModifiedBy>Windows User</cp:lastModifiedBy>
  <cp:revision>11</cp:revision>
  <dcterms:created xsi:type="dcterms:W3CDTF">2022-08-19T04:20:00Z</dcterms:created>
  <dcterms:modified xsi:type="dcterms:W3CDTF">2022-08-26T11:41:00Z</dcterms:modified>
</cp:coreProperties>
</file>