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C4B" w:rsidRDefault="007C5634" w:rsidP="007C5634">
      <w:pPr>
        <w:pStyle w:val="BodyTextIndent"/>
        <w:ind w:firstLine="0"/>
      </w:pPr>
      <w:r>
        <w:t xml:space="preserve">      </w:t>
      </w:r>
    </w:p>
    <w:p w:rsidR="00CD3C4B" w:rsidRDefault="00BE1951" w:rsidP="00CD3C4B">
      <w:pPr>
        <w:pStyle w:val="BodyTextIndent"/>
        <w:ind w:firstLine="0"/>
        <w:jc w:val="center"/>
      </w:pPr>
      <w:r w:rsidRPr="00CD3C4B">
        <w:rPr>
          <w:b/>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CD3C4B" w:rsidRDefault="00CD3C4B" w:rsidP="00F85E27">
      <w:pPr>
        <w:jc w:val="center"/>
        <w:rPr>
          <w:b/>
          <w:bCs/>
        </w:rPr>
      </w:pPr>
      <w:r>
        <w:rPr>
          <w:b/>
          <w:bCs/>
        </w:rPr>
        <w:t>FIRST SEMESTER 202</w:t>
      </w:r>
      <w:r w:rsidR="00A24A12">
        <w:rPr>
          <w:b/>
          <w:bCs/>
        </w:rPr>
        <w:t>2</w:t>
      </w:r>
      <w:r>
        <w:rPr>
          <w:b/>
          <w:bCs/>
        </w:rPr>
        <w:t>-202</w:t>
      </w:r>
      <w:r w:rsidR="00A24A12">
        <w:rPr>
          <w:b/>
          <w:bCs/>
        </w:rPr>
        <w:t>3</w:t>
      </w:r>
    </w:p>
    <w:p w:rsidR="00CD3C4B" w:rsidRDefault="00CD3C4B" w:rsidP="00F85E27">
      <w:pPr>
        <w:pStyle w:val="Heading1"/>
        <w:jc w:val="center"/>
      </w:pPr>
      <w:r>
        <w:t>Course Handout Part II</w:t>
      </w:r>
    </w:p>
    <w:p w:rsidR="00CD3C4B" w:rsidRDefault="00CD3C4B" w:rsidP="00F85E27">
      <w:pPr>
        <w:pStyle w:val="BodyTextIndent"/>
        <w:ind w:firstLine="0"/>
      </w:pPr>
    </w:p>
    <w:p w:rsidR="001C5198" w:rsidRDefault="00B83524" w:rsidP="00F85E27">
      <w:pPr>
        <w:pStyle w:val="BodyTextIndent"/>
        <w:jc w:val="right"/>
      </w:pPr>
      <w:r>
        <w:tab/>
      </w:r>
      <w:r>
        <w:tab/>
      </w:r>
      <w:r>
        <w:tab/>
      </w:r>
      <w:r>
        <w:tab/>
      </w:r>
      <w:r>
        <w:tab/>
      </w:r>
      <w:r>
        <w:tab/>
      </w:r>
      <w:r>
        <w:tab/>
      </w:r>
      <w:r>
        <w:tab/>
        <w:t xml:space="preserve">Date: </w:t>
      </w:r>
      <w:r w:rsidR="00A94268">
        <w:t>29</w:t>
      </w:r>
      <w:r w:rsidR="00017D9A">
        <w:t>-0</w:t>
      </w:r>
      <w:r w:rsidR="00C41AF0">
        <w:t>8</w:t>
      </w:r>
      <w:r w:rsidR="00A376AA">
        <w:t>-</w:t>
      </w:r>
      <w:r w:rsidR="00C41AF0">
        <w:t>202</w:t>
      </w:r>
      <w:r w:rsidR="00A24A12">
        <w:t>2</w:t>
      </w:r>
    </w:p>
    <w:p w:rsidR="001C5198" w:rsidRDefault="001C5198" w:rsidP="00F85E27">
      <w:pPr>
        <w:pStyle w:val="BodyTextIndent"/>
        <w:ind w:firstLine="0"/>
      </w:pPr>
      <w:r>
        <w:t>In addition to part I (General Handout for all courses appended to the time table) this portion gives further specific details regarding the course.</w:t>
      </w:r>
    </w:p>
    <w:p w:rsidR="001C5198" w:rsidRDefault="001C5198">
      <w:pPr>
        <w:pStyle w:val="BodyTextIndent"/>
        <w:ind w:firstLine="0"/>
      </w:pPr>
      <w:r>
        <w:rPr>
          <w:b/>
          <w:bCs/>
        </w:rPr>
        <w:t>Course No.</w:t>
      </w:r>
      <w:r>
        <w:rPr>
          <w:b/>
          <w:bCs/>
        </w:rPr>
        <w:tab/>
      </w:r>
      <w:r>
        <w:rPr>
          <w:b/>
          <w:bCs/>
        </w:rPr>
        <w:tab/>
        <w:t>:</w:t>
      </w:r>
      <w:r>
        <w:tab/>
        <w:t xml:space="preserve">CHEM </w:t>
      </w:r>
      <w:r w:rsidR="007E1558">
        <w:t>F33</w:t>
      </w:r>
      <w:r w:rsidR="00A72531">
        <w:t>7</w:t>
      </w:r>
    </w:p>
    <w:p w:rsidR="001C5198" w:rsidRDefault="001C5198">
      <w:pPr>
        <w:pStyle w:val="BodyTextIndent"/>
        <w:ind w:firstLine="0"/>
      </w:pPr>
      <w:r>
        <w:rPr>
          <w:b/>
          <w:bCs/>
        </w:rPr>
        <w:t>Course Title</w:t>
      </w:r>
      <w:r>
        <w:rPr>
          <w:b/>
          <w:bCs/>
        </w:rPr>
        <w:tab/>
      </w:r>
      <w:r>
        <w:rPr>
          <w:b/>
          <w:bCs/>
        </w:rPr>
        <w:tab/>
        <w:t>:</w:t>
      </w:r>
      <w:r>
        <w:rPr>
          <w:b/>
          <w:bCs/>
        </w:rPr>
        <w:tab/>
      </w:r>
      <w:r w:rsidR="00A72531">
        <w:t>Green Chemistry and Catalysis</w:t>
      </w:r>
    </w:p>
    <w:p w:rsidR="001C5198" w:rsidRDefault="001C5198">
      <w:pPr>
        <w:pStyle w:val="BodyTextIndent"/>
        <w:ind w:firstLine="0"/>
      </w:pPr>
      <w:r>
        <w:rPr>
          <w:b/>
          <w:bCs/>
        </w:rPr>
        <w:t>Instructor-in-charge</w:t>
      </w:r>
      <w:r>
        <w:rPr>
          <w:b/>
          <w:bCs/>
        </w:rPr>
        <w:tab/>
        <w:t>:</w:t>
      </w:r>
      <w:r w:rsidR="00BB1705">
        <w:tab/>
      </w:r>
      <w:r w:rsidR="00173BBF">
        <w:t xml:space="preserve">Prof. </w:t>
      </w:r>
      <w:r w:rsidR="00BB1705">
        <w:t>R. K</w:t>
      </w:r>
      <w:r w:rsidR="00173BBF">
        <w:t>rishnan</w:t>
      </w:r>
    </w:p>
    <w:p w:rsidR="007C5634" w:rsidRDefault="007C5634">
      <w:pPr>
        <w:pStyle w:val="BodyTextIndent"/>
        <w:ind w:left="2160" w:hanging="2160"/>
        <w:rPr>
          <w:b/>
          <w:u w:val="single"/>
        </w:rPr>
      </w:pPr>
    </w:p>
    <w:p w:rsidR="00A72531" w:rsidRPr="00090862" w:rsidRDefault="00A72531" w:rsidP="00A72531">
      <w:pPr>
        <w:jc w:val="both"/>
        <w:rPr>
          <w:b/>
        </w:rPr>
      </w:pPr>
      <w:r w:rsidRPr="00090862">
        <w:rPr>
          <w:b/>
        </w:rPr>
        <w:t>1. Course Description</w:t>
      </w:r>
    </w:p>
    <w:p w:rsidR="00875B18" w:rsidRDefault="00175332" w:rsidP="00A72531">
      <w:pPr>
        <w:jc w:val="both"/>
        <w:rPr>
          <w:rFonts w:eastAsia="ScalaLF-Regular"/>
          <w:color w:val="292526"/>
        </w:rPr>
      </w:pPr>
      <w:r>
        <w:t>R</w:t>
      </w:r>
      <w:r w:rsidR="00190CD5">
        <w:t xml:space="preserve">ealizing the problems in the </w:t>
      </w:r>
      <w:r>
        <w:t xml:space="preserve">conventional chemical </w:t>
      </w:r>
      <w:r w:rsidR="0056623C">
        <w:t>designs, production and disposal practices</w:t>
      </w:r>
      <w:r w:rsidR="00C35767">
        <w:t>.</w:t>
      </w:r>
      <w:r>
        <w:t xml:space="preserve"> </w:t>
      </w:r>
      <w:r w:rsidR="00C35767">
        <w:t>E</w:t>
      </w:r>
      <w:r>
        <w:t xml:space="preserve">xploring the possibility </w:t>
      </w:r>
      <w:r w:rsidR="00145083">
        <w:t xml:space="preserve">through the suggested twelve green chemistry principles </w:t>
      </w:r>
      <w:r>
        <w:t xml:space="preserve">for alternative chemical processes for a safer and sustainable central science. </w:t>
      </w:r>
      <w:r w:rsidR="003533A1">
        <w:t xml:space="preserve">Selected topics to be covered </w:t>
      </w:r>
      <w:r w:rsidR="00721FDE">
        <w:t>include the</w:t>
      </w:r>
      <w:r w:rsidR="003533A1">
        <w:t xml:space="preserve"> </w:t>
      </w:r>
      <w:r w:rsidR="00A72531" w:rsidRPr="00090862">
        <w:t>alternative starting materials</w:t>
      </w:r>
      <w:r w:rsidR="003533A1">
        <w:t>,</w:t>
      </w:r>
      <w:r w:rsidR="00A72531" w:rsidRPr="00090862">
        <w:t xml:space="preserve"> alternative synthesis and reagents</w:t>
      </w:r>
      <w:r w:rsidR="003533A1">
        <w:t>,</w:t>
      </w:r>
      <w:r w:rsidR="00A72531" w:rsidRPr="00090862">
        <w:t xml:space="preserve"> E</w:t>
      </w:r>
      <w:r w:rsidR="003533A1">
        <w:t>-</w:t>
      </w:r>
      <w:r w:rsidR="00A72531" w:rsidRPr="00090862">
        <w:t>factor a</w:t>
      </w:r>
      <w:r w:rsidR="003533A1">
        <w:t>nd the concept of atom economy,</w:t>
      </w:r>
      <w:r w:rsidR="00A72531" w:rsidRPr="00090862">
        <w:t xml:space="preserve"> </w:t>
      </w:r>
      <w:r w:rsidR="00A72531" w:rsidRPr="00090862">
        <w:rPr>
          <w:rFonts w:eastAsia="ScalaLF-Regular"/>
          <w:color w:val="292526"/>
        </w:rPr>
        <w:t xml:space="preserve">the role of catalysis, </w:t>
      </w:r>
      <w:r w:rsidR="00A72531" w:rsidRPr="00090862">
        <w:t>alternate energy sources (microwave &amp; ultrasound),</w:t>
      </w:r>
      <w:r w:rsidR="00A72531" w:rsidRPr="00090862">
        <w:rPr>
          <w:rFonts w:eastAsia="ScalaLF-Regular"/>
          <w:color w:val="292526"/>
        </w:rPr>
        <w:t xml:space="preserve"> catalysis by solid acids and bases, bio-catalysis, catalytic reduction, catalytic oxidation, catalytic C–C bond formation, </w:t>
      </w:r>
      <w:r w:rsidR="00A72531" w:rsidRPr="00090862">
        <w:t>cascade catalysis</w:t>
      </w:r>
      <w:r w:rsidR="00A72531" w:rsidRPr="00090862">
        <w:rPr>
          <w:rFonts w:eastAsia="ScalaLF-Regular"/>
          <w:color w:val="292526"/>
        </w:rPr>
        <w:t>, enantioselective catalysis, alternative reaction media, renewable raw materials, industrial applications of catalysis.</w:t>
      </w:r>
    </w:p>
    <w:p w:rsidR="00A72531" w:rsidRPr="00090862" w:rsidRDefault="00A72531" w:rsidP="00A72531">
      <w:pPr>
        <w:jc w:val="both"/>
      </w:pPr>
      <w:r w:rsidRPr="00090862">
        <w:rPr>
          <w:rFonts w:eastAsia="ScalaLF-Regular"/>
          <w:color w:val="292526"/>
        </w:rPr>
        <w:t xml:space="preserve"> </w:t>
      </w:r>
    </w:p>
    <w:p w:rsidR="00A72531" w:rsidRPr="00090862" w:rsidRDefault="00A72531" w:rsidP="00A72531">
      <w:pPr>
        <w:jc w:val="both"/>
        <w:rPr>
          <w:b/>
        </w:rPr>
      </w:pPr>
      <w:r w:rsidRPr="00090862">
        <w:rPr>
          <w:b/>
        </w:rPr>
        <w:t>2.  Sc</w:t>
      </w:r>
      <w:r w:rsidR="00B43EBE">
        <w:rPr>
          <w:b/>
        </w:rPr>
        <w:t>ope and objective of the course</w:t>
      </w:r>
    </w:p>
    <w:p w:rsidR="00875B18" w:rsidRDefault="00A72531" w:rsidP="00A72531">
      <w:pPr>
        <w:jc w:val="both"/>
      </w:pPr>
      <w:r w:rsidRPr="00090862">
        <w:t>The objectives of this course are to provide the students with a fundamental understanding of Green Chemistry with an emphasis on the design, prepare and use of chemicals and protocols that have little or no pollution potential or environmental risk. The students will also be exposed to the development of latest technologies and methodologies for environmentally benign methods which are being practiced in industry.</w:t>
      </w:r>
    </w:p>
    <w:p w:rsidR="00430511" w:rsidRDefault="00430511" w:rsidP="00430511">
      <w:pPr>
        <w:pStyle w:val="BodyTextIndent"/>
        <w:numPr>
          <w:ilvl w:val="0"/>
          <w:numId w:val="7"/>
        </w:numPr>
        <w:ind w:left="0" w:hanging="270"/>
      </w:pPr>
      <w:r>
        <w:t>Know and realize the good and bad sides of the use and inappropriate use of chemicals in our daily life.</w:t>
      </w:r>
    </w:p>
    <w:p w:rsidR="00430511" w:rsidRDefault="00430511" w:rsidP="00430511">
      <w:pPr>
        <w:pStyle w:val="BodyTextIndent"/>
        <w:numPr>
          <w:ilvl w:val="0"/>
          <w:numId w:val="7"/>
        </w:numPr>
        <w:ind w:left="0" w:hanging="270"/>
      </w:pPr>
      <w:r>
        <w:t xml:space="preserve">Discover alternative methods for the targeted compound with less harmful effect on human and environment. </w:t>
      </w:r>
    </w:p>
    <w:p w:rsidR="00430511" w:rsidRDefault="00430511" w:rsidP="00430511">
      <w:pPr>
        <w:pStyle w:val="BodyTextIndent"/>
        <w:numPr>
          <w:ilvl w:val="0"/>
          <w:numId w:val="7"/>
        </w:numPr>
        <w:ind w:left="0" w:hanging="270"/>
      </w:pPr>
      <w:r>
        <w:t>Learn a set of suggested principles to tackle the problem in conventional way of designing and developing compounds.</w:t>
      </w:r>
    </w:p>
    <w:p w:rsidR="00430511" w:rsidRDefault="00430511" w:rsidP="00430511">
      <w:pPr>
        <w:pStyle w:val="BodyTextIndent"/>
        <w:numPr>
          <w:ilvl w:val="0"/>
          <w:numId w:val="7"/>
        </w:numPr>
        <w:ind w:left="0" w:hanging="270"/>
      </w:pPr>
      <w:r>
        <w:t>Appreciate the important roles of chemists in sustainable development for a better world.</w:t>
      </w:r>
    </w:p>
    <w:p w:rsidR="00430511" w:rsidRDefault="00430511" w:rsidP="00430511">
      <w:pPr>
        <w:pStyle w:val="BodyTextIndent"/>
        <w:numPr>
          <w:ilvl w:val="0"/>
          <w:numId w:val="7"/>
        </w:numPr>
        <w:ind w:left="0" w:hanging="270"/>
      </w:pPr>
      <w:r>
        <w:t>Exploring the Green Chemistry principles in daily life style.</w:t>
      </w:r>
    </w:p>
    <w:p w:rsidR="00430511" w:rsidRDefault="00430511" w:rsidP="00430511">
      <w:pPr>
        <w:pStyle w:val="BodyTextIndent"/>
        <w:ind w:firstLine="0"/>
      </w:pPr>
    </w:p>
    <w:p w:rsidR="00A72531" w:rsidRPr="00090862" w:rsidRDefault="00A72531" w:rsidP="00A72531">
      <w:pPr>
        <w:jc w:val="both"/>
      </w:pPr>
      <w:r w:rsidRPr="00090862">
        <w:rPr>
          <w:b/>
        </w:rPr>
        <w:t>3. Text Book</w:t>
      </w:r>
      <w:r w:rsidRPr="00090862">
        <w:t xml:space="preserve">  </w:t>
      </w:r>
    </w:p>
    <w:p w:rsidR="00A72531" w:rsidRDefault="00A72531" w:rsidP="00A72531">
      <w:pPr>
        <w:tabs>
          <w:tab w:val="left" w:pos="-180"/>
        </w:tabs>
        <w:spacing w:after="120"/>
        <w:jc w:val="both"/>
        <w:rPr>
          <w:bCs/>
          <w:color w:val="292526"/>
        </w:rPr>
      </w:pPr>
      <w:r>
        <w:rPr>
          <w:bCs/>
          <w:color w:val="292526"/>
        </w:rPr>
        <w:t xml:space="preserve">T1: </w:t>
      </w:r>
      <w:r w:rsidRPr="00090862">
        <w:rPr>
          <w:bCs/>
          <w:color w:val="292526"/>
        </w:rPr>
        <w:t xml:space="preserve">Green Chemistry and Catalysis, </w:t>
      </w:r>
      <w:r w:rsidRPr="00090862">
        <w:rPr>
          <w:bCs/>
          <w:iCs/>
          <w:color w:val="292526"/>
        </w:rPr>
        <w:t xml:space="preserve">Roger Arthur Sheldon, Isabel </w:t>
      </w:r>
      <w:proofErr w:type="spellStart"/>
      <w:r w:rsidRPr="00090862">
        <w:rPr>
          <w:bCs/>
          <w:iCs/>
          <w:color w:val="292526"/>
        </w:rPr>
        <w:t>Arends</w:t>
      </w:r>
      <w:proofErr w:type="spellEnd"/>
      <w:r w:rsidRPr="00090862">
        <w:rPr>
          <w:bCs/>
          <w:iCs/>
          <w:color w:val="292526"/>
        </w:rPr>
        <w:t xml:space="preserve">, and Ulf </w:t>
      </w:r>
      <w:proofErr w:type="spellStart"/>
      <w:r w:rsidRPr="00090862">
        <w:rPr>
          <w:bCs/>
          <w:iCs/>
          <w:color w:val="292526"/>
        </w:rPr>
        <w:t>Hanefeld</w:t>
      </w:r>
      <w:proofErr w:type="spellEnd"/>
      <w:r w:rsidRPr="00090862">
        <w:rPr>
          <w:bCs/>
          <w:iCs/>
          <w:color w:val="292526"/>
        </w:rPr>
        <w:t xml:space="preserve">, </w:t>
      </w:r>
      <w:r w:rsidRPr="00090862">
        <w:rPr>
          <w:bCs/>
          <w:color w:val="292526"/>
        </w:rPr>
        <w:t>Wiley, 2007.</w:t>
      </w:r>
    </w:p>
    <w:p w:rsidR="00A72531" w:rsidRDefault="00A72531" w:rsidP="00A72531">
      <w:pPr>
        <w:rPr>
          <w:b/>
          <w:bCs/>
        </w:rPr>
      </w:pPr>
      <w:r w:rsidRPr="00090862">
        <w:rPr>
          <w:b/>
        </w:rPr>
        <w:t>4. Reference Books</w:t>
      </w:r>
    </w:p>
    <w:p w:rsidR="00875B18" w:rsidRPr="00875B18" w:rsidRDefault="00875B18" w:rsidP="00A72531">
      <w:pPr>
        <w:rPr>
          <w:bCs/>
        </w:rPr>
      </w:pPr>
      <w:r>
        <w:rPr>
          <w:bCs/>
        </w:rPr>
        <w:t xml:space="preserve">R1: </w:t>
      </w:r>
      <w:r>
        <w:rPr>
          <w:bCs/>
          <w:color w:val="292526"/>
        </w:rPr>
        <w:t xml:space="preserve">Green Chemistry: Theory and Practice, Paul T. </w:t>
      </w:r>
      <w:proofErr w:type="spellStart"/>
      <w:r>
        <w:rPr>
          <w:bCs/>
          <w:color w:val="292526"/>
        </w:rPr>
        <w:t>Anastas</w:t>
      </w:r>
      <w:proofErr w:type="spellEnd"/>
      <w:r>
        <w:rPr>
          <w:bCs/>
          <w:color w:val="292526"/>
        </w:rPr>
        <w:t xml:space="preserve"> and John C. Warner, Oxford, 2000.</w:t>
      </w:r>
    </w:p>
    <w:p w:rsidR="00A72531" w:rsidRDefault="00875B18" w:rsidP="00A72531">
      <w:r>
        <w:rPr>
          <w:bCs/>
        </w:rPr>
        <w:t>R2</w:t>
      </w:r>
      <w:r w:rsidR="00A72531" w:rsidRPr="00356E94">
        <w:rPr>
          <w:bCs/>
        </w:rPr>
        <w:t xml:space="preserve">: </w:t>
      </w:r>
      <w:r w:rsidR="00A72531" w:rsidRPr="00356E94">
        <w:t>New trends in Green Chemistry</w:t>
      </w:r>
      <w:r w:rsidR="00A72531">
        <w:t xml:space="preserve">, </w:t>
      </w:r>
      <w:r w:rsidR="00A72531" w:rsidRPr="00356E94">
        <w:t xml:space="preserve">V. K. Ahluwalia, M. </w:t>
      </w:r>
      <w:proofErr w:type="spellStart"/>
      <w:r w:rsidR="00A72531" w:rsidRPr="00356E94">
        <w:t>Kidwai</w:t>
      </w:r>
      <w:proofErr w:type="spellEnd"/>
      <w:r w:rsidR="00A72531" w:rsidRPr="00356E94">
        <w:t>, New Age Publications, 2004.</w:t>
      </w:r>
    </w:p>
    <w:p w:rsidR="00A72531" w:rsidRDefault="00875B18" w:rsidP="00A72531">
      <w:r>
        <w:t>R3</w:t>
      </w:r>
      <w:r w:rsidR="00A72531">
        <w:t>: Green Organic Chemistry in Lecture and Laboratory, Ed., A. P. Dicks, CRC Press, 2012.</w:t>
      </w:r>
    </w:p>
    <w:p w:rsidR="00875B18" w:rsidRPr="00356E94" w:rsidRDefault="00875B18" w:rsidP="00A72531"/>
    <w:p w:rsidR="00A72531" w:rsidRPr="00090862" w:rsidRDefault="00A72531" w:rsidP="00A72531">
      <w:pPr>
        <w:ind w:left="86" w:hanging="86"/>
        <w:rPr>
          <w:b/>
          <w:bCs/>
        </w:rPr>
      </w:pPr>
      <w:r w:rsidRPr="00090862">
        <w:rPr>
          <w:b/>
        </w:rPr>
        <w:t>5.  Course Plan</w:t>
      </w:r>
      <w:r w:rsidRPr="00090862">
        <w:rPr>
          <w:b/>
          <w:bCs/>
        </w:rPr>
        <w:t xml:space="preserve">: </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701"/>
        <w:gridCol w:w="5115"/>
        <w:gridCol w:w="1689"/>
        <w:gridCol w:w="1134"/>
      </w:tblGrid>
      <w:tr w:rsidR="00BE1951" w:rsidRPr="00090862" w:rsidTr="00652CFE">
        <w:trPr>
          <w:trHeight w:val="584"/>
        </w:trPr>
        <w:tc>
          <w:tcPr>
            <w:tcW w:w="851" w:type="dxa"/>
          </w:tcPr>
          <w:p w:rsidR="00BE1951" w:rsidRPr="00090862" w:rsidRDefault="00BE1951" w:rsidP="00495216">
            <w:pPr>
              <w:jc w:val="center"/>
              <w:rPr>
                <w:b/>
              </w:rPr>
            </w:pPr>
            <w:proofErr w:type="spellStart"/>
            <w:r w:rsidRPr="00090862">
              <w:rPr>
                <w:b/>
              </w:rPr>
              <w:t>Lec</w:t>
            </w:r>
            <w:proofErr w:type="spellEnd"/>
            <w:r w:rsidRPr="00090862">
              <w:rPr>
                <w:b/>
              </w:rPr>
              <w:t>. No.</w:t>
            </w:r>
          </w:p>
        </w:tc>
        <w:tc>
          <w:tcPr>
            <w:tcW w:w="1701" w:type="dxa"/>
          </w:tcPr>
          <w:p w:rsidR="00BE1951" w:rsidRPr="00090862" w:rsidRDefault="00BE1951" w:rsidP="00495216">
            <w:pPr>
              <w:jc w:val="center"/>
              <w:rPr>
                <w:b/>
              </w:rPr>
            </w:pPr>
            <w:r w:rsidRPr="00090862">
              <w:rPr>
                <w:b/>
              </w:rPr>
              <w:t>Topics to be covered</w:t>
            </w:r>
          </w:p>
        </w:tc>
        <w:tc>
          <w:tcPr>
            <w:tcW w:w="5115" w:type="dxa"/>
          </w:tcPr>
          <w:p w:rsidR="00BE1951" w:rsidRPr="00090862" w:rsidRDefault="00BE1951" w:rsidP="00495216">
            <w:pPr>
              <w:jc w:val="center"/>
              <w:rPr>
                <w:b/>
              </w:rPr>
            </w:pPr>
            <w:r w:rsidRPr="00090862">
              <w:rPr>
                <w:b/>
              </w:rPr>
              <w:t>Learning Objectives</w:t>
            </w:r>
          </w:p>
        </w:tc>
        <w:tc>
          <w:tcPr>
            <w:tcW w:w="1689" w:type="dxa"/>
          </w:tcPr>
          <w:p w:rsidR="00BE1951" w:rsidRPr="00090862" w:rsidRDefault="00BE1951" w:rsidP="00495216">
            <w:pPr>
              <w:rPr>
                <w:b/>
              </w:rPr>
            </w:pPr>
            <w:r>
              <w:rPr>
                <w:b/>
              </w:rPr>
              <w:t>Learning outcome</w:t>
            </w:r>
          </w:p>
        </w:tc>
        <w:tc>
          <w:tcPr>
            <w:tcW w:w="1134" w:type="dxa"/>
            <w:vAlign w:val="center"/>
          </w:tcPr>
          <w:p w:rsidR="00BE1951" w:rsidRPr="00090862" w:rsidRDefault="00A86244" w:rsidP="00495216">
            <w:pPr>
              <w:rPr>
                <w:b/>
              </w:rPr>
            </w:pPr>
            <w:r>
              <w:rPr>
                <w:b/>
                <w:bCs/>
                <w:sz w:val="22"/>
                <w:szCs w:val="22"/>
              </w:rPr>
              <w:t xml:space="preserve">Chapter in the </w:t>
            </w:r>
            <w:r w:rsidRPr="00BA568D">
              <w:rPr>
                <w:b/>
                <w:bCs/>
                <w:sz w:val="22"/>
                <w:szCs w:val="22"/>
              </w:rPr>
              <w:t>Text Book</w:t>
            </w:r>
          </w:p>
        </w:tc>
      </w:tr>
      <w:tr w:rsidR="00BE1951" w:rsidRPr="00090862" w:rsidTr="00652CFE">
        <w:trPr>
          <w:trHeight w:val="674"/>
        </w:trPr>
        <w:tc>
          <w:tcPr>
            <w:tcW w:w="851" w:type="dxa"/>
          </w:tcPr>
          <w:p w:rsidR="00BE1951" w:rsidRPr="00090862" w:rsidRDefault="00BE1951" w:rsidP="00495216">
            <w:pPr>
              <w:jc w:val="center"/>
              <w:rPr>
                <w:bCs/>
                <w:iCs/>
              </w:rPr>
            </w:pPr>
            <w:r w:rsidRPr="00090862">
              <w:rPr>
                <w:bCs/>
                <w:iCs/>
              </w:rPr>
              <w:t>1-4</w:t>
            </w:r>
          </w:p>
        </w:tc>
        <w:tc>
          <w:tcPr>
            <w:tcW w:w="1701" w:type="dxa"/>
          </w:tcPr>
          <w:p w:rsidR="00BE1951" w:rsidRPr="00090862" w:rsidRDefault="00BE1951" w:rsidP="00495216">
            <w:pPr>
              <w:rPr>
                <w:bCs/>
                <w:iCs/>
              </w:rPr>
            </w:pPr>
            <w:r w:rsidRPr="00090862">
              <w:rPr>
                <w:bCs/>
                <w:iCs/>
              </w:rPr>
              <w:t xml:space="preserve">Introduction and Tools of  Green </w:t>
            </w:r>
            <w:r w:rsidRPr="00090862">
              <w:rPr>
                <w:bCs/>
                <w:iCs/>
              </w:rPr>
              <w:lastRenderedPageBreak/>
              <w:t>Chemistry</w:t>
            </w:r>
          </w:p>
        </w:tc>
        <w:tc>
          <w:tcPr>
            <w:tcW w:w="5115" w:type="dxa"/>
          </w:tcPr>
          <w:p w:rsidR="00BE1951" w:rsidRPr="00090862" w:rsidRDefault="00BE1951" w:rsidP="00495216">
            <w:pPr>
              <w:jc w:val="both"/>
              <w:rPr>
                <w:bCs/>
                <w:iCs/>
              </w:rPr>
            </w:pPr>
            <w:r w:rsidRPr="00090862">
              <w:rPr>
                <w:bCs/>
                <w:iCs/>
              </w:rPr>
              <w:lastRenderedPageBreak/>
              <w:t xml:space="preserve">Definition and overview of the twelve principles of Green Chemistry, E factor and the concept of atom economy, Alternative </w:t>
            </w:r>
            <w:proofErr w:type="spellStart"/>
            <w:r w:rsidRPr="00090862">
              <w:rPr>
                <w:bCs/>
                <w:iCs/>
              </w:rPr>
              <w:t>feedstocks</w:t>
            </w:r>
            <w:proofErr w:type="spellEnd"/>
            <w:r w:rsidRPr="00090862">
              <w:rPr>
                <w:bCs/>
                <w:iCs/>
              </w:rPr>
              <w:t xml:space="preserve">/starting </w:t>
            </w:r>
            <w:r w:rsidRPr="00090862">
              <w:rPr>
                <w:bCs/>
                <w:iCs/>
              </w:rPr>
              <w:lastRenderedPageBreak/>
              <w:t>materials, reagents, solvents, product/target molecule and catalysts</w:t>
            </w:r>
            <w:r>
              <w:rPr>
                <w:bCs/>
                <w:iCs/>
              </w:rPr>
              <w:t>.</w:t>
            </w:r>
          </w:p>
        </w:tc>
        <w:tc>
          <w:tcPr>
            <w:tcW w:w="1689" w:type="dxa"/>
          </w:tcPr>
          <w:p w:rsidR="00BE1951" w:rsidRPr="00090862" w:rsidRDefault="004675CC" w:rsidP="00495216">
            <w:r>
              <w:lastRenderedPageBreak/>
              <w:t>Importance of green chemical methods</w:t>
            </w:r>
            <w:r w:rsidR="00430511">
              <w:t>.</w:t>
            </w:r>
          </w:p>
        </w:tc>
        <w:tc>
          <w:tcPr>
            <w:tcW w:w="1134" w:type="dxa"/>
          </w:tcPr>
          <w:p w:rsidR="00BE1951" w:rsidRPr="00090862" w:rsidRDefault="00BE1951" w:rsidP="00495216">
            <w:r w:rsidRPr="00090862">
              <w:t xml:space="preserve">T1 1.1-1.3 Lecture </w:t>
            </w:r>
            <w:r w:rsidRPr="00090862">
              <w:lastRenderedPageBreak/>
              <w:t>notes</w:t>
            </w:r>
          </w:p>
          <w:p w:rsidR="00BE1951" w:rsidRPr="00090862" w:rsidRDefault="00BE1951" w:rsidP="00495216"/>
        </w:tc>
      </w:tr>
      <w:tr w:rsidR="00BE1951" w:rsidRPr="00090862" w:rsidTr="00652CFE">
        <w:trPr>
          <w:trHeight w:val="674"/>
        </w:trPr>
        <w:tc>
          <w:tcPr>
            <w:tcW w:w="851" w:type="dxa"/>
          </w:tcPr>
          <w:p w:rsidR="00BE1951" w:rsidRPr="00090862" w:rsidRDefault="00BE1951" w:rsidP="00495216">
            <w:pPr>
              <w:jc w:val="center"/>
              <w:rPr>
                <w:bCs/>
                <w:iCs/>
              </w:rPr>
            </w:pPr>
            <w:r w:rsidRPr="00090862">
              <w:rPr>
                <w:bCs/>
                <w:iCs/>
              </w:rPr>
              <w:lastRenderedPageBreak/>
              <w:t>5-9</w:t>
            </w:r>
          </w:p>
        </w:tc>
        <w:tc>
          <w:tcPr>
            <w:tcW w:w="1701" w:type="dxa"/>
          </w:tcPr>
          <w:p w:rsidR="00BE1951" w:rsidRPr="00090862" w:rsidRDefault="00BE1951" w:rsidP="00495216">
            <w:pPr>
              <w:rPr>
                <w:bCs/>
                <w:iCs/>
              </w:rPr>
            </w:pPr>
            <w:r w:rsidRPr="00090862">
              <w:rPr>
                <w:bCs/>
                <w:iCs/>
              </w:rPr>
              <w:t xml:space="preserve">Solid acids and bases as catalyst and </w:t>
            </w:r>
            <w:proofErr w:type="spellStart"/>
            <w:r w:rsidRPr="00090862">
              <w:rPr>
                <w:bCs/>
                <w:iCs/>
              </w:rPr>
              <w:t>Biocatalysis</w:t>
            </w:r>
            <w:proofErr w:type="spellEnd"/>
          </w:p>
        </w:tc>
        <w:tc>
          <w:tcPr>
            <w:tcW w:w="5115" w:type="dxa"/>
          </w:tcPr>
          <w:p w:rsidR="00BE1951" w:rsidRPr="00090862" w:rsidRDefault="00BE1951" w:rsidP="00495216">
            <w:pPr>
              <w:autoSpaceDE w:val="0"/>
              <w:autoSpaceDN w:val="0"/>
              <w:adjustRightInd w:val="0"/>
              <w:jc w:val="both"/>
              <w:rPr>
                <w:bCs/>
                <w:iCs/>
              </w:rPr>
            </w:pPr>
            <w:r w:rsidRPr="00090862">
              <w:rPr>
                <w:bCs/>
                <w:iCs/>
              </w:rPr>
              <w:t xml:space="preserve">Acidic clays, Zeolites and </w:t>
            </w:r>
            <w:proofErr w:type="spellStart"/>
            <w:r w:rsidRPr="00090862">
              <w:rPr>
                <w:bCs/>
                <w:iCs/>
              </w:rPr>
              <w:t>Zeotypes</w:t>
            </w:r>
            <w:proofErr w:type="spellEnd"/>
            <w:r w:rsidRPr="00090862">
              <w:rPr>
                <w:bCs/>
                <w:iCs/>
              </w:rPr>
              <w:t>, Solid Acids Containing Surface SO</w:t>
            </w:r>
            <w:r w:rsidRPr="00090862">
              <w:rPr>
                <w:bCs/>
                <w:iCs/>
                <w:vertAlign w:val="subscript"/>
              </w:rPr>
              <w:t>3</w:t>
            </w:r>
            <w:r w:rsidRPr="00090862">
              <w:rPr>
                <w:bCs/>
                <w:iCs/>
              </w:rPr>
              <w:t xml:space="preserve">H Functionality,  </w:t>
            </w:r>
            <w:proofErr w:type="spellStart"/>
            <w:r w:rsidRPr="00090862">
              <w:rPr>
                <w:bCs/>
                <w:iCs/>
              </w:rPr>
              <w:t>Heteropoly</w:t>
            </w:r>
            <w:proofErr w:type="spellEnd"/>
            <w:r w:rsidRPr="00090862">
              <w:rPr>
                <w:bCs/>
                <w:iCs/>
              </w:rPr>
              <w:t xml:space="preserve"> Acids, Anionic Clays: </w:t>
            </w:r>
            <w:proofErr w:type="spellStart"/>
            <w:r w:rsidRPr="00090862">
              <w:rPr>
                <w:bCs/>
                <w:iCs/>
              </w:rPr>
              <w:t>Hydrotalcites</w:t>
            </w:r>
            <w:proofErr w:type="spellEnd"/>
            <w:r w:rsidRPr="00090862">
              <w:rPr>
                <w:bCs/>
                <w:iCs/>
              </w:rPr>
              <w:t>, Basic Zeolites, Organic Bases Attached to Mesoporous Silica,  Catalysis by enzymes and microorganisms</w:t>
            </w:r>
            <w:r>
              <w:rPr>
                <w:bCs/>
                <w:iCs/>
              </w:rPr>
              <w:t>.</w:t>
            </w:r>
          </w:p>
        </w:tc>
        <w:tc>
          <w:tcPr>
            <w:tcW w:w="1689" w:type="dxa"/>
          </w:tcPr>
          <w:p w:rsidR="00BE1951" w:rsidRPr="00090862" w:rsidRDefault="004675CC" w:rsidP="00495216">
            <w:r>
              <w:t>Advantages of catalytic methods.</w:t>
            </w:r>
          </w:p>
        </w:tc>
        <w:tc>
          <w:tcPr>
            <w:tcW w:w="1134" w:type="dxa"/>
          </w:tcPr>
          <w:p w:rsidR="00BE1951" w:rsidRPr="00090862" w:rsidRDefault="00BE1951" w:rsidP="00495216">
            <w:r w:rsidRPr="00090862">
              <w:t>T1 2.1-2.4</w:t>
            </w:r>
          </w:p>
        </w:tc>
      </w:tr>
      <w:tr w:rsidR="00BE1951" w:rsidRPr="00090862" w:rsidTr="00652CFE">
        <w:trPr>
          <w:trHeight w:val="647"/>
        </w:trPr>
        <w:tc>
          <w:tcPr>
            <w:tcW w:w="851" w:type="dxa"/>
          </w:tcPr>
          <w:p w:rsidR="00BE1951" w:rsidRPr="00090862" w:rsidRDefault="00BE1951" w:rsidP="00495216">
            <w:pPr>
              <w:jc w:val="center"/>
              <w:rPr>
                <w:bCs/>
                <w:iCs/>
              </w:rPr>
            </w:pPr>
            <w:r w:rsidRPr="00090862">
              <w:rPr>
                <w:bCs/>
                <w:iCs/>
              </w:rPr>
              <w:t>10-13</w:t>
            </w:r>
          </w:p>
        </w:tc>
        <w:tc>
          <w:tcPr>
            <w:tcW w:w="1701" w:type="dxa"/>
          </w:tcPr>
          <w:p w:rsidR="00BE1951" w:rsidRPr="00090862" w:rsidRDefault="00BE1951" w:rsidP="00495216">
            <w:pPr>
              <w:rPr>
                <w:bCs/>
                <w:iCs/>
              </w:rPr>
            </w:pPr>
            <w:r w:rsidRPr="00090862">
              <w:rPr>
                <w:bCs/>
                <w:iCs/>
              </w:rPr>
              <w:t>Catalytic reduction</w:t>
            </w:r>
          </w:p>
        </w:tc>
        <w:tc>
          <w:tcPr>
            <w:tcW w:w="5115" w:type="dxa"/>
          </w:tcPr>
          <w:p w:rsidR="00BE1951" w:rsidRPr="00090862" w:rsidRDefault="00BE1951" w:rsidP="00D73835">
            <w:pPr>
              <w:autoSpaceDE w:val="0"/>
              <w:autoSpaceDN w:val="0"/>
              <w:adjustRightInd w:val="0"/>
              <w:jc w:val="both"/>
              <w:rPr>
                <w:bCs/>
                <w:iCs/>
              </w:rPr>
            </w:pPr>
            <w:r w:rsidRPr="00090862">
              <w:rPr>
                <w:bCs/>
                <w:iCs/>
              </w:rPr>
              <w:t xml:space="preserve">Heterogeneous Reduction Catalysts: General Properties, Transfer Hydrogenation Using Homogeneous and Heterogeneous Catalysts, Chiral Homogeneous and Heterogeneous Reduction Catalysts, </w:t>
            </w:r>
            <w:proofErr w:type="spellStart"/>
            <w:r w:rsidRPr="00090862">
              <w:rPr>
                <w:bCs/>
                <w:iCs/>
              </w:rPr>
              <w:t>Biocatalytic</w:t>
            </w:r>
            <w:proofErr w:type="spellEnd"/>
            <w:r w:rsidRPr="00090862">
              <w:rPr>
                <w:bCs/>
                <w:iCs/>
              </w:rPr>
              <w:t xml:space="preserve"> Reductions</w:t>
            </w:r>
            <w:r>
              <w:rPr>
                <w:bCs/>
                <w:iCs/>
              </w:rPr>
              <w:t>,</w:t>
            </w:r>
            <w:r w:rsidRPr="00090862">
              <w:rPr>
                <w:bCs/>
                <w:iCs/>
              </w:rPr>
              <w:t xml:space="preserve"> Enzyme and Whole Cell Technology for </w:t>
            </w:r>
            <w:proofErr w:type="spellStart"/>
            <w:r w:rsidRPr="00090862">
              <w:rPr>
                <w:bCs/>
                <w:iCs/>
              </w:rPr>
              <w:t>Biocatalytic</w:t>
            </w:r>
            <w:proofErr w:type="spellEnd"/>
            <w:r w:rsidRPr="00090862">
              <w:rPr>
                <w:bCs/>
                <w:iCs/>
              </w:rPr>
              <w:t xml:space="preserve"> Reduction</w:t>
            </w:r>
            <w:r>
              <w:rPr>
                <w:bCs/>
                <w:iCs/>
              </w:rPr>
              <w:t>.</w:t>
            </w:r>
            <w:r w:rsidRPr="00090862">
              <w:rPr>
                <w:bCs/>
                <w:iCs/>
              </w:rPr>
              <w:t xml:space="preserve"> </w:t>
            </w:r>
          </w:p>
        </w:tc>
        <w:tc>
          <w:tcPr>
            <w:tcW w:w="1689" w:type="dxa"/>
          </w:tcPr>
          <w:p w:rsidR="00BE1951" w:rsidRPr="00090862" w:rsidRDefault="004675CC" w:rsidP="00495216">
            <w:r>
              <w:t>Better methods for reduction reactions.</w:t>
            </w:r>
          </w:p>
        </w:tc>
        <w:tc>
          <w:tcPr>
            <w:tcW w:w="1134" w:type="dxa"/>
          </w:tcPr>
          <w:p w:rsidR="00BE1951" w:rsidRPr="00090862" w:rsidRDefault="00BE1951" w:rsidP="00495216">
            <w:r w:rsidRPr="00090862">
              <w:t>T1 3.1-3.5</w:t>
            </w:r>
          </w:p>
        </w:tc>
      </w:tr>
      <w:tr w:rsidR="00BE1951" w:rsidRPr="00090862" w:rsidTr="00652CFE">
        <w:trPr>
          <w:trHeight w:val="647"/>
        </w:trPr>
        <w:tc>
          <w:tcPr>
            <w:tcW w:w="851" w:type="dxa"/>
          </w:tcPr>
          <w:p w:rsidR="00BE1951" w:rsidRPr="00090862" w:rsidRDefault="00BE1951" w:rsidP="00495216">
            <w:pPr>
              <w:jc w:val="center"/>
              <w:rPr>
                <w:bCs/>
                <w:iCs/>
              </w:rPr>
            </w:pPr>
            <w:r w:rsidRPr="00090862">
              <w:rPr>
                <w:bCs/>
                <w:iCs/>
              </w:rPr>
              <w:t>14-17</w:t>
            </w:r>
          </w:p>
        </w:tc>
        <w:tc>
          <w:tcPr>
            <w:tcW w:w="1701" w:type="dxa"/>
          </w:tcPr>
          <w:p w:rsidR="00BE1951" w:rsidRPr="00090862" w:rsidRDefault="00BE1951" w:rsidP="00495216">
            <w:pPr>
              <w:rPr>
                <w:bCs/>
                <w:iCs/>
              </w:rPr>
            </w:pPr>
            <w:r w:rsidRPr="00090862">
              <w:rPr>
                <w:bCs/>
                <w:iCs/>
              </w:rPr>
              <w:t>Catalytic oxidation</w:t>
            </w:r>
          </w:p>
        </w:tc>
        <w:tc>
          <w:tcPr>
            <w:tcW w:w="5115" w:type="dxa"/>
          </w:tcPr>
          <w:p w:rsidR="00BE1951" w:rsidRPr="00090862" w:rsidRDefault="00BE1951" w:rsidP="00495216">
            <w:pPr>
              <w:jc w:val="both"/>
              <w:rPr>
                <w:bCs/>
                <w:iCs/>
              </w:rPr>
            </w:pPr>
            <w:r w:rsidRPr="00090862">
              <w:rPr>
                <w:bCs/>
                <w:iCs/>
              </w:rPr>
              <w:t xml:space="preserve">Mechanisms of Metal-catalyzed Oxidations: General Considerations, </w:t>
            </w:r>
            <w:proofErr w:type="spellStart"/>
            <w:r w:rsidRPr="00090862">
              <w:rPr>
                <w:bCs/>
                <w:iCs/>
              </w:rPr>
              <w:t>Homolytic</w:t>
            </w:r>
            <w:proofErr w:type="spellEnd"/>
            <w:r w:rsidRPr="00090862">
              <w:rPr>
                <w:bCs/>
                <w:iCs/>
              </w:rPr>
              <w:t xml:space="preserve"> and </w:t>
            </w:r>
            <w:proofErr w:type="spellStart"/>
            <w:r w:rsidRPr="00090862">
              <w:rPr>
                <w:bCs/>
                <w:iCs/>
              </w:rPr>
              <w:t>Heterolytic</w:t>
            </w:r>
            <w:proofErr w:type="spellEnd"/>
            <w:r w:rsidRPr="00090862">
              <w:rPr>
                <w:bCs/>
                <w:iCs/>
              </w:rPr>
              <w:t xml:space="preserve"> Mechanisms,  Direct </w:t>
            </w:r>
            <w:proofErr w:type="spellStart"/>
            <w:r w:rsidRPr="00090862">
              <w:rPr>
                <w:bCs/>
                <w:iCs/>
              </w:rPr>
              <w:t>Homolytic</w:t>
            </w:r>
            <w:proofErr w:type="spellEnd"/>
            <w:r w:rsidRPr="00090862">
              <w:rPr>
                <w:bCs/>
                <w:iCs/>
              </w:rPr>
              <w:t xml:space="preserve"> Oxidation of Organic Substrates, Catalytic Oxygen Transfer, Ligand Design in Oxidation Catalysis, Enzyme Catalyzed Oxidations</w:t>
            </w:r>
            <w:r>
              <w:rPr>
                <w:bCs/>
                <w:iCs/>
              </w:rPr>
              <w:t>.</w:t>
            </w:r>
          </w:p>
        </w:tc>
        <w:tc>
          <w:tcPr>
            <w:tcW w:w="1689" w:type="dxa"/>
          </w:tcPr>
          <w:p w:rsidR="00BE1951" w:rsidRPr="00090862" w:rsidRDefault="004675CC" w:rsidP="00495216">
            <w:r>
              <w:t>Greener alternative methods for oxidation reactions.</w:t>
            </w:r>
          </w:p>
        </w:tc>
        <w:tc>
          <w:tcPr>
            <w:tcW w:w="1134" w:type="dxa"/>
          </w:tcPr>
          <w:p w:rsidR="00BE1951" w:rsidRPr="00090862" w:rsidRDefault="00BE1951" w:rsidP="00495216">
            <w:r w:rsidRPr="00090862">
              <w:t>T1 4.1-4.5</w:t>
            </w:r>
          </w:p>
        </w:tc>
      </w:tr>
      <w:tr w:rsidR="00BE1951" w:rsidRPr="00090862" w:rsidTr="00652CFE">
        <w:trPr>
          <w:trHeight w:val="539"/>
        </w:trPr>
        <w:tc>
          <w:tcPr>
            <w:tcW w:w="851" w:type="dxa"/>
          </w:tcPr>
          <w:p w:rsidR="00BE1951" w:rsidRPr="00090862" w:rsidRDefault="00BE1951" w:rsidP="00495216">
            <w:pPr>
              <w:jc w:val="center"/>
              <w:rPr>
                <w:bCs/>
                <w:iCs/>
              </w:rPr>
            </w:pPr>
            <w:r w:rsidRPr="00090862">
              <w:rPr>
                <w:bCs/>
                <w:iCs/>
              </w:rPr>
              <w:t>18-21</w:t>
            </w:r>
          </w:p>
        </w:tc>
        <w:tc>
          <w:tcPr>
            <w:tcW w:w="1701" w:type="dxa"/>
          </w:tcPr>
          <w:p w:rsidR="00BE1951" w:rsidRPr="00090862" w:rsidRDefault="00BE1951" w:rsidP="00495216">
            <w:pPr>
              <w:rPr>
                <w:bCs/>
                <w:iCs/>
              </w:rPr>
            </w:pPr>
            <w:r w:rsidRPr="00090862">
              <w:rPr>
                <w:bCs/>
                <w:iCs/>
              </w:rPr>
              <w:t>Catalytic C–C bond formation</w:t>
            </w:r>
          </w:p>
        </w:tc>
        <w:tc>
          <w:tcPr>
            <w:tcW w:w="5115" w:type="dxa"/>
          </w:tcPr>
          <w:p w:rsidR="00BE1951" w:rsidRPr="00090862" w:rsidRDefault="00BE1951" w:rsidP="00495216">
            <w:pPr>
              <w:jc w:val="both"/>
              <w:rPr>
                <w:bCs/>
                <w:iCs/>
              </w:rPr>
            </w:pPr>
            <w:r w:rsidRPr="00090862">
              <w:rPr>
                <w:bCs/>
                <w:iCs/>
              </w:rPr>
              <w:t xml:space="preserve">Enzymes for Carbon–Carbon Bond Formation, Transition Metal Catalysis, </w:t>
            </w:r>
            <w:proofErr w:type="spellStart"/>
            <w:r w:rsidRPr="00090862">
              <w:rPr>
                <w:bCs/>
                <w:iCs/>
              </w:rPr>
              <w:t>organocatalysis</w:t>
            </w:r>
            <w:proofErr w:type="spellEnd"/>
            <w:r>
              <w:rPr>
                <w:bCs/>
                <w:iCs/>
              </w:rPr>
              <w:t>.</w:t>
            </w:r>
          </w:p>
        </w:tc>
        <w:tc>
          <w:tcPr>
            <w:tcW w:w="1689" w:type="dxa"/>
          </w:tcPr>
          <w:p w:rsidR="00BE1951" w:rsidRPr="00090862" w:rsidRDefault="004675CC" w:rsidP="00495216">
            <w:r>
              <w:t>Benign C-C bond formation.</w:t>
            </w:r>
          </w:p>
        </w:tc>
        <w:tc>
          <w:tcPr>
            <w:tcW w:w="1134" w:type="dxa"/>
          </w:tcPr>
          <w:p w:rsidR="00BE1951" w:rsidRPr="00090862" w:rsidRDefault="00BE1951" w:rsidP="00495216">
            <w:r w:rsidRPr="00090862">
              <w:t>T1 5.1-5.4</w:t>
            </w:r>
          </w:p>
        </w:tc>
      </w:tr>
      <w:tr w:rsidR="00BE1951" w:rsidRPr="00090862" w:rsidTr="00652CFE">
        <w:trPr>
          <w:trHeight w:val="539"/>
        </w:trPr>
        <w:tc>
          <w:tcPr>
            <w:tcW w:w="851" w:type="dxa"/>
          </w:tcPr>
          <w:p w:rsidR="00BE1951" w:rsidRPr="00090862" w:rsidRDefault="00BE1951" w:rsidP="00495216">
            <w:pPr>
              <w:jc w:val="center"/>
              <w:rPr>
                <w:bCs/>
                <w:iCs/>
              </w:rPr>
            </w:pPr>
            <w:r w:rsidRPr="00090862">
              <w:rPr>
                <w:bCs/>
                <w:iCs/>
              </w:rPr>
              <w:t>22-25</w:t>
            </w:r>
          </w:p>
        </w:tc>
        <w:tc>
          <w:tcPr>
            <w:tcW w:w="1701" w:type="dxa"/>
          </w:tcPr>
          <w:p w:rsidR="00BE1951" w:rsidRPr="00090862" w:rsidRDefault="00BE1951" w:rsidP="00495216">
            <w:pPr>
              <w:rPr>
                <w:bCs/>
                <w:iCs/>
              </w:rPr>
            </w:pPr>
            <w:r w:rsidRPr="00090862">
              <w:rPr>
                <w:bCs/>
                <w:iCs/>
              </w:rPr>
              <w:t>Catalysis in Novel Reaction Media</w:t>
            </w:r>
          </w:p>
        </w:tc>
        <w:tc>
          <w:tcPr>
            <w:tcW w:w="5115" w:type="dxa"/>
          </w:tcPr>
          <w:p w:rsidR="00BE1951" w:rsidRPr="00090862" w:rsidRDefault="00BE1951" w:rsidP="00495216">
            <w:pPr>
              <w:ind w:hanging="18"/>
              <w:jc w:val="both"/>
              <w:rPr>
                <w:bCs/>
                <w:iCs/>
              </w:rPr>
            </w:pPr>
            <w:r w:rsidRPr="00090862">
              <w:rPr>
                <w:bCs/>
                <w:iCs/>
              </w:rPr>
              <w:t xml:space="preserve">Choice of Solvent, Alternative Reaction Media and Multiphasic Systems, Two Immiscible Organic Solvents Aqueous Biphasic Catalysis, </w:t>
            </w:r>
            <w:proofErr w:type="spellStart"/>
            <w:r w:rsidRPr="00090862">
              <w:rPr>
                <w:bCs/>
                <w:iCs/>
              </w:rPr>
              <w:t>Fluorous</w:t>
            </w:r>
            <w:proofErr w:type="spellEnd"/>
            <w:r w:rsidRPr="00090862">
              <w:rPr>
                <w:bCs/>
                <w:iCs/>
              </w:rPr>
              <w:t xml:space="preserve"> Biphasic Catalysis, Supercritical fluids, Ionic liquids</w:t>
            </w:r>
            <w:r>
              <w:rPr>
                <w:bCs/>
                <w:iCs/>
              </w:rPr>
              <w:t>.</w:t>
            </w:r>
          </w:p>
        </w:tc>
        <w:tc>
          <w:tcPr>
            <w:tcW w:w="1689" w:type="dxa"/>
          </w:tcPr>
          <w:p w:rsidR="00BE1951" w:rsidRPr="00090862" w:rsidRDefault="004675CC" w:rsidP="00495216">
            <w:r>
              <w:t>Alternative reaction mediums.</w:t>
            </w:r>
          </w:p>
        </w:tc>
        <w:tc>
          <w:tcPr>
            <w:tcW w:w="1134" w:type="dxa"/>
          </w:tcPr>
          <w:p w:rsidR="00BE1951" w:rsidRPr="00090862" w:rsidRDefault="00BE1951" w:rsidP="00495216">
            <w:r w:rsidRPr="00090862">
              <w:t>T1 7.1-7.9</w:t>
            </w:r>
          </w:p>
        </w:tc>
      </w:tr>
      <w:tr w:rsidR="00BE1951" w:rsidRPr="00090862" w:rsidTr="00652CFE">
        <w:trPr>
          <w:trHeight w:val="539"/>
        </w:trPr>
        <w:tc>
          <w:tcPr>
            <w:tcW w:w="851" w:type="dxa"/>
          </w:tcPr>
          <w:p w:rsidR="00BE1951" w:rsidRPr="00090862" w:rsidRDefault="00BE1951" w:rsidP="00495216">
            <w:pPr>
              <w:jc w:val="center"/>
              <w:rPr>
                <w:bCs/>
                <w:iCs/>
              </w:rPr>
            </w:pPr>
            <w:r w:rsidRPr="00090862">
              <w:rPr>
                <w:bCs/>
                <w:iCs/>
              </w:rPr>
              <w:t>26-29</w:t>
            </w:r>
          </w:p>
        </w:tc>
        <w:tc>
          <w:tcPr>
            <w:tcW w:w="1701" w:type="dxa"/>
          </w:tcPr>
          <w:p w:rsidR="00BE1951" w:rsidRPr="00090862" w:rsidRDefault="00BE1951" w:rsidP="00495216">
            <w:pPr>
              <w:rPr>
                <w:bCs/>
                <w:iCs/>
              </w:rPr>
            </w:pPr>
            <w:r w:rsidRPr="00090862">
              <w:rPr>
                <w:bCs/>
                <w:iCs/>
              </w:rPr>
              <w:t xml:space="preserve">Chemicals from Renewable Raw Materials </w:t>
            </w:r>
          </w:p>
        </w:tc>
        <w:tc>
          <w:tcPr>
            <w:tcW w:w="5115" w:type="dxa"/>
          </w:tcPr>
          <w:p w:rsidR="00BE1951" w:rsidRPr="00090862" w:rsidRDefault="00BE1951" w:rsidP="00495216">
            <w:pPr>
              <w:jc w:val="both"/>
              <w:rPr>
                <w:bCs/>
                <w:iCs/>
              </w:rPr>
            </w:pPr>
            <w:r w:rsidRPr="00090862">
              <w:rPr>
                <w:bCs/>
                <w:iCs/>
              </w:rPr>
              <w:t xml:space="preserve">Carbohydrates, Chemical and </w:t>
            </w:r>
            <w:proofErr w:type="spellStart"/>
            <w:r w:rsidRPr="00090862">
              <w:rPr>
                <w:bCs/>
                <w:iCs/>
              </w:rPr>
              <w:t>Chemoenzymatic</w:t>
            </w:r>
            <w:proofErr w:type="spellEnd"/>
            <w:r w:rsidRPr="00090862">
              <w:rPr>
                <w:bCs/>
                <w:iCs/>
              </w:rPr>
              <w:t xml:space="preserve"> Transformations of Carbohydrates into Fine Chemicals and Chiral Building Blocks, Fats and Oils, Terpenes, Renewable Raw Materials as Catalysts, Green Polymers from Renewable Raw Materials</w:t>
            </w:r>
            <w:r>
              <w:rPr>
                <w:bCs/>
                <w:iCs/>
              </w:rPr>
              <w:t>.</w:t>
            </w:r>
          </w:p>
        </w:tc>
        <w:tc>
          <w:tcPr>
            <w:tcW w:w="1689" w:type="dxa"/>
          </w:tcPr>
          <w:p w:rsidR="00BE1951" w:rsidRPr="00090862" w:rsidRDefault="004675CC" w:rsidP="00495216">
            <w:r>
              <w:t xml:space="preserve">Cheaper </w:t>
            </w:r>
            <w:r w:rsidR="00EE5679">
              <w:t xml:space="preserve">and sustainable </w:t>
            </w:r>
            <w:r>
              <w:t>raw materials.</w:t>
            </w:r>
          </w:p>
        </w:tc>
        <w:tc>
          <w:tcPr>
            <w:tcW w:w="1134" w:type="dxa"/>
          </w:tcPr>
          <w:p w:rsidR="00BE1951" w:rsidRPr="00090862" w:rsidRDefault="00BE1951" w:rsidP="00495216">
            <w:r w:rsidRPr="00090862">
              <w:t>T1 8.1-8.8</w:t>
            </w:r>
          </w:p>
        </w:tc>
      </w:tr>
      <w:tr w:rsidR="00BE1951" w:rsidRPr="00090862" w:rsidTr="00652CFE">
        <w:trPr>
          <w:trHeight w:val="539"/>
        </w:trPr>
        <w:tc>
          <w:tcPr>
            <w:tcW w:w="851" w:type="dxa"/>
          </w:tcPr>
          <w:p w:rsidR="00BE1951" w:rsidRPr="00090862" w:rsidRDefault="00BE1951" w:rsidP="00495216">
            <w:pPr>
              <w:jc w:val="center"/>
              <w:rPr>
                <w:bCs/>
                <w:iCs/>
              </w:rPr>
            </w:pPr>
            <w:r w:rsidRPr="00090862">
              <w:rPr>
                <w:bCs/>
                <w:iCs/>
              </w:rPr>
              <w:t>30-33</w:t>
            </w:r>
          </w:p>
        </w:tc>
        <w:tc>
          <w:tcPr>
            <w:tcW w:w="1701" w:type="dxa"/>
          </w:tcPr>
          <w:p w:rsidR="00BE1951" w:rsidRPr="00090862" w:rsidRDefault="00BE1951" w:rsidP="00E5382C">
            <w:pPr>
              <w:jc w:val="both"/>
              <w:rPr>
                <w:bCs/>
                <w:iCs/>
              </w:rPr>
            </w:pPr>
            <w:r w:rsidRPr="00090862">
              <w:rPr>
                <w:bCs/>
                <w:iCs/>
              </w:rPr>
              <w:t>Cascade and Enantio</w:t>
            </w:r>
            <w:r w:rsidR="003C1A5F">
              <w:rPr>
                <w:bCs/>
                <w:iCs/>
              </w:rPr>
              <w:t>-</w:t>
            </w:r>
            <w:r w:rsidRPr="00090862">
              <w:rPr>
                <w:bCs/>
                <w:iCs/>
              </w:rPr>
              <w:t>selective Catalysis</w:t>
            </w:r>
          </w:p>
        </w:tc>
        <w:tc>
          <w:tcPr>
            <w:tcW w:w="5115" w:type="dxa"/>
          </w:tcPr>
          <w:p w:rsidR="00BE1951" w:rsidRPr="00090862" w:rsidRDefault="00BE1951" w:rsidP="00495216">
            <w:pPr>
              <w:ind w:hanging="18"/>
              <w:jc w:val="both"/>
              <w:rPr>
                <w:bCs/>
                <w:iCs/>
              </w:rPr>
            </w:pPr>
            <w:r w:rsidRPr="00090862">
              <w:rPr>
                <w:bCs/>
                <w:iCs/>
              </w:rPr>
              <w:t>Dynamic Kinetic Resolutions by Enzymes Coupled with Metal Catalysts, Combination of Asymmetric Hydrogenation with Enzymatic Hydrolysis, Catalyst Recovery and Recycling, Immobilization of Enzymes: Cross-linked Enzyme Aggregates, enantioselective catalysis</w:t>
            </w:r>
            <w:r>
              <w:rPr>
                <w:bCs/>
                <w:iCs/>
              </w:rPr>
              <w:t>.</w:t>
            </w:r>
          </w:p>
        </w:tc>
        <w:tc>
          <w:tcPr>
            <w:tcW w:w="1689" w:type="dxa"/>
          </w:tcPr>
          <w:p w:rsidR="00BE1951" w:rsidRPr="00090862" w:rsidRDefault="004675CC" w:rsidP="00495216">
            <w:r>
              <w:t>Greener enantioselective methods.</w:t>
            </w:r>
          </w:p>
        </w:tc>
        <w:tc>
          <w:tcPr>
            <w:tcW w:w="1134" w:type="dxa"/>
          </w:tcPr>
          <w:p w:rsidR="00BE1951" w:rsidRPr="00090862" w:rsidRDefault="00BE1951" w:rsidP="00495216">
            <w:r w:rsidRPr="00090862">
              <w:t>T1 9.1-9.6</w:t>
            </w:r>
          </w:p>
        </w:tc>
      </w:tr>
      <w:tr w:rsidR="00BE1951" w:rsidRPr="00090862" w:rsidTr="00652CFE">
        <w:trPr>
          <w:trHeight w:val="620"/>
        </w:trPr>
        <w:tc>
          <w:tcPr>
            <w:tcW w:w="851" w:type="dxa"/>
          </w:tcPr>
          <w:p w:rsidR="00BE1951" w:rsidRPr="00090862" w:rsidRDefault="00BE1951" w:rsidP="00495216">
            <w:pPr>
              <w:jc w:val="center"/>
              <w:rPr>
                <w:bCs/>
                <w:iCs/>
              </w:rPr>
            </w:pPr>
            <w:r w:rsidRPr="00090862">
              <w:rPr>
                <w:bCs/>
                <w:iCs/>
              </w:rPr>
              <w:t>34-37</w:t>
            </w:r>
          </w:p>
        </w:tc>
        <w:tc>
          <w:tcPr>
            <w:tcW w:w="1701" w:type="dxa"/>
          </w:tcPr>
          <w:p w:rsidR="00BE1951" w:rsidRPr="00090862" w:rsidRDefault="00BE1951" w:rsidP="00980694">
            <w:pPr>
              <w:autoSpaceDE w:val="0"/>
              <w:autoSpaceDN w:val="0"/>
              <w:adjustRightInd w:val="0"/>
              <w:rPr>
                <w:bCs/>
                <w:iCs/>
              </w:rPr>
            </w:pPr>
            <w:r w:rsidRPr="00090862">
              <w:rPr>
                <w:bCs/>
                <w:iCs/>
              </w:rPr>
              <w:t>Alternate Energy Sources</w:t>
            </w:r>
          </w:p>
        </w:tc>
        <w:tc>
          <w:tcPr>
            <w:tcW w:w="5115" w:type="dxa"/>
          </w:tcPr>
          <w:p w:rsidR="00BE1951" w:rsidRPr="00090862" w:rsidRDefault="00BE1951" w:rsidP="00495216">
            <w:pPr>
              <w:jc w:val="both"/>
              <w:rPr>
                <w:bCs/>
                <w:iCs/>
              </w:rPr>
            </w:pPr>
            <w:r w:rsidRPr="00090862">
              <w:rPr>
                <w:bCs/>
                <w:iCs/>
              </w:rPr>
              <w:t>Applications of microwave &amp; ultrasound energies in green synthesis</w:t>
            </w:r>
            <w:r>
              <w:rPr>
                <w:bCs/>
                <w:iCs/>
              </w:rPr>
              <w:t>.</w:t>
            </w:r>
          </w:p>
        </w:tc>
        <w:tc>
          <w:tcPr>
            <w:tcW w:w="1689" w:type="dxa"/>
          </w:tcPr>
          <w:p w:rsidR="00BE1951" w:rsidRPr="00090862" w:rsidRDefault="004675CC" w:rsidP="00495216">
            <w:r>
              <w:t>Greener energies for synthesis.</w:t>
            </w:r>
          </w:p>
        </w:tc>
        <w:tc>
          <w:tcPr>
            <w:tcW w:w="1134" w:type="dxa"/>
          </w:tcPr>
          <w:p w:rsidR="00BE1951" w:rsidRPr="00090862" w:rsidRDefault="00BE1951" w:rsidP="00495216">
            <w:r w:rsidRPr="00090862">
              <w:t>Lecture notes</w:t>
            </w:r>
          </w:p>
        </w:tc>
      </w:tr>
      <w:tr w:rsidR="00BE1951" w:rsidRPr="00090862" w:rsidTr="00652CFE">
        <w:trPr>
          <w:trHeight w:val="818"/>
        </w:trPr>
        <w:tc>
          <w:tcPr>
            <w:tcW w:w="851" w:type="dxa"/>
          </w:tcPr>
          <w:p w:rsidR="00BE1951" w:rsidRPr="00090862" w:rsidRDefault="00BE1951" w:rsidP="00EE5679">
            <w:pPr>
              <w:jc w:val="center"/>
              <w:rPr>
                <w:bCs/>
                <w:iCs/>
              </w:rPr>
            </w:pPr>
            <w:r>
              <w:rPr>
                <w:bCs/>
                <w:iCs/>
              </w:rPr>
              <w:t>38-</w:t>
            </w:r>
            <w:r w:rsidR="00EE5679">
              <w:rPr>
                <w:bCs/>
                <w:iCs/>
              </w:rPr>
              <w:t>39</w:t>
            </w:r>
          </w:p>
        </w:tc>
        <w:tc>
          <w:tcPr>
            <w:tcW w:w="1701" w:type="dxa"/>
          </w:tcPr>
          <w:p w:rsidR="00BE1951" w:rsidRPr="00090862" w:rsidRDefault="00BE1951" w:rsidP="00495216">
            <w:pPr>
              <w:rPr>
                <w:bCs/>
                <w:iCs/>
              </w:rPr>
            </w:pPr>
            <w:r w:rsidRPr="00090862">
              <w:rPr>
                <w:bCs/>
                <w:iCs/>
              </w:rPr>
              <w:t>Green methods in Industry</w:t>
            </w:r>
          </w:p>
        </w:tc>
        <w:tc>
          <w:tcPr>
            <w:tcW w:w="5115" w:type="dxa"/>
          </w:tcPr>
          <w:p w:rsidR="00BE1951" w:rsidRPr="00090862" w:rsidRDefault="00BE1951" w:rsidP="00017D9A">
            <w:pPr>
              <w:jc w:val="both"/>
              <w:rPr>
                <w:bCs/>
                <w:iCs/>
              </w:rPr>
            </w:pPr>
            <w:r w:rsidRPr="00090862">
              <w:rPr>
                <w:bCs/>
                <w:iCs/>
              </w:rPr>
              <w:t xml:space="preserve">Polysaccharide polymers, chemical from glucose, halide free synthesis of aromatic amines, alternative to </w:t>
            </w:r>
            <w:proofErr w:type="spellStart"/>
            <w:r w:rsidRPr="00090862">
              <w:rPr>
                <w:bCs/>
                <w:iCs/>
              </w:rPr>
              <w:t>Strecker</w:t>
            </w:r>
            <w:proofErr w:type="spellEnd"/>
            <w:r w:rsidRPr="00090862">
              <w:rPr>
                <w:bCs/>
                <w:iCs/>
              </w:rPr>
              <w:t xml:space="preserve"> synthesis, non</w:t>
            </w:r>
            <w:r>
              <w:rPr>
                <w:bCs/>
                <w:iCs/>
              </w:rPr>
              <w:t>-</w:t>
            </w:r>
            <w:r w:rsidRPr="00090862">
              <w:rPr>
                <w:bCs/>
                <w:iCs/>
              </w:rPr>
              <w:t>phosgene isocyanate synthesis</w:t>
            </w:r>
            <w:r>
              <w:rPr>
                <w:bCs/>
                <w:iCs/>
              </w:rPr>
              <w:t>.</w:t>
            </w:r>
          </w:p>
        </w:tc>
        <w:tc>
          <w:tcPr>
            <w:tcW w:w="1689" w:type="dxa"/>
          </w:tcPr>
          <w:p w:rsidR="00BE1951" w:rsidRPr="00090862" w:rsidRDefault="004675CC" w:rsidP="00495216">
            <w:r>
              <w:t>Safer and greener alternatives.</w:t>
            </w:r>
          </w:p>
        </w:tc>
        <w:tc>
          <w:tcPr>
            <w:tcW w:w="1134" w:type="dxa"/>
          </w:tcPr>
          <w:p w:rsidR="00BE1951" w:rsidRPr="00090862" w:rsidRDefault="00BE1951" w:rsidP="00495216">
            <w:r w:rsidRPr="00090862">
              <w:t>Lecture notes</w:t>
            </w:r>
          </w:p>
        </w:tc>
      </w:tr>
    </w:tbl>
    <w:p w:rsidR="00A72531" w:rsidRDefault="00A72531" w:rsidP="00A72531">
      <w:pPr>
        <w:rPr>
          <w:b/>
        </w:rPr>
      </w:pPr>
    </w:p>
    <w:p w:rsidR="009E2CFF" w:rsidRDefault="009E2CFF" w:rsidP="00A72531">
      <w:pPr>
        <w:rPr>
          <w:b/>
        </w:rPr>
      </w:pPr>
    </w:p>
    <w:p w:rsidR="009E2CFF" w:rsidRDefault="009E2CFF" w:rsidP="00A72531">
      <w:pPr>
        <w:rPr>
          <w:b/>
        </w:rPr>
      </w:pPr>
    </w:p>
    <w:p w:rsidR="009E2CFF" w:rsidRDefault="009E2CFF" w:rsidP="00A72531">
      <w:pPr>
        <w:rPr>
          <w:b/>
        </w:rPr>
      </w:pPr>
    </w:p>
    <w:p w:rsidR="00A94268" w:rsidRDefault="00A94268" w:rsidP="00A72531">
      <w:pPr>
        <w:rPr>
          <w:b/>
        </w:rPr>
      </w:pPr>
    </w:p>
    <w:p w:rsidR="00A94268" w:rsidRPr="00090862" w:rsidRDefault="00A94268" w:rsidP="00A72531">
      <w:pPr>
        <w:rPr>
          <w:b/>
        </w:rPr>
      </w:pPr>
      <w:bookmarkStart w:id="0" w:name="_GoBack"/>
      <w:bookmarkEnd w:id="0"/>
    </w:p>
    <w:p w:rsidR="008624E1" w:rsidRPr="00AD55F5" w:rsidRDefault="008624E1" w:rsidP="008624E1">
      <w:pPr>
        <w:pStyle w:val="BodyTextIndent"/>
        <w:ind w:firstLine="0"/>
        <w:jc w:val="left"/>
      </w:pPr>
      <w:r w:rsidRPr="00AD55F5">
        <w:rPr>
          <w:b/>
        </w:rPr>
        <w:lastRenderedPageBreak/>
        <w:t>Evaluation Scheme</w:t>
      </w:r>
      <w:r w:rsidRPr="00AD55F5">
        <w:t>: (</w:t>
      </w:r>
      <w:r w:rsidRPr="00AD55F5">
        <w:rPr>
          <w:b/>
          <w:bCs/>
        </w:rPr>
        <w:t>Total 200 Marks)</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06"/>
        <w:gridCol w:w="1276"/>
        <w:gridCol w:w="1559"/>
        <w:gridCol w:w="2410"/>
        <w:gridCol w:w="1829"/>
      </w:tblGrid>
      <w:tr w:rsidR="008624E1" w:rsidTr="003C1A5F">
        <w:tc>
          <w:tcPr>
            <w:tcW w:w="3006" w:type="dxa"/>
          </w:tcPr>
          <w:p w:rsidR="008624E1" w:rsidRDefault="008624E1" w:rsidP="00495216">
            <w:pPr>
              <w:pStyle w:val="BodyTextIndent"/>
              <w:ind w:firstLine="0"/>
              <w:jc w:val="left"/>
            </w:pPr>
            <w:r>
              <w:t>Components</w:t>
            </w:r>
          </w:p>
        </w:tc>
        <w:tc>
          <w:tcPr>
            <w:tcW w:w="1276" w:type="dxa"/>
          </w:tcPr>
          <w:p w:rsidR="008624E1" w:rsidRDefault="008624E1" w:rsidP="00495216">
            <w:pPr>
              <w:pStyle w:val="BodyTextIndent"/>
              <w:ind w:firstLine="0"/>
              <w:jc w:val="center"/>
            </w:pPr>
            <w:r>
              <w:t>Duration</w:t>
            </w:r>
          </w:p>
        </w:tc>
        <w:tc>
          <w:tcPr>
            <w:tcW w:w="1559" w:type="dxa"/>
          </w:tcPr>
          <w:p w:rsidR="008624E1" w:rsidRDefault="008624E1" w:rsidP="00495216">
            <w:pPr>
              <w:pStyle w:val="BodyTextIndent"/>
              <w:ind w:firstLine="0"/>
              <w:jc w:val="center"/>
            </w:pPr>
            <w:r>
              <w:t xml:space="preserve">Marks </w:t>
            </w:r>
          </w:p>
          <w:p w:rsidR="008624E1" w:rsidRDefault="008624E1" w:rsidP="00495216">
            <w:pPr>
              <w:pStyle w:val="BodyTextIndent"/>
              <w:ind w:firstLine="0"/>
              <w:jc w:val="center"/>
            </w:pPr>
            <w:r>
              <w:t>(Weightage)</w:t>
            </w:r>
          </w:p>
        </w:tc>
        <w:tc>
          <w:tcPr>
            <w:tcW w:w="2410" w:type="dxa"/>
          </w:tcPr>
          <w:p w:rsidR="008624E1" w:rsidRDefault="008624E1" w:rsidP="00495216">
            <w:pPr>
              <w:pStyle w:val="BodyTextIndent"/>
              <w:ind w:firstLine="0"/>
              <w:jc w:val="center"/>
            </w:pPr>
            <w:r>
              <w:t>Date &amp; Time</w:t>
            </w:r>
          </w:p>
        </w:tc>
        <w:tc>
          <w:tcPr>
            <w:tcW w:w="1829" w:type="dxa"/>
          </w:tcPr>
          <w:p w:rsidR="008624E1" w:rsidRPr="00A86244" w:rsidRDefault="00A86244" w:rsidP="00495216">
            <w:pPr>
              <w:pStyle w:val="BodyTextIndent"/>
              <w:ind w:firstLine="0"/>
              <w:jc w:val="center"/>
            </w:pPr>
            <w:r w:rsidRPr="00A86244">
              <w:rPr>
                <w:bCs/>
              </w:rPr>
              <w:t>Nature of Component</w:t>
            </w:r>
          </w:p>
        </w:tc>
      </w:tr>
      <w:tr w:rsidR="008624E1" w:rsidTr="003C1A5F">
        <w:tc>
          <w:tcPr>
            <w:tcW w:w="3006" w:type="dxa"/>
          </w:tcPr>
          <w:p w:rsidR="008624E1" w:rsidRDefault="008524E2" w:rsidP="00495216">
            <w:pPr>
              <w:pStyle w:val="BodyTextIndent"/>
              <w:ind w:firstLine="0"/>
              <w:jc w:val="left"/>
            </w:pPr>
            <w:proofErr w:type="spellStart"/>
            <w:r>
              <w:t>Midsem</w:t>
            </w:r>
            <w:proofErr w:type="spellEnd"/>
            <w:r>
              <w:t xml:space="preserve"> </w:t>
            </w:r>
            <w:r w:rsidR="008624E1">
              <w:t>Test</w:t>
            </w:r>
          </w:p>
          <w:p w:rsidR="009E2CFF" w:rsidRDefault="009E2CFF" w:rsidP="00495216">
            <w:pPr>
              <w:pStyle w:val="BodyTextIndent"/>
              <w:ind w:firstLine="0"/>
              <w:jc w:val="left"/>
            </w:pPr>
          </w:p>
          <w:p w:rsidR="005F0A07" w:rsidRDefault="00850C83" w:rsidP="00495216">
            <w:pPr>
              <w:pStyle w:val="BodyTextIndent"/>
              <w:ind w:firstLine="0"/>
              <w:jc w:val="left"/>
            </w:pPr>
            <w:r>
              <w:t xml:space="preserve">Assignments, </w:t>
            </w:r>
            <w:r w:rsidR="00A24A12">
              <w:t>Experiments</w:t>
            </w:r>
            <w:r>
              <w:t>,</w:t>
            </w:r>
            <w:r w:rsidR="004E1950">
              <w:t xml:space="preserve"> Presentation</w:t>
            </w:r>
            <w:r>
              <w:t xml:space="preserve"> &amp;</w:t>
            </w:r>
            <w:r w:rsidR="00C41AF0">
              <w:t xml:space="preserve"> Class tests</w:t>
            </w:r>
          </w:p>
          <w:p w:rsidR="009E2CFF" w:rsidRDefault="009E2CFF" w:rsidP="00495216">
            <w:pPr>
              <w:pStyle w:val="BodyTextIndent"/>
              <w:ind w:firstLine="0"/>
              <w:jc w:val="left"/>
            </w:pPr>
          </w:p>
          <w:p w:rsidR="008624E1" w:rsidRDefault="00124147" w:rsidP="00495216">
            <w:pPr>
              <w:pStyle w:val="BodyTextIndent"/>
              <w:ind w:firstLine="0"/>
              <w:jc w:val="left"/>
            </w:pPr>
            <w:proofErr w:type="spellStart"/>
            <w:r>
              <w:t>Compre</w:t>
            </w:r>
            <w:proofErr w:type="spellEnd"/>
            <w:r>
              <w:t>. Exam</w:t>
            </w:r>
            <w:r w:rsidR="008624E1">
              <w:t xml:space="preserve"> </w:t>
            </w:r>
          </w:p>
        </w:tc>
        <w:tc>
          <w:tcPr>
            <w:tcW w:w="1276" w:type="dxa"/>
          </w:tcPr>
          <w:p w:rsidR="008624E1" w:rsidRDefault="008624E1" w:rsidP="00495216">
            <w:pPr>
              <w:pStyle w:val="BodyTextIndent"/>
              <w:ind w:firstLine="0"/>
              <w:jc w:val="center"/>
            </w:pPr>
            <w:r>
              <w:t>1</w:t>
            </w:r>
            <w:r w:rsidR="00A51B71">
              <w:t>.5</w:t>
            </w:r>
            <w:r>
              <w:t xml:space="preserve"> h</w:t>
            </w:r>
          </w:p>
          <w:p w:rsidR="00B5089B" w:rsidRDefault="00B5089B" w:rsidP="00495216">
            <w:pPr>
              <w:pStyle w:val="BodyTextIndent"/>
              <w:ind w:firstLine="0"/>
              <w:jc w:val="center"/>
            </w:pPr>
          </w:p>
          <w:p w:rsidR="005F0A07" w:rsidRDefault="00B5089B" w:rsidP="00495216">
            <w:pPr>
              <w:pStyle w:val="BodyTextIndent"/>
              <w:ind w:firstLine="0"/>
              <w:jc w:val="center"/>
            </w:pPr>
            <w:r>
              <w:t>--</w:t>
            </w:r>
          </w:p>
          <w:p w:rsidR="009E2CFF" w:rsidRDefault="009E2CFF" w:rsidP="00495216">
            <w:pPr>
              <w:pStyle w:val="BodyTextIndent"/>
              <w:ind w:firstLine="0"/>
              <w:jc w:val="center"/>
            </w:pPr>
          </w:p>
          <w:p w:rsidR="009E2CFF" w:rsidRDefault="009E2CFF" w:rsidP="00495216">
            <w:pPr>
              <w:pStyle w:val="BodyTextIndent"/>
              <w:ind w:firstLine="0"/>
              <w:jc w:val="center"/>
            </w:pPr>
          </w:p>
          <w:p w:rsidR="008624E1" w:rsidRDefault="003E0191" w:rsidP="00495216">
            <w:pPr>
              <w:pStyle w:val="BodyTextIndent"/>
              <w:ind w:firstLine="0"/>
              <w:jc w:val="center"/>
            </w:pPr>
            <w:r>
              <w:t>3</w:t>
            </w:r>
            <w:r w:rsidR="008624E1">
              <w:t xml:space="preserve"> h</w:t>
            </w:r>
          </w:p>
        </w:tc>
        <w:tc>
          <w:tcPr>
            <w:tcW w:w="1559" w:type="dxa"/>
          </w:tcPr>
          <w:p w:rsidR="008624E1" w:rsidRDefault="00A51B71" w:rsidP="00495216">
            <w:pPr>
              <w:pStyle w:val="BodyTextIndent"/>
              <w:ind w:firstLine="0"/>
              <w:jc w:val="center"/>
            </w:pPr>
            <w:r>
              <w:t>60</w:t>
            </w:r>
            <w:r w:rsidR="005F0A07">
              <w:t xml:space="preserve"> (</w:t>
            </w:r>
            <w:r>
              <w:t>30</w:t>
            </w:r>
            <w:r w:rsidR="008624E1">
              <w:t>%)</w:t>
            </w:r>
          </w:p>
          <w:p w:rsidR="00B5089B" w:rsidRDefault="00B5089B" w:rsidP="00495216">
            <w:pPr>
              <w:pStyle w:val="BodyTextIndent"/>
              <w:ind w:firstLine="0"/>
              <w:jc w:val="center"/>
            </w:pPr>
          </w:p>
          <w:p w:rsidR="008624E1" w:rsidRDefault="00430511" w:rsidP="00495216">
            <w:pPr>
              <w:pStyle w:val="BodyTextIndent"/>
              <w:ind w:firstLine="0"/>
              <w:jc w:val="center"/>
            </w:pPr>
            <w:r>
              <w:t>7</w:t>
            </w:r>
            <w:r w:rsidR="00B5089B">
              <w:t>0</w:t>
            </w:r>
            <w:r w:rsidR="00A51B71">
              <w:t xml:space="preserve"> (</w:t>
            </w:r>
            <w:r w:rsidR="00B5089B">
              <w:t>3</w:t>
            </w:r>
            <w:r>
              <w:t>5</w:t>
            </w:r>
            <w:r w:rsidR="008624E1">
              <w:t>%)</w:t>
            </w:r>
          </w:p>
          <w:p w:rsidR="009E2CFF" w:rsidRDefault="009E2CFF" w:rsidP="00A51B71">
            <w:pPr>
              <w:pStyle w:val="BodyTextIndent"/>
              <w:ind w:firstLine="0"/>
              <w:jc w:val="center"/>
            </w:pPr>
          </w:p>
          <w:p w:rsidR="009E2CFF" w:rsidRDefault="009E2CFF" w:rsidP="00A51B71">
            <w:pPr>
              <w:pStyle w:val="BodyTextIndent"/>
              <w:ind w:firstLine="0"/>
              <w:jc w:val="center"/>
            </w:pPr>
          </w:p>
          <w:p w:rsidR="008624E1" w:rsidRDefault="00430511" w:rsidP="00A51B71">
            <w:pPr>
              <w:pStyle w:val="BodyTextIndent"/>
              <w:ind w:firstLine="0"/>
              <w:jc w:val="center"/>
            </w:pPr>
            <w:r>
              <w:t>7</w:t>
            </w:r>
            <w:r w:rsidR="00A51B71">
              <w:t>0</w:t>
            </w:r>
            <w:r w:rsidR="005F0A07">
              <w:t xml:space="preserve"> (</w:t>
            </w:r>
            <w:r>
              <w:t>35</w:t>
            </w:r>
            <w:r w:rsidR="005F0A07">
              <w:t>%)</w:t>
            </w:r>
          </w:p>
        </w:tc>
        <w:tc>
          <w:tcPr>
            <w:tcW w:w="2410" w:type="dxa"/>
          </w:tcPr>
          <w:p w:rsidR="00B5089B" w:rsidRPr="003C1A5F" w:rsidRDefault="003C1A5F" w:rsidP="005A5459">
            <w:pPr>
              <w:jc w:val="center"/>
              <w:rPr>
                <w:szCs w:val="24"/>
              </w:rPr>
            </w:pPr>
            <w:r>
              <w:rPr>
                <w:szCs w:val="24"/>
                <w:lang w:val="en-IN" w:eastAsia="en-IN"/>
              </w:rPr>
              <w:t>0</w:t>
            </w:r>
            <w:r w:rsidRPr="003C1A5F">
              <w:rPr>
                <w:szCs w:val="24"/>
                <w:lang w:val="en-IN" w:eastAsia="en-IN"/>
              </w:rPr>
              <w:t>4</w:t>
            </w:r>
            <w:r w:rsidR="0084672A" w:rsidRPr="003C1A5F">
              <w:rPr>
                <w:szCs w:val="24"/>
                <w:lang w:val="en-IN" w:eastAsia="en-IN"/>
              </w:rPr>
              <w:t>/1</w:t>
            </w:r>
            <w:r w:rsidRPr="003C1A5F">
              <w:rPr>
                <w:szCs w:val="24"/>
                <w:lang w:val="en-IN" w:eastAsia="en-IN"/>
              </w:rPr>
              <w:t>1</w:t>
            </w:r>
            <w:r>
              <w:rPr>
                <w:szCs w:val="24"/>
                <w:lang w:val="en-IN" w:eastAsia="en-IN"/>
              </w:rPr>
              <w:t>(</w:t>
            </w:r>
            <w:r w:rsidRPr="003C1A5F">
              <w:rPr>
                <w:szCs w:val="24"/>
                <w:lang w:val="en-IN" w:eastAsia="en-IN"/>
              </w:rPr>
              <w:t>3.30 - 5</w:t>
            </w:r>
            <w:r w:rsidR="0084672A" w:rsidRPr="003C1A5F">
              <w:rPr>
                <w:szCs w:val="24"/>
                <w:lang w:val="en-IN" w:eastAsia="en-IN"/>
              </w:rPr>
              <w:t>.00PM</w:t>
            </w:r>
            <w:r>
              <w:rPr>
                <w:szCs w:val="24"/>
                <w:lang w:val="en-IN" w:eastAsia="en-IN"/>
              </w:rPr>
              <w:t>)</w:t>
            </w:r>
          </w:p>
          <w:p w:rsidR="003C1A5F" w:rsidRPr="003C1A5F" w:rsidRDefault="003C1A5F" w:rsidP="005A5459">
            <w:pPr>
              <w:jc w:val="center"/>
              <w:rPr>
                <w:szCs w:val="24"/>
              </w:rPr>
            </w:pPr>
          </w:p>
          <w:p w:rsidR="00185EC0" w:rsidRPr="003C1A5F" w:rsidRDefault="00185EC0" w:rsidP="005A5459">
            <w:pPr>
              <w:jc w:val="center"/>
              <w:rPr>
                <w:szCs w:val="24"/>
              </w:rPr>
            </w:pPr>
            <w:r w:rsidRPr="003C1A5F">
              <w:rPr>
                <w:szCs w:val="24"/>
              </w:rPr>
              <w:t>Continuous</w:t>
            </w:r>
          </w:p>
          <w:p w:rsidR="009E2CFF" w:rsidRDefault="009E2CFF" w:rsidP="00412F4A">
            <w:pPr>
              <w:jc w:val="center"/>
              <w:rPr>
                <w:szCs w:val="24"/>
                <w:lang w:val="en-IN" w:eastAsia="en-IN"/>
              </w:rPr>
            </w:pPr>
          </w:p>
          <w:p w:rsidR="009E2CFF" w:rsidRDefault="009E2CFF" w:rsidP="00412F4A">
            <w:pPr>
              <w:jc w:val="center"/>
              <w:rPr>
                <w:szCs w:val="24"/>
                <w:lang w:val="en-IN" w:eastAsia="en-IN"/>
              </w:rPr>
            </w:pPr>
          </w:p>
          <w:p w:rsidR="00185EC0" w:rsidRPr="00713568" w:rsidRDefault="005A5B98" w:rsidP="00412F4A">
            <w:pPr>
              <w:jc w:val="center"/>
              <w:rPr>
                <w:szCs w:val="24"/>
              </w:rPr>
            </w:pPr>
            <w:r w:rsidRPr="003C1A5F">
              <w:rPr>
                <w:szCs w:val="24"/>
                <w:lang w:val="en-IN" w:eastAsia="en-IN"/>
              </w:rPr>
              <w:t>28</w:t>
            </w:r>
            <w:r w:rsidR="0084672A" w:rsidRPr="003C1A5F">
              <w:rPr>
                <w:szCs w:val="24"/>
                <w:lang w:val="en-IN" w:eastAsia="en-IN"/>
              </w:rPr>
              <w:t xml:space="preserve">/12 </w:t>
            </w:r>
            <w:r w:rsidR="003C1A5F">
              <w:rPr>
                <w:szCs w:val="24"/>
                <w:lang w:val="en-IN" w:eastAsia="en-IN"/>
              </w:rPr>
              <w:t>(</w:t>
            </w:r>
            <w:r w:rsidR="0084672A" w:rsidRPr="003C1A5F">
              <w:rPr>
                <w:szCs w:val="24"/>
                <w:lang w:val="en-IN" w:eastAsia="en-IN"/>
              </w:rPr>
              <w:t>AN</w:t>
            </w:r>
            <w:r w:rsidR="003C1A5F">
              <w:rPr>
                <w:szCs w:val="24"/>
                <w:lang w:val="en-IN" w:eastAsia="en-IN"/>
              </w:rPr>
              <w:t>)</w:t>
            </w:r>
          </w:p>
        </w:tc>
        <w:tc>
          <w:tcPr>
            <w:tcW w:w="1829" w:type="dxa"/>
          </w:tcPr>
          <w:p w:rsidR="008624E1" w:rsidRDefault="008624E1" w:rsidP="00495216">
            <w:pPr>
              <w:pStyle w:val="BodyTextIndent"/>
              <w:ind w:firstLine="0"/>
              <w:jc w:val="center"/>
            </w:pPr>
            <w:r>
              <w:t>C</w:t>
            </w:r>
            <w:r w:rsidR="00B2576E">
              <w:t xml:space="preserve">losed </w:t>
            </w:r>
            <w:r>
              <w:t>B</w:t>
            </w:r>
            <w:r w:rsidR="00B2576E">
              <w:t>ook</w:t>
            </w:r>
          </w:p>
          <w:p w:rsidR="00B5089B" w:rsidRDefault="00B5089B" w:rsidP="00495216">
            <w:pPr>
              <w:pStyle w:val="BodyTextIndent"/>
              <w:ind w:firstLine="0"/>
              <w:jc w:val="center"/>
            </w:pPr>
          </w:p>
          <w:p w:rsidR="008624E1" w:rsidRDefault="008624E1" w:rsidP="00495216">
            <w:pPr>
              <w:pStyle w:val="BodyTextIndent"/>
              <w:ind w:firstLine="0"/>
              <w:jc w:val="center"/>
            </w:pPr>
            <w:r>
              <w:t>O</w:t>
            </w:r>
            <w:r w:rsidR="00B2576E">
              <w:t xml:space="preserve">pen </w:t>
            </w:r>
            <w:r>
              <w:t>B</w:t>
            </w:r>
            <w:r w:rsidR="00B2576E">
              <w:t>ook</w:t>
            </w:r>
          </w:p>
          <w:p w:rsidR="009E2CFF" w:rsidRDefault="009E2CFF" w:rsidP="00495216">
            <w:pPr>
              <w:pStyle w:val="BodyTextIndent"/>
              <w:ind w:firstLine="0"/>
              <w:jc w:val="center"/>
            </w:pPr>
          </w:p>
          <w:p w:rsidR="009E2CFF" w:rsidRDefault="009E2CFF" w:rsidP="00495216">
            <w:pPr>
              <w:pStyle w:val="BodyTextIndent"/>
              <w:ind w:firstLine="0"/>
              <w:jc w:val="center"/>
            </w:pPr>
          </w:p>
          <w:p w:rsidR="008624E1" w:rsidRDefault="008624E1" w:rsidP="00495216">
            <w:pPr>
              <w:pStyle w:val="BodyTextIndent"/>
              <w:ind w:firstLine="0"/>
              <w:jc w:val="center"/>
            </w:pPr>
            <w:r>
              <w:t>C</w:t>
            </w:r>
            <w:r w:rsidR="00B2576E">
              <w:t xml:space="preserve">losed </w:t>
            </w:r>
            <w:r>
              <w:t>B</w:t>
            </w:r>
            <w:r w:rsidR="00B2576E">
              <w:t>ook</w:t>
            </w:r>
          </w:p>
        </w:tc>
      </w:tr>
    </w:tbl>
    <w:p w:rsidR="008624E1" w:rsidRDefault="008624E1" w:rsidP="008624E1">
      <w:pPr>
        <w:rPr>
          <w:szCs w:val="24"/>
        </w:rPr>
      </w:pPr>
    </w:p>
    <w:p w:rsidR="008624E1" w:rsidRDefault="008624E1" w:rsidP="00124147">
      <w:pPr>
        <w:pStyle w:val="BodyTextIndent"/>
        <w:ind w:firstLine="0"/>
        <w:jc w:val="left"/>
      </w:pPr>
      <w:r w:rsidRPr="003C5476">
        <w:rPr>
          <w:b/>
        </w:rPr>
        <w:t>Chamber Consultation Hours</w:t>
      </w:r>
      <w:r w:rsidRPr="003C5476">
        <w:rPr>
          <w:b/>
          <w:bCs/>
        </w:rPr>
        <w:t>:</w:t>
      </w:r>
      <w:r>
        <w:rPr>
          <w:b/>
          <w:bCs/>
        </w:rPr>
        <w:t xml:space="preserve">  </w:t>
      </w:r>
      <w:r>
        <w:t>To be announced through a notice.</w:t>
      </w:r>
    </w:p>
    <w:p w:rsidR="003C5476" w:rsidRDefault="008624E1" w:rsidP="003C5476">
      <w:pPr>
        <w:pStyle w:val="BodyTextIndent"/>
        <w:ind w:firstLine="0"/>
      </w:pPr>
      <w:r w:rsidRPr="003C5476">
        <w:rPr>
          <w:b/>
        </w:rPr>
        <w:t>Notices</w:t>
      </w:r>
      <w:r w:rsidRPr="003C5476">
        <w:rPr>
          <w:b/>
          <w:bCs/>
        </w:rPr>
        <w:t>:</w:t>
      </w:r>
      <w:r>
        <w:rPr>
          <w:b/>
          <w:bCs/>
        </w:rPr>
        <w:t xml:space="preserve"> </w:t>
      </w:r>
      <w:r w:rsidR="000001C0">
        <w:t xml:space="preserve">Notices </w:t>
      </w:r>
      <w:r>
        <w:t>concerning the course will be display</w:t>
      </w:r>
      <w:r w:rsidR="0011347F">
        <w:t>ed on the CMS</w:t>
      </w:r>
      <w:r>
        <w:t>.</w:t>
      </w:r>
      <w:r w:rsidR="003C5476">
        <w:tab/>
      </w:r>
      <w:r w:rsidR="003C5476">
        <w:tab/>
      </w:r>
      <w:r w:rsidR="003C5476">
        <w:tab/>
      </w:r>
    </w:p>
    <w:p w:rsidR="003C5476" w:rsidRDefault="003C5476" w:rsidP="003C5476">
      <w:pPr>
        <w:pStyle w:val="BodyTextIndent"/>
        <w:ind w:firstLine="0"/>
        <w:rPr>
          <w:szCs w:val="24"/>
        </w:rPr>
      </w:pPr>
      <w:r w:rsidRPr="004F1066">
        <w:rPr>
          <w:rFonts w:ascii="Cambria" w:hAnsi="Cambria" w:cs="Arial"/>
          <w:b/>
          <w:spacing w:val="-2"/>
        </w:rPr>
        <w:t>Make-up policy:</w:t>
      </w:r>
      <w:r w:rsidRPr="004F1066">
        <w:rPr>
          <w:rFonts w:ascii="Cambria" w:hAnsi="Cambria" w:cs="Arial"/>
          <w:spacing w:val="-2"/>
        </w:rPr>
        <w:t xml:space="preserve"> </w:t>
      </w:r>
      <w:r w:rsidRPr="00794DEF">
        <w:rPr>
          <w:rFonts w:ascii="Cambria" w:hAnsi="Cambria"/>
        </w:rPr>
        <w:t xml:space="preserve">Make up would be considered only for very genuine reasons </w:t>
      </w:r>
      <w:r w:rsidRPr="00794DEF">
        <w:rPr>
          <w:rFonts w:ascii="Cambria" w:hAnsi="Cambria"/>
          <w:i/>
        </w:rPr>
        <w:t>such as institute deputation outside for sports/cultural fest, hospitalization (with appropriate documentary proof), marriage ceremony of own brother/sister</w:t>
      </w:r>
      <w:r w:rsidRPr="00794DEF">
        <w:rPr>
          <w:rFonts w:ascii="Cambria" w:hAnsi="Cambria"/>
        </w:rPr>
        <w:t>.  There will not be any makeup possible for the surprise test class components.</w:t>
      </w:r>
    </w:p>
    <w:p w:rsidR="008624E1" w:rsidRDefault="008624E1" w:rsidP="00124147">
      <w:pPr>
        <w:pStyle w:val="BodyTextIndent"/>
        <w:ind w:firstLine="0"/>
      </w:pPr>
      <w:r>
        <w:tab/>
      </w:r>
      <w:r>
        <w:tab/>
      </w:r>
      <w:r>
        <w:tab/>
      </w:r>
      <w:r>
        <w:tab/>
        <w:t xml:space="preserve">        </w:t>
      </w:r>
    </w:p>
    <w:p w:rsidR="008624E1" w:rsidRDefault="00F85E27" w:rsidP="008624E1">
      <w:pPr>
        <w:pStyle w:val="BodyTextIndent"/>
        <w:ind w:firstLine="0"/>
      </w:pPr>
      <w:r w:rsidRPr="00124147">
        <w:rPr>
          <w:b/>
        </w:rPr>
        <w:t>Academic Honesty and Integrity Policy:</w:t>
      </w:r>
      <w:r>
        <w:t xml:space="preserve"> Academic honesty and integrity are to be maintained by all the students throughout the semester and no type of academic dishonesty is acceptable.</w:t>
      </w:r>
    </w:p>
    <w:p w:rsidR="003C5476" w:rsidRDefault="003C5476" w:rsidP="008624E1">
      <w:pPr>
        <w:pStyle w:val="BodyTextIndent"/>
        <w:ind w:left="6480"/>
        <w:rPr>
          <w:b/>
        </w:rPr>
      </w:pPr>
    </w:p>
    <w:p w:rsidR="008624E1" w:rsidRPr="007C5634" w:rsidRDefault="008624E1" w:rsidP="008624E1">
      <w:pPr>
        <w:pStyle w:val="BodyTextIndent"/>
        <w:ind w:left="6480"/>
        <w:rPr>
          <w:b/>
        </w:rPr>
      </w:pPr>
      <w:r w:rsidRPr="007C5634">
        <w:rPr>
          <w:b/>
        </w:rPr>
        <w:t>Instructor in charge</w:t>
      </w:r>
    </w:p>
    <w:p w:rsidR="001C5198" w:rsidRPr="007C5634" w:rsidRDefault="008624E1" w:rsidP="008624E1">
      <w:pPr>
        <w:pStyle w:val="BodyTextIndent"/>
        <w:ind w:firstLine="0"/>
        <w:jc w:val="left"/>
        <w:rPr>
          <w:b/>
        </w:rPr>
      </w:pPr>
      <w:r w:rsidRPr="007C5634">
        <w:rPr>
          <w:b/>
        </w:rPr>
        <w:t xml:space="preserve">                                                                                                                             CHEM </w:t>
      </w:r>
      <w:r>
        <w:rPr>
          <w:b/>
        </w:rPr>
        <w:t>F337</w:t>
      </w:r>
    </w:p>
    <w:sectPr w:rsidR="001C5198" w:rsidRPr="007C5634" w:rsidSect="00430511">
      <w:pgSz w:w="11909" w:h="16834" w:code="9"/>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LF-Regular">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B4C4C"/>
    <w:multiLevelType w:val="hybridMultilevel"/>
    <w:tmpl w:val="96F81F24"/>
    <w:lvl w:ilvl="0" w:tplc="04090015">
      <w:start w:val="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267453"/>
    <w:multiLevelType w:val="singleLevel"/>
    <w:tmpl w:val="B61E563E"/>
    <w:lvl w:ilvl="0">
      <w:start w:val="3"/>
      <w:numFmt w:val="decimal"/>
      <w:lvlText w:val="%1."/>
      <w:lvlJc w:val="left"/>
      <w:pPr>
        <w:tabs>
          <w:tab w:val="num" w:pos="430"/>
        </w:tabs>
        <w:ind w:left="430" w:hanging="430"/>
      </w:pPr>
      <w:rPr>
        <w:rFonts w:hint="default"/>
      </w:rPr>
    </w:lvl>
  </w:abstractNum>
  <w:abstractNum w:abstractNumId="2" w15:restartNumberingAfterBreak="0">
    <w:nsid w:val="0D330086"/>
    <w:multiLevelType w:val="hybridMultilevel"/>
    <w:tmpl w:val="9FACF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C1532"/>
    <w:multiLevelType w:val="singleLevel"/>
    <w:tmpl w:val="9124AE96"/>
    <w:lvl w:ilvl="0">
      <w:start w:val="5"/>
      <w:numFmt w:val="decimal"/>
      <w:lvlText w:val="%1."/>
      <w:lvlJc w:val="left"/>
      <w:pPr>
        <w:tabs>
          <w:tab w:val="num" w:pos="360"/>
        </w:tabs>
        <w:ind w:left="360" w:hanging="360"/>
      </w:pPr>
      <w:rPr>
        <w:rFonts w:hint="default"/>
        <w:b/>
      </w:rPr>
    </w:lvl>
  </w:abstractNum>
  <w:abstractNum w:abstractNumId="4" w15:restartNumberingAfterBreak="0">
    <w:nsid w:val="601D0AD4"/>
    <w:multiLevelType w:val="hybridMultilevel"/>
    <w:tmpl w:val="5BD6B626"/>
    <w:lvl w:ilvl="0" w:tplc="0409000F">
      <w:start w:val="1"/>
      <w:numFmt w:val="decimal"/>
      <w:lvlText w:val="%1."/>
      <w:lvlJc w:val="left"/>
      <w:pPr>
        <w:tabs>
          <w:tab w:val="num" w:pos="720"/>
        </w:tabs>
        <w:ind w:left="720" w:hanging="360"/>
      </w:pPr>
      <w:rPr>
        <w:rFonts w:hint="default"/>
      </w:rPr>
    </w:lvl>
    <w:lvl w:ilvl="1" w:tplc="4888F4FC">
      <w:start w:val="2"/>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4805A27"/>
    <w:multiLevelType w:val="singleLevel"/>
    <w:tmpl w:val="9C8880DC"/>
    <w:lvl w:ilvl="0">
      <w:start w:val="1"/>
      <w:numFmt w:val="decimal"/>
      <w:lvlText w:val="%1."/>
      <w:lvlJc w:val="left"/>
      <w:pPr>
        <w:tabs>
          <w:tab w:val="num" w:pos="720"/>
        </w:tabs>
        <w:ind w:left="720" w:hanging="720"/>
      </w:pPr>
      <w:rPr>
        <w:rFonts w:hint="default"/>
      </w:rPr>
    </w:lvl>
  </w:abstractNum>
  <w:abstractNum w:abstractNumId="6" w15:restartNumberingAfterBreak="0">
    <w:nsid w:val="73472A8B"/>
    <w:multiLevelType w:val="singleLevel"/>
    <w:tmpl w:val="A84877F4"/>
    <w:lvl w:ilvl="0">
      <w:start w:val="3"/>
      <w:numFmt w:val="decimal"/>
      <w:lvlText w:val="%1."/>
      <w:lvlJc w:val="left"/>
      <w:pPr>
        <w:tabs>
          <w:tab w:val="num" w:pos="360"/>
        </w:tabs>
        <w:ind w:left="360" w:hanging="360"/>
      </w:pPr>
      <w:rPr>
        <w:rFonts w:hint="default"/>
        <w:b/>
      </w:rPr>
    </w:lvl>
  </w:abstractNum>
  <w:num w:numId="1">
    <w:abstractNumId w:val="5"/>
  </w:num>
  <w:num w:numId="2">
    <w:abstractNumId w:val="1"/>
  </w:num>
  <w:num w:numId="3">
    <w:abstractNumId w:val="6"/>
  </w:num>
  <w:num w:numId="4">
    <w:abstractNumId w:val="3"/>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IxNzI3NzY1srA0NjFT0lEKTi0uzszPAykwrwUAm8tmaiwAAAA="/>
  </w:docVars>
  <w:rsids>
    <w:rsidRoot w:val="00B83524"/>
    <w:rsid w:val="000001C0"/>
    <w:rsid w:val="00017D9A"/>
    <w:rsid w:val="000348F6"/>
    <w:rsid w:val="00057C5D"/>
    <w:rsid w:val="00066A85"/>
    <w:rsid w:val="0007022C"/>
    <w:rsid w:val="000774CA"/>
    <w:rsid w:val="00086271"/>
    <w:rsid w:val="000B6188"/>
    <w:rsid w:val="000E2222"/>
    <w:rsid w:val="000E2DBB"/>
    <w:rsid w:val="00104BB2"/>
    <w:rsid w:val="00112378"/>
    <w:rsid w:val="0011347F"/>
    <w:rsid w:val="0011652D"/>
    <w:rsid w:val="001235F1"/>
    <w:rsid w:val="00124147"/>
    <w:rsid w:val="00145083"/>
    <w:rsid w:val="0017260C"/>
    <w:rsid w:val="00173BBF"/>
    <w:rsid w:val="00175332"/>
    <w:rsid w:val="00176F4A"/>
    <w:rsid w:val="00185EC0"/>
    <w:rsid w:val="00190CD5"/>
    <w:rsid w:val="00194460"/>
    <w:rsid w:val="001A2834"/>
    <w:rsid w:val="001B1C66"/>
    <w:rsid w:val="001C5198"/>
    <w:rsid w:val="001E0568"/>
    <w:rsid w:val="001E4027"/>
    <w:rsid w:val="00203419"/>
    <w:rsid w:val="002215A4"/>
    <w:rsid w:val="00236667"/>
    <w:rsid w:val="002407DC"/>
    <w:rsid w:val="00240D3B"/>
    <w:rsid w:val="00257CA9"/>
    <w:rsid w:val="00263706"/>
    <w:rsid w:val="00280600"/>
    <w:rsid w:val="00280999"/>
    <w:rsid w:val="00287A4F"/>
    <w:rsid w:val="002D3100"/>
    <w:rsid w:val="002F2C49"/>
    <w:rsid w:val="00314AF2"/>
    <w:rsid w:val="003208DF"/>
    <w:rsid w:val="00325F81"/>
    <w:rsid w:val="003533A1"/>
    <w:rsid w:val="00372944"/>
    <w:rsid w:val="00384DBF"/>
    <w:rsid w:val="003C1A5F"/>
    <w:rsid w:val="003C5476"/>
    <w:rsid w:val="003C6E0F"/>
    <w:rsid w:val="003D088B"/>
    <w:rsid w:val="003D54D5"/>
    <w:rsid w:val="003E0191"/>
    <w:rsid w:val="003F6FF8"/>
    <w:rsid w:val="00412F4A"/>
    <w:rsid w:val="00427F0F"/>
    <w:rsid w:val="00430511"/>
    <w:rsid w:val="004377AF"/>
    <w:rsid w:val="004574B9"/>
    <w:rsid w:val="004675CC"/>
    <w:rsid w:val="00471099"/>
    <w:rsid w:val="00472CB7"/>
    <w:rsid w:val="00473DF0"/>
    <w:rsid w:val="00486D29"/>
    <w:rsid w:val="00491D60"/>
    <w:rsid w:val="00495216"/>
    <w:rsid w:val="004C1EFA"/>
    <w:rsid w:val="004E1950"/>
    <w:rsid w:val="00511755"/>
    <w:rsid w:val="00511CFD"/>
    <w:rsid w:val="00550DE2"/>
    <w:rsid w:val="0056623C"/>
    <w:rsid w:val="00582D70"/>
    <w:rsid w:val="005A3A0E"/>
    <w:rsid w:val="005A5459"/>
    <w:rsid w:val="005A5B98"/>
    <w:rsid w:val="005D736D"/>
    <w:rsid w:val="005F0A07"/>
    <w:rsid w:val="006004B9"/>
    <w:rsid w:val="00633A1A"/>
    <w:rsid w:val="00652CFE"/>
    <w:rsid w:val="00661E06"/>
    <w:rsid w:val="00670052"/>
    <w:rsid w:val="006800CA"/>
    <w:rsid w:val="00685426"/>
    <w:rsid w:val="006A222B"/>
    <w:rsid w:val="006B0720"/>
    <w:rsid w:val="006B1D40"/>
    <w:rsid w:val="006B4DD1"/>
    <w:rsid w:val="006C72B3"/>
    <w:rsid w:val="006D29B2"/>
    <w:rsid w:val="006F3D3B"/>
    <w:rsid w:val="00703D01"/>
    <w:rsid w:val="007076DF"/>
    <w:rsid w:val="00713568"/>
    <w:rsid w:val="00721FDE"/>
    <w:rsid w:val="00734800"/>
    <w:rsid w:val="00773006"/>
    <w:rsid w:val="0079292D"/>
    <w:rsid w:val="00796332"/>
    <w:rsid w:val="007C5634"/>
    <w:rsid w:val="007D25C1"/>
    <w:rsid w:val="007E1558"/>
    <w:rsid w:val="007F2B34"/>
    <w:rsid w:val="00807C34"/>
    <w:rsid w:val="008225A1"/>
    <w:rsid w:val="0083716F"/>
    <w:rsid w:val="0084672A"/>
    <w:rsid w:val="00850047"/>
    <w:rsid w:val="00850C83"/>
    <w:rsid w:val="008524E2"/>
    <w:rsid w:val="008624E1"/>
    <w:rsid w:val="00864A50"/>
    <w:rsid w:val="00875B18"/>
    <w:rsid w:val="008B7555"/>
    <w:rsid w:val="008C7E37"/>
    <w:rsid w:val="00921D18"/>
    <w:rsid w:val="009679D2"/>
    <w:rsid w:val="00980694"/>
    <w:rsid w:val="009909EF"/>
    <w:rsid w:val="009B6240"/>
    <w:rsid w:val="009E2CFF"/>
    <w:rsid w:val="009F0904"/>
    <w:rsid w:val="009F68C2"/>
    <w:rsid w:val="00A01031"/>
    <w:rsid w:val="00A24A12"/>
    <w:rsid w:val="00A24BD3"/>
    <w:rsid w:val="00A376AA"/>
    <w:rsid w:val="00A51B71"/>
    <w:rsid w:val="00A61290"/>
    <w:rsid w:val="00A72531"/>
    <w:rsid w:val="00A7520A"/>
    <w:rsid w:val="00A86244"/>
    <w:rsid w:val="00A9020A"/>
    <w:rsid w:val="00A94268"/>
    <w:rsid w:val="00AD55F5"/>
    <w:rsid w:val="00AE737A"/>
    <w:rsid w:val="00B00DFC"/>
    <w:rsid w:val="00B20778"/>
    <w:rsid w:val="00B2576E"/>
    <w:rsid w:val="00B34536"/>
    <w:rsid w:val="00B35671"/>
    <w:rsid w:val="00B43EBE"/>
    <w:rsid w:val="00B46EBD"/>
    <w:rsid w:val="00B5089B"/>
    <w:rsid w:val="00B658AB"/>
    <w:rsid w:val="00B83524"/>
    <w:rsid w:val="00B83D24"/>
    <w:rsid w:val="00BB1452"/>
    <w:rsid w:val="00BB1705"/>
    <w:rsid w:val="00BC2944"/>
    <w:rsid w:val="00BC6183"/>
    <w:rsid w:val="00BD1B31"/>
    <w:rsid w:val="00BD6EE5"/>
    <w:rsid w:val="00BE1951"/>
    <w:rsid w:val="00C048A6"/>
    <w:rsid w:val="00C104F2"/>
    <w:rsid w:val="00C12E37"/>
    <w:rsid w:val="00C35767"/>
    <w:rsid w:val="00C41AF0"/>
    <w:rsid w:val="00C70E03"/>
    <w:rsid w:val="00C91CF0"/>
    <w:rsid w:val="00C92D6B"/>
    <w:rsid w:val="00C94BB4"/>
    <w:rsid w:val="00CA67E4"/>
    <w:rsid w:val="00CA73A4"/>
    <w:rsid w:val="00CB7E59"/>
    <w:rsid w:val="00CC187A"/>
    <w:rsid w:val="00CD165E"/>
    <w:rsid w:val="00CD3C4B"/>
    <w:rsid w:val="00CD7520"/>
    <w:rsid w:val="00CE6BD3"/>
    <w:rsid w:val="00D43414"/>
    <w:rsid w:val="00D6769F"/>
    <w:rsid w:val="00D73835"/>
    <w:rsid w:val="00D84573"/>
    <w:rsid w:val="00D9740D"/>
    <w:rsid w:val="00DB1C4C"/>
    <w:rsid w:val="00DE0287"/>
    <w:rsid w:val="00DF3F8F"/>
    <w:rsid w:val="00DF4156"/>
    <w:rsid w:val="00DF5170"/>
    <w:rsid w:val="00DF65C7"/>
    <w:rsid w:val="00E00CE3"/>
    <w:rsid w:val="00E32C7B"/>
    <w:rsid w:val="00E47A0F"/>
    <w:rsid w:val="00E51A73"/>
    <w:rsid w:val="00E5382C"/>
    <w:rsid w:val="00E67FD7"/>
    <w:rsid w:val="00E70485"/>
    <w:rsid w:val="00E833AB"/>
    <w:rsid w:val="00E91920"/>
    <w:rsid w:val="00EA1C01"/>
    <w:rsid w:val="00EA3616"/>
    <w:rsid w:val="00EE5679"/>
    <w:rsid w:val="00EF6AAD"/>
    <w:rsid w:val="00F141E8"/>
    <w:rsid w:val="00F275C7"/>
    <w:rsid w:val="00F849DA"/>
    <w:rsid w:val="00F85E27"/>
    <w:rsid w:val="00FA7EAA"/>
    <w:rsid w:val="00FE01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AA0A7B"/>
  <w15:docId w15:val="{DFDF958A-758A-4291-9669-1B2DBE14C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920"/>
    <w:rPr>
      <w:sz w:val="24"/>
      <w:lang w:val="en-US" w:eastAsia="en-US"/>
    </w:rPr>
  </w:style>
  <w:style w:type="paragraph" w:styleId="Heading1">
    <w:name w:val="heading 1"/>
    <w:basedOn w:val="Normal"/>
    <w:next w:val="Normal"/>
    <w:qFormat/>
    <w:rsid w:val="00E91920"/>
    <w:pPr>
      <w:keepNext/>
      <w:outlineLvl w:val="0"/>
    </w:pPr>
    <w:rPr>
      <w:b/>
    </w:rPr>
  </w:style>
  <w:style w:type="paragraph" w:styleId="Heading2">
    <w:name w:val="heading 2"/>
    <w:basedOn w:val="Normal"/>
    <w:next w:val="Normal"/>
    <w:qFormat/>
    <w:rsid w:val="00E91920"/>
    <w:pPr>
      <w:keepNext/>
      <w:spacing w:line="360" w:lineRule="auto"/>
      <w:jc w:val="center"/>
      <w:outlineLvl w:val="1"/>
    </w:pPr>
    <w:rPr>
      <w:u w:val="single"/>
    </w:rPr>
  </w:style>
  <w:style w:type="paragraph" w:styleId="Heading3">
    <w:name w:val="heading 3"/>
    <w:basedOn w:val="Normal"/>
    <w:next w:val="Normal"/>
    <w:qFormat/>
    <w:rsid w:val="00E91920"/>
    <w:pPr>
      <w:keepNext/>
      <w:spacing w:line="480" w:lineRule="auto"/>
      <w:jc w:val="center"/>
      <w:outlineLvl w:val="2"/>
    </w:pPr>
    <w:rPr>
      <w:b/>
      <w:u w:val="single"/>
    </w:rPr>
  </w:style>
  <w:style w:type="paragraph" w:styleId="Heading4">
    <w:name w:val="heading 4"/>
    <w:basedOn w:val="Normal"/>
    <w:next w:val="Normal"/>
    <w:link w:val="Heading4Char"/>
    <w:semiHidden/>
    <w:unhideWhenUsed/>
    <w:qFormat/>
    <w:rsid w:val="00B00DF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91920"/>
    <w:pPr>
      <w:spacing w:line="360" w:lineRule="auto"/>
      <w:jc w:val="both"/>
    </w:pPr>
  </w:style>
  <w:style w:type="paragraph" w:styleId="BodyTextIndent">
    <w:name w:val="Body Text Indent"/>
    <w:basedOn w:val="Normal"/>
    <w:rsid w:val="00E91920"/>
    <w:pPr>
      <w:ind w:firstLine="720"/>
      <w:jc w:val="both"/>
    </w:pPr>
  </w:style>
  <w:style w:type="character" w:customStyle="1" w:styleId="Heading4Char">
    <w:name w:val="Heading 4 Char"/>
    <w:basedOn w:val="DefaultParagraphFont"/>
    <w:link w:val="Heading4"/>
    <w:semiHidden/>
    <w:rsid w:val="00B00DFC"/>
    <w:rPr>
      <w:rFonts w:asciiTheme="majorHAnsi" w:eastAsiaTheme="majorEastAsia" w:hAnsiTheme="majorHAnsi" w:cstheme="majorBidi"/>
      <w:i/>
      <w:iCs/>
      <w:color w:val="2E74B5" w:themeColor="accent1" w:themeShade="BF"/>
      <w:sz w:val="24"/>
      <w:lang w:val="en-US" w:eastAsia="en-US"/>
    </w:rPr>
  </w:style>
  <w:style w:type="paragraph" w:styleId="BalloonText">
    <w:name w:val="Balloon Text"/>
    <w:basedOn w:val="Normal"/>
    <w:link w:val="BalloonTextChar"/>
    <w:semiHidden/>
    <w:unhideWhenUsed/>
    <w:rsid w:val="009E2CFF"/>
    <w:rPr>
      <w:rFonts w:ascii="Tahoma" w:hAnsi="Tahoma" w:cs="Tahoma"/>
      <w:sz w:val="16"/>
      <w:szCs w:val="16"/>
    </w:rPr>
  </w:style>
  <w:style w:type="character" w:customStyle="1" w:styleId="BalloonTextChar">
    <w:name w:val="Balloon Text Char"/>
    <w:basedOn w:val="DefaultParagraphFont"/>
    <w:link w:val="BalloonText"/>
    <w:semiHidden/>
    <w:rsid w:val="009E2CFF"/>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7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LOVE</vt:lpstr>
    </vt:vector>
  </TitlesOfParts>
  <Company>ipc ,bits</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subject/>
  <dc:creator>OPEY A.</dc:creator>
  <cp:keywords/>
  <cp:lastModifiedBy>Windows User</cp:lastModifiedBy>
  <cp:revision>13</cp:revision>
  <cp:lastPrinted>2016-07-23T05:02:00Z</cp:lastPrinted>
  <dcterms:created xsi:type="dcterms:W3CDTF">2022-08-22T11:11:00Z</dcterms:created>
  <dcterms:modified xsi:type="dcterms:W3CDTF">2022-08-28T08:30:00Z</dcterms:modified>
</cp:coreProperties>
</file>