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453" w:rsidRDefault="00E9438F">
      <w:pPr>
        <w:spacing w:after="36" w:line="259" w:lineRule="auto"/>
        <w:ind w:left="53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4922520" cy="1021080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02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6453" w:rsidRDefault="00E9438F">
      <w:pPr>
        <w:widowControl w:val="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 SEMESTER 2023-2024</w:t>
      </w:r>
    </w:p>
    <w:p w:rsidR="00926453" w:rsidRDefault="00E9438F">
      <w:pPr>
        <w:widowControl w:val="0"/>
        <w:spacing w:after="0" w:line="240" w:lineRule="auto"/>
        <w:ind w:left="0" w:righ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Course Handout Part II</w:t>
      </w:r>
    </w:p>
    <w:p w:rsidR="00926453" w:rsidRDefault="00430C72">
      <w:pPr>
        <w:spacing w:after="84" w:line="259" w:lineRule="auto"/>
        <w:ind w:left="0" w:right="0" w:firstLine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Date: 11</w:t>
      </w:r>
      <w:r w:rsidR="00E94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-08-2023  </w:t>
      </w:r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26453" w:rsidRDefault="00E9438F">
      <w:pPr>
        <w:ind w:left="-5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addition to Part – I (General Handout for all courses appended to the timetable) this portion gives further specific details regarding the course. </w:t>
      </w:r>
    </w:p>
    <w:p w:rsidR="00926453" w:rsidRDefault="00E9438F">
      <w:pPr>
        <w:spacing w:after="0" w:line="259" w:lineRule="auto"/>
        <w:ind w:left="55" w:right="0"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26453" w:rsidRDefault="00E9438F">
      <w:pPr>
        <w:spacing w:after="96" w:line="259" w:lineRule="auto"/>
        <w:ind w:left="-15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No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BITS F225 </w:t>
      </w:r>
    </w:p>
    <w:p w:rsidR="00926453" w:rsidRDefault="00E9438F">
      <w:pPr>
        <w:spacing w:after="105" w:line="259" w:lineRule="auto"/>
        <w:ind w:left="-15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Title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ENVIRONMENTAL STUDIES </w:t>
      </w:r>
    </w:p>
    <w:p w:rsidR="00926453" w:rsidRDefault="00E9438F">
      <w:pPr>
        <w:spacing w:after="96" w:line="259" w:lineRule="auto"/>
        <w:ind w:left="-5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VASAN</w:t>
      </w:r>
    </w:p>
    <w:p w:rsidR="00926453" w:rsidRDefault="00E9438F">
      <w:pPr>
        <w:pStyle w:val="Heading1"/>
        <w:ind w:left="-15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Instructors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Amartya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Sanyal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Nilanjan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Dey</w:t>
      </w:r>
      <w:proofErr w:type="spellEnd"/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26453" w:rsidRDefault="00E9438F">
      <w:pPr>
        <w:numPr>
          <w:ilvl w:val="0"/>
          <w:numId w:val="1"/>
        </w:num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Scope and Objective of the Course: </w:t>
      </w:r>
    </w:p>
    <w:p w:rsidR="00926453" w:rsidRDefault="00E9438F">
      <w:pPr>
        <w:ind w:left="-5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the course is to ignite a conversation, brainstorm, debate, share perspectives, ideas, suggestions, feasible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methods etc. and try and implement a small part of it in our lives. The primary objective is to ensure that any student regardless of the program they are admitted to, turns out to be a well-rounded, environmentally and culturally competent adult by the 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 they graduate. This would familiarize oneself prior to stepping into similar real-world issues that will occupy one’s time and attention significantly in the course of their lifetime. The course will be interdisciplinary and will require student’s invol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vement in brainstorming and making your opinion and solutions heard in creative means such as posters, presentations, field work, case studies, lab work etc. The course aims one to create a better world while we tune our lifestyle towards a sustainable liv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ing.</w:t>
      </w:r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26453" w:rsidRDefault="00E9438F">
      <w:pPr>
        <w:numPr>
          <w:ilvl w:val="0"/>
          <w:numId w:val="1"/>
        </w:numPr>
        <w:spacing w:after="96" w:line="259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Textbook (TB): </w:t>
      </w:r>
    </w:p>
    <w:p w:rsidR="00926453" w:rsidRDefault="00E9438F">
      <w:pPr>
        <w:spacing w:after="0" w:line="259" w:lineRule="auto"/>
        <w:ind w:left="-5" w:righ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Bharucha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Textbook of Environmental Studies for Undergraduate Courses,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Third Edition, Orient Black Swan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Limited, India, 2021.</w:t>
      </w:r>
    </w:p>
    <w:p w:rsidR="00926453" w:rsidRDefault="00926453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numPr>
          <w:ilvl w:val="0"/>
          <w:numId w:val="1"/>
        </w:numPr>
        <w:spacing w:after="158" w:line="259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 Book (RB):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26453" w:rsidRDefault="00E9438F">
      <w:pPr>
        <w:spacing w:after="47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Rajagopalan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2015,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Environmental Studies, from crisis to cure, 3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edition, Oxford Education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6453" w:rsidRDefault="00926453">
      <w:pPr>
        <w:spacing w:after="47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926453">
      <w:pPr>
        <w:spacing w:after="47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926453">
      <w:pPr>
        <w:spacing w:after="47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926453">
      <w:pPr>
        <w:spacing w:after="47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926453">
      <w:pPr>
        <w:spacing w:after="47"/>
        <w:ind w:righ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Course Plan: </w:t>
      </w:r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</w:t>
      </w:r>
    </w:p>
    <w:tbl>
      <w:tblPr>
        <w:tblStyle w:val="a"/>
        <w:tblW w:w="9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2401"/>
        <w:gridCol w:w="4846"/>
        <w:gridCol w:w="1454"/>
      </w:tblGrid>
      <w:tr w:rsidR="00926453">
        <w:trPr>
          <w:trHeight w:val="616"/>
          <w:tblHeader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>Lecture No.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0" w:line="259" w:lineRule="auto"/>
              <w:ind w:left="0" w:right="5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>Learning objectives</w:t>
            </w:r>
          </w:p>
        </w:tc>
        <w:tc>
          <w:tcPr>
            <w:tcW w:w="4846" w:type="dxa"/>
            <w:vAlign w:val="center"/>
          </w:tcPr>
          <w:p w:rsidR="00926453" w:rsidRDefault="00E9438F">
            <w:pPr>
              <w:spacing w:after="0" w:line="259" w:lineRule="auto"/>
              <w:ind w:left="0" w:right="12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 xml:space="preserve">Topics to be covered </w:t>
            </w:r>
          </w:p>
        </w:tc>
        <w:tc>
          <w:tcPr>
            <w:tcW w:w="1454" w:type="dxa"/>
          </w:tcPr>
          <w:p w:rsidR="00926453" w:rsidRDefault="00E9438F">
            <w:pPr>
              <w:spacing w:after="0" w:line="259" w:lineRule="auto"/>
              <w:ind w:left="0" w:right="55" w:firstLine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2"/>
                <w:szCs w:val="22"/>
              </w:rPr>
              <w:t>Chapter in the Text Book</w:t>
            </w:r>
          </w:p>
        </w:tc>
      </w:tr>
      <w:tr w:rsidR="00926453">
        <w:trPr>
          <w:trHeight w:val="1150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Multidisciplinary nature of environmental studies </w:t>
            </w:r>
          </w:p>
        </w:tc>
        <w:tc>
          <w:tcPr>
            <w:tcW w:w="4846" w:type="dxa"/>
            <w:vAlign w:val="center"/>
          </w:tcPr>
          <w:p w:rsidR="00926453" w:rsidRDefault="00E9438F">
            <w:pPr>
              <w:spacing w:after="0" w:line="259" w:lineRule="auto"/>
              <w:ind w:left="43" w:right="170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Definition, Scope and Importance, Need for Public Awareness, Institutions and significant contribution of pioneers in environmental conservation.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1-T</w:t>
            </w:r>
          </w:p>
        </w:tc>
      </w:tr>
      <w:tr w:rsidR="00926453">
        <w:trPr>
          <w:trHeight w:val="985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2-5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Concept of ecosystems and its features </w:t>
            </w:r>
          </w:p>
        </w:tc>
        <w:tc>
          <w:tcPr>
            <w:tcW w:w="4846" w:type="dxa"/>
          </w:tcPr>
          <w:p w:rsidR="00926453" w:rsidRDefault="00E9438F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Ecosystems: Types and Function</w:t>
            </w:r>
          </w:p>
          <w:p w:rsidR="00926453" w:rsidRDefault="00926453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26453" w:rsidRDefault="00E9438F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Food and ecological pyramids </w:t>
            </w:r>
          </w:p>
        </w:tc>
        <w:tc>
          <w:tcPr>
            <w:tcW w:w="1454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3-T  </w:t>
            </w:r>
          </w:p>
          <w:p w:rsidR="00926453" w:rsidRDefault="00926453">
            <w:pPr>
              <w:spacing w:after="0" w:line="259" w:lineRule="auto"/>
              <w:ind w:left="0" w:right="5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26453">
        <w:trPr>
          <w:trHeight w:val="1625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6-9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Human population and environment </w:t>
            </w:r>
          </w:p>
        </w:tc>
        <w:tc>
          <w:tcPr>
            <w:tcW w:w="4846" w:type="dxa"/>
          </w:tcPr>
          <w:p w:rsidR="00926453" w:rsidRDefault="00E9438F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Dynamics of natural populations </w:t>
            </w:r>
          </w:p>
          <w:p w:rsidR="00926453" w:rsidRDefault="00926453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26453" w:rsidRDefault="00E9438F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Human population growth and health, </w:t>
            </w:r>
          </w:p>
          <w:p w:rsidR="00926453" w:rsidRDefault="00926453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26453" w:rsidRDefault="00E9438F">
            <w:pPr>
              <w:spacing w:after="0" w:line="259" w:lineRule="auto"/>
              <w:ind w:left="43" w:right="165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Role of information Technology in Environment and human health. </w:t>
            </w:r>
          </w:p>
        </w:tc>
        <w:tc>
          <w:tcPr>
            <w:tcW w:w="1454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7-T </w:t>
            </w:r>
          </w:p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26453">
        <w:trPr>
          <w:trHeight w:val="1397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7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10-14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Biodiversity and its </w:t>
            </w:r>
          </w:p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conservation  </w:t>
            </w:r>
          </w:p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46" w:type="dxa"/>
          </w:tcPr>
          <w:p w:rsidR="00926453" w:rsidRDefault="00E9438F">
            <w:pPr>
              <w:spacing w:after="1" w:line="241" w:lineRule="auto"/>
              <w:ind w:left="43" w:right="163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Bio-diversity, Hot-spots of biodiversity, Threats to biodiversity, Endangered Species</w:t>
            </w:r>
          </w:p>
          <w:p w:rsidR="00926453" w:rsidRDefault="00E9438F">
            <w:pPr>
              <w:spacing w:after="1" w:line="241" w:lineRule="auto"/>
              <w:ind w:left="43" w:right="163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Conservation of biodiversity </w:t>
            </w:r>
          </w:p>
        </w:tc>
        <w:tc>
          <w:tcPr>
            <w:tcW w:w="1454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4-T</w:t>
            </w:r>
          </w:p>
          <w:p w:rsidR="00926453" w:rsidRDefault="00926453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26453">
        <w:trPr>
          <w:trHeight w:val="1395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7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15-20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2" w:line="23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Natural resources and the impact of man-made </w:t>
            </w:r>
          </w:p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activities on them </w:t>
            </w:r>
          </w:p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46" w:type="dxa"/>
          </w:tcPr>
          <w:p w:rsidR="00926453" w:rsidRDefault="00E9438F">
            <w:pPr>
              <w:spacing w:after="0" w:line="259" w:lineRule="auto"/>
              <w:ind w:left="43" w:right="168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Natural resources and associated problems in the same </w:t>
            </w:r>
          </w:p>
          <w:p w:rsidR="00926453" w:rsidRDefault="00E9438F">
            <w:pPr>
              <w:spacing w:after="0" w:line="259" w:lineRule="auto"/>
              <w:ind w:left="43" w:right="168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Water resources; Mineral resources; Food resources; Energy resources; Land resources; </w:t>
            </w:r>
          </w:p>
          <w:p w:rsidR="00926453" w:rsidRDefault="00E9438F">
            <w:pPr>
              <w:spacing w:after="0" w:line="259" w:lineRule="auto"/>
              <w:ind w:left="43" w:right="168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Role of an individual in conservation of natural resources</w:t>
            </w:r>
          </w:p>
        </w:tc>
        <w:tc>
          <w:tcPr>
            <w:tcW w:w="1454" w:type="dxa"/>
            <w:vAlign w:val="center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2-T </w:t>
            </w:r>
          </w:p>
          <w:p w:rsidR="00926453" w:rsidRDefault="00926453">
            <w:pPr>
              <w:spacing w:after="0" w:line="259" w:lineRule="auto"/>
              <w:ind w:left="0" w:right="5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26453">
        <w:trPr>
          <w:trHeight w:val="1540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5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21-28</w:t>
            </w:r>
          </w:p>
        </w:tc>
        <w:tc>
          <w:tcPr>
            <w:tcW w:w="2401" w:type="dxa"/>
            <w:vMerge w:val="restart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Environmental pollution </w:t>
            </w:r>
          </w:p>
        </w:tc>
        <w:tc>
          <w:tcPr>
            <w:tcW w:w="4846" w:type="dxa"/>
          </w:tcPr>
          <w:p w:rsidR="00926453" w:rsidRDefault="00E9438F">
            <w:pPr>
              <w:spacing w:after="0" w:line="259" w:lineRule="auto"/>
              <w:ind w:left="43" w:right="168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Definition, Cause, effects and control measures of Air pollution, Water pollution, Soil pollution, Noise pollution (thermal pollution and nuclear hazards)</w:t>
            </w:r>
          </w:p>
          <w:p w:rsidR="00926453" w:rsidRDefault="00926453">
            <w:pPr>
              <w:spacing w:after="0" w:line="259" w:lineRule="auto"/>
              <w:ind w:left="43" w:right="168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26453" w:rsidRDefault="00E9438F">
            <w:pPr>
              <w:spacing w:after="0" w:line="259" w:lineRule="auto"/>
              <w:ind w:left="43" w:right="168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Solid waste Management: Causes, effects and control measures of urban and industrial wastes, waste to energy concept; Case studies </w:t>
            </w:r>
          </w:p>
        </w:tc>
        <w:tc>
          <w:tcPr>
            <w:tcW w:w="1454" w:type="dxa"/>
            <w:vMerge w:val="restart"/>
            <w:vAlign w:val="bottom"/>
          </w:tcPr>
          <w:p w:rsidR="00926453" w:rsidRDefault="00E9438F">
            <w:pPr>
              <w:spacing w:after="0" w:line="259" w:lineRule="auto"/>
              <w:ind w:left="0" w:right="52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5-T </w:t>
            </w:r>
          </w:p>
          <w:p w:rsidR="00926453" w:rsidRDefault="00E9438F">
            <w:pPr>
              <w:spacing w:after="0" w:line="259" w:lineRule="auto"/>
              <w:ind w:left="31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926453">
        <w:trPr>
          <w:trHeight w:val="1787"/>
          <w:jc w:val="center"/>
        </w:trPr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7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29-34</w:t>
            </w:r>
          </w:p>
        </w:tc>
        <w:tc>
          <w:tcPr>
            <w:tcW w:w="2401" w:type="dxa"/>
            <w:vMerge/>
            <w:vAlign w:val="center"/>
          </w:tcPr>
          <w:p w:rsidR="00926453" w:rsidRDefault="0092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846" w:type="dxa"/>
            <w:tcBorders>
              <w:bottom w:val="single" w:sz="4" w:space="0" w:color="000000"/>
            </w:tcBorders>
          </w:tcPr>
          <w:p w:rsidR="00926453" w:rsidRDefault="00E9438F">
            <w:pPr>
              <w:spacing w:after="0" w:line="259" w:lineRule="auto"/>
              <w:ind w:left="43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Role of an individual in prevention of pollution: Acts pertaining to Environment; Issues involved in enforcement of environmental legislation EIA </w:t>
            </w:r>
          </w:p>
          <w:p w:rsidR="00926453" w:rsidRDefault="00926453">
            <w:pPr>
              <w:spacing w:after="0" w:line="259" w:lineRule="auto"/>
              <w:ind w:left="43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:rsidR="00926453" w:rsidRDefault="00E9438F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Disaster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 xml:space="preserve">management: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 xml:space="preserve">floods, earthquake, cyclone and landslides. </w:t>
            </w:r>
          </w:p>
        </w:tc>
        <w:tc>
          <w:tcPr>
            <w:tcW w:w="1454" w:type="dxa"/>
            <w:vMerge/>
            <w:vAlign w:val="bottom"/>
          </w:tcPr>
          <w:p w:rsidR="00926453" w:rsidRDefault="00926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926453">
        <w:trPr>
          <w:trHeight w:val="2314"/>
          <w:jc w:val="center"/>
        </w:trPr>
        <w:tc>
          <w:tcPr>
            <w:tcW w:w="956" w:type="dxa"/>
            <w:vAlign w:val="center"/>
          </w:tcPr>
          <w:p w:rsidR="00926453" w:rsidRDefault="00E9438F">
            <w:pPr>
              <w:spacing w:after="0" w:line="259" w:lineRule="auto"/>
              <w:ind w:left="0" w:right="57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35-42</w:t>
            </w:r>
          </w:p>
        </w:tc>
        <w:tc>
          <w:tcPr>
            <w:tcW w:w="2401" w:type="dxa"/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Social issues and the environment </w:t>
            </w:r>
          </w:p>
        </w:tc>
        <w:tc>
          <w:tcPr>
            <w:tcW w:w="4846" w:type="dxa"/>
          </w:tcPr>
          <w:p w:rsidR="00926453" w:rsidRDefault="00E9438F">
            <w:pPr>
              <w:spacing w:after="0" w:line="259" w:lineRule="auto"/>
              <w:ind w:left="43" w:right="164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Unsustainable to Sustainable development, Urban problems related to energy. </w:t>
            </w:r>
          </w:p>
          <w:p w:rsidR="00926453" w:rsidRDefault="00E9438F">
            <w:pPr>
              <w:spacing w:after="0" w:line="259" w:lineRule="auto"/>
              <w:ind w:left="43" w:right="164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Water conservation, rainwater harvesting, watershed management, resettlement and rehabilitation of people; its problems and concerns; </w:t>
            </w:r>
          </w:p>
          <w:p w:rsidR="00926453" w:rsidRDefault="00E9438F">
            <w:pPr>
              <w:spacing w:after="0" w:line="259" w:lineRule="auto"/>
              <w:ind w:left="43" w:right="164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Environme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ntal ethics: Issues and possible solutions, Wasteland reclamation, Consumerism and waste products </w:t>
            </w:r>
          </w:p>
          <w:p w:rsidR="00926453" w:rsidRDefault="00E9438F">
            <w:pPr>
              <w:spacing w:after="0" w:line="259" w:lineRule="auto"/>
              <w:ind w:left="43" w:right="164" w:firstLine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Global issues like Climate change, nuclear accidents etc., public awareness, value education </w:t>
            </w:r>
          </w:p>
        </w:tc>
        <w:tc>
          <w:tcPr>
            <w:tcW w:w="1454" w:type="dxa"/>
            <w:vAlign w:val="center"/>
          </w:tcPr>
          <w:p w:rsidR="00926453" w:rsidRDefault="00E9438F">
            <w:pPr>
              <w:spacing w:after="0" w:line="259" w:lineRule="auto"/>
              <w:ind w:left="24" w:right="21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6-T</w:t>
            </w:r>
          </w:p>
        </w:tc>
      </w:tr>
    </w:tbl>
    <w:p w:rsidR="00926453" w:rsidRDefault="00926453">
      <w:pPr>
        <w:spacing w:after="96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Evaluation Scheme: </w:t>
      </w:r>
    </w:p>
    <w:p w:rsidR="00926453" w:rsidRDefault="00E9438F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Style w:val="a0"/>
        <w:tblW w:w="8849" w:type="dxa"/>
        <w:jc w:val="center"/>
        <w:tblLayout w:type="fixed"/>
        <w:tblLook w:val="0400" w:firstRow="0" w:lastRow="0" w:firstColumn="0" w:lastColumn="0" w:noHBand="0" w:noVBand="1"/>
      </w:tblPr>
      <w:tblGrid>
        <w:gridCol w:w="2878"/>
        <w:gridCol w:w="1232"/>
        <w:gridCol w:w="1223"/>
        <w:gridCol w:w="1962"/>
        <w:gridCol w:w="1554"/>
      </w:tblGrid>
      <w:tr w:rsidR="00926453">
        <w:trPr>
          <w:trHeight w:val="552"/>
          <w:jc w:val="center"/>
        </w:trPr>
        <w:tc>
          <w:tcPr>
            <w:tcW w:w="2878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61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Evaluation component</w:t>
            </w:r>
          </w:p>
        </w:tc>
        <w:tc>
          <w:tcPr>
            <w:tcW w:w="123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64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1223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9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Weightage (%)</w:t>
            </w:r>
          </w:p>
        </w:tc>
        <w:tc>
          <w:tcPr>
            <w:tcW w:w="196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9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Date and time</w:t>
            </w:r>
          </w:p>
        </w:tc>
        <w:tc>
          <w:tcPr>
            <w:tcW w:w="1554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Nature of the Component</w:t>
            </w:r>
          </w:p>
        </w:tc>
      </w:tr>
      <w:tr w:rsidR="00926453">
        <w:trPr>
          <w:trHeight w:val="550"/>
          <w:jc w:val="center"/>
        </w:trPr>
        <w:tc>
          <w:tcPr>
            <w:tcW w:w="2878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Mid Semester Exam </w:t>
            </w:r>
          </w:p>
        </w:tc>
        <w:tc>
          <w:tcPr>
            <w:tcW w:w="123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6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90 min </w:t>
            </w:r>
          </w:p>
        </w:tc>
        <w:tc>
          <w:tcPr>
            <w:tcW w:w="1223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8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25 </w:t>
            </w:r>
          </w:p>
        </w:tc>
        <w:tc>
          <w:tcPr>
            <w:tcW w:w="196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430C72">
            <w:pPr>
              <w:spacing w:after="0" w:line="259" w:lineRule="auto"/>
              <w:ind w:left="0" w:right="6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t>12/10 - 4.00 - 5.30PM</w:t>
            </w:r>
          </w:p>
        </w:tc>
        <w:tc>
          <w:tcPr>
            <w:tcW w:w="1554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6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OB </w:t>
            </w:r>
          </w:p>
        </w:tc>
      </w:tr>
      <w:tr w:rsidR="00926453">
        <w:trPr>
          <w:trHeight w:val="550"/>
          <w:jc w:val="center"/>
        </w:trPr>
        <w:tc>
          <w:tcPr>
            <w:tcW w:w="2878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Project Work </w:t>
            </w:r>
          </w:p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(2 Reviews)</w:t>
            </w:r>
          </w:p>
        </w:tc>
        <w:tc>
          <w:tcPr>
            <w:tcW w:w="123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8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3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8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6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26"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4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</w:t>
            </w:r>
          </w:p>
        </w:tc>
      </w:tr>
      <w:tr w:rsidR="00926453">
        <w:trPr>
          <w:trHeight w:val="550"/>
          <w:jc w:val="center"/>
        </w:trPr>
        <w:tc>
          <w:tcPr>
            <w:tcW w:w="2878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Presentations (3 Nos)</w:t>
            </w:r>
          </w:p>
        </w:tc>
        <w:tc>
          <w:tcPr>
            <w:tcW w:w="123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8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23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8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6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26" w:right="3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4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</w:t>
            </w:r>
          </w:p>
        </w:tc>
      </w:tr>
      <w:tr w:rsidR="00926453">
        <w:trPr>
          <w:trHeight w:val="550"/>
          <w:jc w:val="center"/>
        </w:trPr>
        <w:tc>
          <w:tcPr>
            <w:tcW w:w="2878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Comprehensive Examination </w:t>
            </w:r>
          </w:p>
        </w:tc>
        <w:tc>
          <w:tcPr>
            <w:tcW w:w="123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63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180 min </w:t>
            </w:r>
          </w:p>
        </w:tc>
        <w:tc>
          <w:tcPr>
            <w:tcW w:w="1223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8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962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430C72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t>15/12 AN</w:t>
            </w:r>
          </w:p>
        </w:tc>
        <w:tc>
          <w:tcPr>
            <w:tcW w:w="1554" w:type="dxa"/>
            <w:tcBorders>
              <w:top w:val="single" w:sz="4" w:space="0" w:color="000066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vAlign w:val="center"/>
          </w:tcPr>
          <w:p w:rsidR="00926453" w:rsidRDefault="00E9438F">
            <w:pPr>
              <w:spacing w:after="0" w:line="259" w:lineRule="auto"/>
              <w:ind w:left="0" w:right="56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CB</w:t>
            </w:r>
          </w:p>
        </w:tc>
      </w:tr>
    </w:tbl>
    <w:p w:rsidR="00926453" w:rsidRDefault="00926453">
      <w:pPr>
        <w:spacing w:after="0" w:line="259" w:lineRule="auto"/>
        <w:ind w:left="720" w:right="0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Chamber Consultation Hour: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be announced later in the Lecture Class</w:t>
      </w:r>
    </w:p>
    <w:p w:rsidR="00926453" w:rsidRDefault="00926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Notices: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Notices concerning this course will be displayed on Google Classroom Course page.  </w:t>
      </w:r>
    </w:p>
    <w:p w:rsidR="00926453" w:rsidRDefault="009264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Make-up Policy: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Prior permission for all make ups are a must. </w:t>
      </w:r>
    </w:p>
    <w:p w:rsidR="00926453" w:rsidRDefault="0092645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6453" w:rsidRDefault="00E9438F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Academic Honesty and Integrity Policy: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Academ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 honesty and integrity are to be maintained by all the students throughout the semester and no type of academic dishonesty is acceptable.</w:t>
      </w:r>
    </w:p>
    <w:p w:rsidR="00926453" w:rsidRDefault="00926453">
      <w:bookmarkStart w:id="1" w:name="_GoBack"/>
      <w:bookmarkEnd w:id="1"/>
    </w:p>
    <w:p w:rsidR="00926453" w:rsidRDefault="00926453"/>
    <w:p w:rsidR="00926453" w:rsidRDefault="00926453"/>
    <w:p w:rsidR="00926453" w:rsidRDefault="00926453"/>
    <w:p w:rsidR="00926453" w:rsidRDefault="00926453"/>
    <w:p w:rsidR="00926453" w:rsidRDefault="00E9438F">
      <w:pPr>
        <w:spacing w:line="250" w:lineRule="auto"/>
        <w:ind w:left="6480" w:right="0" w:firstLine="1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Instructor-In-Charge</w:t>
      </w:r>
    </w:p>
    <w:p w:rsidR="00926453" w:rsidRDefault="00E9438F">
      <w:pPr>
        <w:spacing w:after="3" w:line="259" w:lineRule="auto"/>
        <w:ind w:left="6490" w:right="-12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BITS F225</w:t>
      </w:r>
    </w:p>
    <w:sectPr w:rsidR="00926453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4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38F" w:rsidRDefault="00E9438F">
      <w:pPr>
        <w:spacing w:after="0" w:line="240" w:lineRule="auto"/>
      </w:pPr>
      <w:r>
        <w:separator/>
      </w:r>
    </w:p>
  </w:endnote>
  <w:endnote w:type="continuationSeparator" w:id="0">
    <w:p w:rsidR="00E9438F" w:rsidRDefault="00E9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453" w:rsidRDefault="00E9438F">
    <w:pPr>
      <w:spacing w:after="14" w:line="259" w:lineRule="auto"/>
      <w:ind w:left="0" w:right="0" w:firstLine="0"/>
      <w:jc w:val="center"/>
    </w:pPr>
    <w:r>
      <w:fldChar w:fldCharType="begin"/>
    </w:r>
    <w:r>
      <w:instrText>PAGE</w:instrText>
    </w:r>
    <w:r>
      <w:fldChar w:fldCharType="end"/>
    </w:r>
    <w:r>
      <w:rPr>
        <w:color w:val="C00000"/>
      </w:rPr>
      <w:t xml:space="preserve"> </w:t>
    </w:r>
  </w:p>
  <w:p w:rsidR="00926453" w:rsidRDefault="00E9438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453" w:rsidRDefault="00E943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0" w:firstLine="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 w:rsidR="00430C72"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430C72">
      <w:rPr>
        <w:rFonts w:ascii="Calibri" w:eastAsia="Calibri" w:hAnsi="Calibri" w:cs="Calibri"/>
        <w:b/>
        <w:noProof/>
        <w:color w:val="000000"/>
        <w:sz w:val="24"/>
        <w:szCs w:val="24"/>
      </w:rPr>
      <w:t>3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  <w:sz w:val="22"/>
        <w:szCs w:val="22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 w:rsidR="00430C72"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430C72">
      <w:rPr>
        <w:rFonts w:ascii="Calibri" w:eastAsia="Calibri" w:hAnsi="Calibri" w:cs="Calibri"/>
        <w:b/>
        <w:noProof/>
        <w:color w:val="000000"/>
        <w:sz w:val="24"/>
        <w:szCs w:val="24"/>
      </w:rPr>
      <w:t>3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926453" w:rsidRDefault="00926453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453" w:rsidRDefault="00E9438F">
    <w:pPr>
      <w:spacing w:after="14" w:line="259" w:lineRule="auto"/>
      <w:ind w:left="0" w:right="0" w:firstLine="0"/>
      <w:jc w:val="center"/>
    </w:pPr>
    <w:r>
      <w:fldChar w:fldCharType="begin"/>
    </w:r>
    <w:r>
      <w:instrText>PAGE</w:instrText>
    </w:r>
    <w:r>
      <w:fldChar w:fldCharType="end"/>
    </w:r>
    <w:r>
      <w:rPr>
        <w:color w:val="C00000"/>
      </w:rPr>
      <w:t xml:space="preserve"> </w:t>
    </w:r>
  </w:p>
  <w:p w:rsidR="00926453" w:rsidRDefault="00E9438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38F" w:rsidRDefault="00E9438F">
      <w:pPr>
        <w:spacing w:after="0" w:line="240" w:lineRule="auto"/>
      </w:pPr>
      <w:r>
        <w:separator/>
      </w:r>
    </w:p>
  </w:footnote>
  <w:footnote w:type="continuationSeparator" w:id="0">
    <w:p w:rsidR="00E9438F" w:rsidRDefault="00E94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42B04"/>
    <w:multiLevelType w:val="multilevel"/>
    <w:tmpl w:val="DF88EA9A"/>
    <w:lvl w:ilvl="0">
      <w:start w:val="1"/>
      <w:numFmt w:val="decimal"/>
      <w:lvlText w:val="%1."/>
      <w:lvlJc w:val="left"/>
      <w:pPr>
        <w:ind w:left="221" w:hanging="2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eastAsia="Arial" w:hAnsi="Arial" w:cs="Arial"/>
        <w:b/>
        <w:i w:val="0"/>
        <w:strike w:val="0"/>
        <w:color w:val="C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3"/>
    <w:rsid w:val="00430C72"/>
    <w:rsid w:val="00926453"/>
    <w:rsid w:val="00E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5EF9"/>
  <w15:docId w15:val="{A0CCDEFB-DE1D-4E06-943C-A8CF8449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66"/>
        <w:lang w:val="en-US" w:eastAsia="en-IN" w:bidi="ar-SA"/>
      </w:rPr>
    </w:rPrDefault>
    <w:pPrDefault>
      <w:pPr>
        <w:spacing w:after="4" w:line="249" w:lineRule="auto"/>
        <w:ind w:left="10" w:right="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hanging="10"/>
    </w:p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hanging="1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66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DC"/>
    <w:rPr>
      <w:rFonts w:ascii="Tahoma" w:eastAsia="Arial" w:hAnsi="Tahoma" w:cs="Tahoma"/>
      <w:color w:val="000066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C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DA2"/>
    <w:pPr>
      <w:spacing w:after="200" w:line="276" w:lineRule="auto"/>
      <w:ind w:left="720" w:right="0" w:firstLine="0"/>
      <w:contextualSpacing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52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E3"/>
    <w:rPr>
      <w:rFonts w:ascii="Arial" w:eastAsia="Arial" w:hAnsi="Arial" w:cs="Arial"/>
      <w:color w:val="000066"/>
      <w:sz w:val="20"/>
    </w:rPr>
  </w:style>
  <w:style w:type="paragraph" w:styleId="Footer">
    <w:name w:val="footer"/>
    <w:basedOn w:val="Normal"/>
    <w:link w:val="FooterChar"/>
    <w:uiPriority w:val="99"/>
    <w:unhideWhenUsed/>
    <w:rsid w:val="00525BE3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25BE3"/>
    <w:rPr>
      <w:rFonts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" w:type="dxa"/>
        <w:bottom w:w="4" w:type="dxa"/>
        <w:right w:w="57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31" w:type="dxa"/>
        <w:right w:w="5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pW2XT/0/OsmD3tyLMQrC5x09oQ==">CgMxLjAyCGguZ2pkZ3hzMghoLmdqZGd4czgAciExWUx6ZVF0a3BhNXIteFVoRjJNOVZZb2lMZmMxU3hCano=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Bio380</dc:creator>
  <cp:lastModifiedBy>Windows User</cp:lastModifiedBy>
  <cp:revision>2</cp:revision>
  <dcterms:created xsi:type="dcterms:W3CDTF">2022-08-12T05:50:00Z</dcterms:created>
  <dcterms:modified xsi:type="dcterms:W3CDTF">2023-08-10T05:10:00Z</dcterms:modified>
</cp:coreProperties>
</file>