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17" w:rsidRDefault="0039504A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9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217" w:rsidRDefault="0039504A">
      <w:pPr>
        <w:widowControl w:val="0"/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FIRST SEMESTER 2023-2024</w:t>
      </w:r>
    </w:p>
    <w:p w:rsidR="00D63217" w:rsidRDefault="0039504A">
      <w:pPr>
        <w:widowControl w:val="0"/>
        <w:jc w:val="center"/>
        <w:rPr>
          <w:u w:val="single"/>
        </w:rPr>
      </w:pPr>
      <w:r>
        <w:rPr>
          <w:u w:val="single"/>
        </w:rPr>
        <w:t>Course Handout Part II</w:t>
      </w:r>
    </w:p>
    <w:p w:rsidR="00D63217" w:rsidRDefault="0039504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</w:t>
      </w:r>
      <w:r w:rsidR="00175C74">
        <w:t>1</w:t>
      </w:r>
      <w:r>
        <w:t xml:space="preserve">-08-2023  </w:t>
      </w:r>
    </w:p>
    <w:p w:rsidR="00D63217" w:rsidRDefault="0039504A">
      <w:r>
        <w:t>In addition to Part I (General Handout for all courses appended to the timetable), this portion gives further specific details regarding the course.</w:t>
      </w:r>
    </w:p>
    <w:p w:rsidR="00D63217" w:rsidRDefault="00D63217">
      <w:pPr>
        <w:jc w:val="right"/>
      </w:pPr>
    </w:p>
    <w:p w:rsidR="00D63217" w:rsidRDefault="0039504A">
      <w:r>
        <w:t>Course No.</w:t>
      </w:r>
      <w:r>
        <w:tab/>
      </w:r>
      <w:r>
        <w:tab/>
      </w:r>
      <w:r>
        <w:tab/>
        <w:t xml:space="preserve">:  </w:t>
      </w:r>
      <w:r>
        <w:rPr>
          <w:b/>
        </w:rPr>
        <w:t>BITS F312</w:t>
      </w:r>
    </w:p>
    <w:p w:rsidR="00D63217" w:rsidRDefault="0039504A">
      <w:pPr>
        <w:pStyle w:val="Heading2"/>
        <w:rPr>
          <w:b/>
          <w:i w:val="0"/>
        </w:rPr>
      </w:pPr>
      <w:r>
        <w:rPr>
          <w:i w:val="0"/>
        </w:rP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 </w:t>
      </w:r>
      <w:r>
        <w:rPr>
          <w:b/>
          <w:i w:val="0"/>
        </w:rPr>
        <w:t>Neural Network and Fuzzy Logic</w:t>
      </w:r>
    </w:p>
    <w:p w:rsidR="00D63217" w:rsidRDefault="0039504A">
      <w:pPr>
        <w:pStyle w:val="Heading2"/>
        <w:rPr>
          <w:i w:val="0"/>
        </w:rPr>
      </w:pPr>
      <w:r>
        <w:rPr>
          <w:i w:val="0"/>
        </w:rP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</w:t>
      </w:r>
      <w:r>
        <w:rPr>
          <w:b/>
          <w:i w:val="0"/>
        </w:rPr>
        <w:t xml:space="preserve">K. </w:t>
      </w:r>
      <w:proofErr w:type="spellStart"/>
      <w:r>
        <w:rPr>
          <w:b/>
          <w:i w:val="0"/>
        </w:rPr>
        <w:t>Sri</w:t>
      </w:r>
      <w:r>
        <w:rPr>
          <w:b/>
          <w:i w:val="0"/>
        </w:rPr>
        <w:t>nivasa</w:t>
      </w:r>
      <w:proofErr w:type="spellEnd"/>
      <w:r>
        <w:rPr>
          <w:b/>
          <w:i w:val="0"/>
        </w:rPr>
        <w:t xml:space="preserve"> Raju</w:t>
      </w:r>
    </w:p>
    <w:p w:rsidR="00D63217" w:rsidRDefault="0039504A">
      <w:pPr>
        <w:rPr>
          <w:b/>
        </w:rPr>
      </w:pPr>
      <w:r>
        <w:t xml:space="preserve">Chamber No. </w:t>
      </w:r>
      <w:r>
        <w:tab/>
      </w:r>
      <w:r>
        <w:tab/>
      </w:r>
      <w:r>
        <w:tab/>
        <w:t xml:space="preserve">:  </w:t>
      </w:r>
      <w:r>
        <w:rPr>
          <w:b/>
        </w:rPr>
        <w:t>D-107</w:t>
      </w:r>
    </w:p>
    <w:p w:rsidR="00D63217" w:rsidRDefault="00D63217"/>
    <w:p w:rsidR="00D63217" w:rsidRDefault="00D63217"/>
    <w:p w:rsidR="00D63217" w:rsidRDefault="003950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Scope and Objective of the Course:</w:t>
      </w:r>
    </w:p>
    <w:p w:rsidR="00D63217" w:rsidRDefault="00D6321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D63217" w:rsidRDefault="0039504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color w:val="000000"/>
        </w:rPr>
        <w:t xml:space="preserve">The aim of this course is twofold: </w:t>
      </w:r>
      <w:r>
        <w:rPr>
          <w:b/>
          <w:color w:val="000000"/>
        </w:rPr>
        <w:t>1</w:t>
      </w:r>
      <w:r>
        <w:rPr>
          <w:color w:val="000000"/>
        </w:rPr>
        <w:t xml:space="preserve">. Provide a thorough understanding of the basics; </w:t>
      </w:r>
      <w:r>
        <w:rPr>
          <w:b/>
          <w:color w:val="000000"/>
        </w:rPr>
        <w:t>2.</w:t>
      </w:r>
      <w:r>
        <w:rPr>
          <w:color w:val="000000"/>
        </w:rPr>
        <w:t xml:space="preserve"> Bring the students face-to-face with an application in Fuzzy Logic and Neural Networks and related approaches. In addition, every student is required to work on a project, as part of the course, involving an application of Fuzzy Logic and Neural Networks.</w:t>
      </w:r>
      <w:r>
        <w:rPr>
          <w:color w:val="000000"/>
        </w:rPr>
        <w:t xml:space="preserve"> Further, the project work provides an opportunity to learn about the latest developments in this upcoming field. The unified approach will enable students to tackle real-life problems in a more comprehensive manner and provide a broader view of the subjec</w:t>
      </w:r>
      <w:r>
        <w:rPr>
          <w:color w:val="000000"/>
        </w:rPr>
        <w:t>t.</w:t>
      </w:r>
    </w:p>
    <w:p w:rsidR="00D63217" w:rsidRDefault="00D6321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p w:rsidR="00D63217" w:rsidRDefault="0039504A">
      <w:r>
        <w:rPr>
          <w:b/>
        </w:rPr>
        <w:t xml:space="preserve">Course Level Outcomes: </w:t>
      </w:r>
      <w:r>
        <w:t>After successful completion of this course, the student will be able to:</w:t>
      </w:r>
    </w:p>
    <w:p w:rsidR="00D63217" w:rsidRDefault="00D6321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D63217" w:rsidRDefault="0039504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3" w:lineRule="auto"/>
        <w:ind w:right="153"/>
      </w:pPr>
      <w:r>
        <w:rPr>
          <w:color w:val="000000"/>
        </w:rPr>
        <w:t xml:space="preserve">Explain the philosophy behind neural networks and allied fields </w:t>
      </w:r>
    </w:p>
    <w:p w:rsidR="00D63217" w:rsidRDefault="0039504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  <w:tab w:val="left" w:pos="1790"/>
          <w:tab w:val="left" w:pos="2982"/>
          <w:tab w:val="left" w:pos="3366"/>
          <w:tab w:val="left" w:pos="5892"/>
          <w:tab w:val="left" w:pos="6434"/>
          <w:tab w:val="left" w:pos="7782"/>
          <w:tab w:val="left" w:pos="9809"/>
        </w:tabs>
        <w:spacing w:line="273" w:lineRule="auto"/>
        <w:ind w:right="149"/>
      </w:pPr>
      <w:r>
        <w:rPr>
          <w:color w:val="000000"/>
        </w:rPr>
        <w:t xml:space="preserve">Explain the mechanism behind fuzzy logic </w:t>
      </w:r>
    </w:p>
    <w:p w:rsidR="00D63217" w:rsidRDefault="0039504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6" w:lineRule="auto"/>
        <w:ind w:right="147"/>
      </w:pPr>
      <w:r>
        <w:rPr>
          <w:color w:val="000000"/>
        </w:rPr>
        <w:t>Understand the role of fuzzy logic and neural networks in the decision making</w:t>
      </w:r>
    </w:p>
    <w:p w:rsidR="00D63217" w:rsidRDefault="0039504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6" w:lineRule="auto"/>
        <w:ind w:right="147"/>
      </w:pPr>
      <w:r>
        <w:rPr>
          <w:color w:val="000000"/>
        </w:rPr>
        <w:t>Analyze fuzzy logic and neural networks from a holistic perspective</w:t>
      </w:r>
    </w:p>
    <w:p w:rsidR="00D63217" w:rsidRDefault="00D6321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p w:rsidR="00D63217" w:rsidRDefault="003950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Text Book:</w:t>
      </w:r>
    </w:p>
    <w:p w:rsidR="00D63217" w:rsidRDefault="00D632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63217" w:rsidRDefault="0039504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T1</w:t>
      </w:r>
      <w:r>
        <w:rPr>
          <w:color w:val="000000"/>
          <w:sz w:val="23"/>
          <w:szCs w:val="23"/>
        </w:rPr>
        <w:t xml:space="preserve">. T.J. Ross Fuzzy Sets and Fuzzy Logic with Engineering Applications, Wiley, 2021  </w:t>
      </w:r>
    </w:p>
    <w:p w:rsidR="00D63217" w:rsidRDefault="00D63217">
      <w:pPr>
        <w:jc w:val="both"/>
        <w:rPr>
          <w:b/>
        </w:rPr>
      </w:pPr>
    </w:p>
    <w:p w:rsidR="00D63217" w:rsidRDefault="0039504A">
      <w:pPr>
        <w:jc w:val="both"/>
        <w:rPr>
          <w:b/>
        </w:rPr>
      </w:pPr>
      <w:r>
        <w:rPr>
          <w:b/>
        </w:rPr>
        <w:t>3.   Reference books</w:t>
      </w:r>
    </w:p>
    <w:p w:rsidR="00D63217" w:rsidRDefault="0039504A">
      <w:pPr>
        <w:jc w:val="both"/>
      </w:pPr>
      <w:r>
        <w:t xml:space="preserve">      </w:t>
      </w:r>
    </w:p>
    <w:p w:rsidR="00D63217" w:rsidRDefault="0039504A">
      <w:pPr>
        <w:jc w:val="both"/>
      </w:pPr>
      <w:r>
        <w:rPr>
          <w:b/>
        </w:rPr>
        <w:t>R1.</w:t>
      </w:r>
      <w:r>
        <w:t xml:space="preserve"> SN </w:t>
      </w:r>
      <w:proofErr w:type="spellStart"/>
      <w:r>
        <w:t>Sivanandam</w:t>
      </w:r>
      <w:proofErr w:type="spellEnd"/>
      <w:r>
        <w:t xml:space="preserve">, SN </w:t>
      </w:r>
      <w:proofErr w:type="spellStart"/>
      <w:r>
        <w:t>Deepa</w:t>
      </w:r>
      <w:proofErr w:type="spellEnd"/>
      <w:r>
        <w:t xml:space="preserve"> (2021) Principles of Soft Computing, Wiley</w:t>
      </w:r>
    </w:p>
    <w:p w:rsidR="00D63217" w:rsidRDefault="0039504A">
      <w:pPr>
        <w:jc w:val="both"/>
      </w:pPr>
      <w:r>
        <w:rPr>
          <w:b/>
        </w:rPr>
        <w:t>R2</w:t>
      </w:r>
      <w:r>
        <w:t xml:space="preserve">. Raju KS, </w:t>
      </w:r>
      <w:proofErr w:type="spellStart"/>
      <w:r>
        <w:t>Nagesh</w:t>
      </w:r>
      <w:proofErr w:type="spellEnd"/>
      <w:r>
        <w:t xml:space="preserve"> Kumar D (2014) </w:t>
      </w:r>
      <w:proofErr w:type="spellStart"/>
      <w:r>
        <w:t>Multicriterion</w:t>
      </w:r>
      <w:proofErr w:type="spellEnd"/>
      <w:r>
        <w:t xml:space="preserve"> Analysis in Engineering and   Management, PHI Learning Private Limited. </w:t>
      </w:r>
    </w:p>
    <w:p w:rsidR="00D63217" w:rsidRDefault="00D63217">
      <w:pPr>
        <w:jc w:val="both"/>
      </w:pPr>
    </w:p>
    <w:p w:rsidR="00D63217" w:rsidRDefault="00D63217">
      <w:pPr>
        <w:jc w:val="both"/>
      </w:pPr>
    </w:p>
    <w:p w:rsidR="00D63217" w:rsidRDefault="00D63217">
      <w:pPr>
        <w:jc w:val="both"/>
      </w:pPr>
    </w:p>
    <w:p w:rsidR="00D63217" w:rsidRDefault="0039504A">
      <w:pPr>
        <w:jc w:val="both"/>
        <w:rPr>
          <w:b/>
        </w:rPr>
      </w:pPr>
      <w:bookmarkStart w:id="1" w:name="_heading=h.1fob9te" w:colFirst="0" w:colLast="0"/>
      <w:bookmarkEnd w:id="1"/>
      <w:r>
        <w:rPr>
          <w:b/>
        </w:rPr>
        <w:t>4.   Course Plan:</w:t>
      </w:r>
    </w:p>
    <w:tbl>
      <w:tblPr>
        <w:tblStyle w:val="a5"/>
        <w:tblW w:w="107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2409"/>
        <w:gridCol w:w="5812"/>
        <w:gridCol w:w="1503"/>
      </w:tblGrid>
      <w:tr w:rsidR="00D63217">
        <w:trPr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D63217" w:rsidRDefault="0039504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Lecture No. 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D63217" w:rsidRDefault="0039504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 Objectives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D63217" w:rsidRDefault="0039504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Topics to be covered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D63217" w:rsidRDefault="0039504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Chapter in the Text Book</w:t>
            </w:r>
          </w:p>
        </w:tc>
      </w:tr>
      <w:tr w:rsidR="00D63217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Neural Networks, Fuzzy Logic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Introduction to Neural networks, Fuzzy Logic, Neuro-Fuzzy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Ch-1 (T1)</w:t>
            </w:r>
          </w:p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Ch-1 (R1)</w:t>
            </w:r>
          </w:p>
        </w:tc>
      </w:tr>
      <w:tr w:rsidR="00D63217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3-5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Fundamental concepts and Basic Models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Artificial Neural Networks (ANN), Biological Neural Networks, Comparison, Basic models of ANN, important terminologies, Linear </w:t>
            </w:r>
            <w:proofErr w:type="spellStart"/>
            <w:r>
              <w:rPr>
                <w:sz w:val="20"/>
                <w:szCs w:val="20"/>
              </w:rPr>
              <w:t>separability</w:t>
            </w:r>
            <w:proofErr w:type="spellEnd"/>
            <w:r>
              <w:rPr>
                <w:sz w:val="20"/>
                <w:szCs w:val="20"/>
              </w:rPr>
              <w:t>, Hebb Network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Ch-2 (R1)</w:t>
            </w:r>
          </w:p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Supplementary material</w:t>
            </w:r>
          </w:p>
          <w:p w:rsidR="00D63217" w:rsidRDefault="00D63217">
            <w:pPr>
              <w:jc w:val="center"/>
              <w:rPr>
                <w:sz w:val="20"/>
                <w:szCs w:val="20"/>
              </w:rPr>
            </w:pPr>
          </w:p>
        </w:tc>
      </w:tr>
      <w:tr w:rsidR="00D63217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6-9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back propagation network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Propagation netwo</w:t>
            </w:r>
            <w:r>
              <w:rPr>
                <w:sz w:val="20"/>
                <w:szCs w:val="20"/>
              </w:rPr>
              <w:t>rk (BPN) of ANN, Selection of Parameters in BPN, Tuning of Parameters, Variation of Standard Back Propagation Algorithms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sz w:val="20"/>
                <w:szCs w:val="20"/>
              </w:rPr>
              <w:t xml:space="preserve">Ch-3 (R1) Supplementary material  </w:t>
            </w:r>
          </w:p>
          <w:p w:rsidR="00D63217" w:rsidRDefault="00D63217">
            <w:pPr>
              <w:jc w:val="center"/>
              <w:rPr>
                <w:sz w:val="20"/>
                <w:szCs w:val="20"/>
              </w:rPr>
            </w:pPr>
          </w:p>
        </w:tc>
      </w:tr>
      <w:tr w:rsidR="00D63217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10-12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Unsupervised Learning networks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Kohonen</w:t>
            </w:r>
            <w:proofErr w:type="spellEnd"/>
            <w:r>
              <w:rPr>
                <w:sz w:val="20"/>
                <w:szCs w:val="20"/>
              </w:rPr>
              <w:t xml:space="preserve"> Self-Organizing feature maps, Learning vector quantization, Case studies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Ch-5 (R1), Supplementary material </w:t>
            </w:r>
          </w:p>
        </w:tc>
      </w:tr>
      <w:tr w:rsidR="00D63217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13-15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Classical and fuzzy relations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Crisp set theory, fuzzy set theory, Introduction to classical and fuzzy relations, value assignments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-3 (T1)</w:t>
            </w:r>
          </w:p>
        </w:tc>
      </w:tr>
      <w:tr w:rsidR="00D63217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16-17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Fuzzification</w:t>
            </w:r>
            <w:proofErr w:type="spellEnd"/>
            <w:r>
              <w:rPr>
                <w:sz w:val="20"/>
                <w:szCs w:val="20"/>
              </w:rPr>
              <w:t xml:space="preserve"> using Membership functions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Linear, Triangular, Trapezoidal, Hyperbolic, Exponential Membership functions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Ch-4 (T1)</w:t>
            </w:r>
          </w:p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Supplementary material  </w:t>
            </w:r>
          </w:p>
          <w:p w:rsidR="00D63217" w:rsidRDefault="00D63217">
            <w:pPr>
              <w:jc w:val="both"/>
              <w:rPr>
                <w:sz w:val="20"/>
                <w:szCs w:val="20"/>
              </w:rPr>
            </w:pPr>
          </w:p>
        </w:tc>
      </w:tr>
      <w:tr w:rsidR="00D63217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18-20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Defuzzification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Lambda cuts, different methods of </w:t>
            </w:r>
            <w:proofErr w:type="spellStart"/>
            <w:r>
              <w:rPr>
                <w:sz w:val="20"/>
                <w:szCs w:val="20"/>
              </w:rPr>
              <w:t>defuzzification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Ch-4 (T1)</w:t>
            </w:r>
          </w:p>
          <w:p w:rsidR="00D63217" w:rsidRDefault="00D63217">
            <w:pPr>
              <w:jc w:val="both"/>
              <w:rPr>
                <w:sz w:val="20"/>
                <w:szCs w:val="20"/>
              </w:rPr>
            </w:pPr>
          </w:p>
        </w:tc>
      </w:tr>
      <w:tr w:rsidR="00D63217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21-24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Fuzzy rule based and approximate reasoning</w:t>
            </w:r>
          </w:p>
          <w:p w:rsidR="00D63217" w:rsidRDefault="00D6321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Various types of reasoning, Linguistic Hedges, </w:t>
            </w:r>
            <w:proofErr w:type="spellStart"/>
            <w:r>
              <w:rPr>
                <w:sz w:val="20"/>
                <w:szCs w:val="20"/>
              </w:rPr>
              <w:t>Mamdani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Sugeno</w:t>
            </w:r>
            <w:proofErr w:type="spellEnd"/>
            <w:r>
              <w:rPr>
                <w:sz w:val="20"/>
                <w:szCs w:val="20"/>
              </w:rPr>
              <w:t xml:space="preserve"> Fuzzy Rule based systems, Adaptive Neuro-Fuzzy Inference System (ANFIS)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Ch-5 (T1)</w:t>
            </w:r>
          </w:p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Supplementary material</w:t>
            </w:r>
          </w:p>
        </w:tc>
      </w:tr>
      <w:tr w:rsidR="00D63217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25-27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Decision-making with fuzzy </w:t>
            </w:r>
            <w:r>
              <w:rPr>
                <w:sz w:val="20"/>
                <w:szCs w:val="20"/>
              </w:rPr>
              <w:t xml:space="preserve">information 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Similarity Analysis, PROMETHEE, TOPSIS, VIKOR, Analytical Hierarchy Process, Group Decision Making, Fuzzy Extensions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Ch-6,7 (R2), Supplementary material</w:t>
            </w:r>
          </w:p>
          <w:p w:rsidR="00D63217" w:rsidRDefault="00D63217">
            <w:pPr>
              <w:jc w:val="both"/>
              <w:rPr>
                <w:sz w:val="20"/>
                <w:szCs w:val="20"/>
              </w:rPr>
            </w:pPr>
          </w:p>
        </w:tc>
      </w:tr>
      <w:tr w:rsidR="00D63217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28-30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classifiers: Logistic Regression, K-Nearest </w:t>
            </w:r>
            <w:proofErr w:type="spellStart"/>
            <w:r>
              <w:rPr>
                <w:sz w:val="20"/>
                <w:szCs w:val="20"/>
              </w:rPr>
              <w:t>Neighbourhood</w:t>
            </w:r>
            <w:proofErr w:type="spellEnd"/>
          </w:p>
          <w:p w:rsidR="00D63217" w:rsidRDefault="00D63217">
            <w:pPr>
              <w:jc w:val="both"/>
              <w:rPr>
                <w:sz w:val="20"/>
                <w:szCs w:val="20"/>
              </w:rPr>
            </w:pPr>
          </w:p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Equivalence Relations, K-Means, Fuzzy C-Means, Cluster Validity Indices, Principal Component Analysis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Ch-7(T1)</w:t>
            </w:r>
          </w:p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Supplementary Material</w:t>
            </w:r>
          </w:p>
        </w:tc>
      </w:tr>
      <w:tr w:rsidR="00D63217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31-34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Various Approaches to Fuzzy Logic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Optimization, Cognitive Mapping, their fuzzy extensions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Ch-11 (T1) </w:t>
            </w:r>
          </w:p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Supplementar</w:t>
            </w:r>
            <w:r>
              <w:rPr>
                <w:sz w:val="20"/>
                <w:szCs w:val="20"/>
              </w:rPr>
              <w:t>y material</w:t>
            </w:r>
          </w:p>
        </w:tc>
      </w:tr>
      <w:tr w:rsidR="00D63217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35-37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Understanding the potentiality of Deep Learning with selected algorithms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Deep Learning, Convolutional Neural Networks, Long Short-Term Memory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Supplementary material</w:t>
            </w:r>
          </w:p>
        </w:tc>
      </w:tr>
      <w:tr w:rsidR="00D63217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38-39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Analyzing selected nature-based optimization algorithms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Introduction to Bio-inspired optimization algorithms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Supplementary material</w:t>
            </w:r>
          </w:p>
        </w:tc>
      </w:tr>
      <w:tr w:rsidR="00D63217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 basic definitions of control theory, Mathematical philosophy behind control theory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Concepts in control systems, stability, state variable, controllability, Contr</w:t>
            </w:r>
            <w:r>
              <w:rPr>
                <w:sz w:val="20"/>
                <w:szCs w:val="20"/>
              </w:rPr>
              <w:t>ol system design problem, Simple fuzzy logic controllers</w:t>
            </w:r>
          </w:p>
          <w:p w:rsidR="00D63217" w:rsidRDefault="00D63217">
            <w:pPr>
              <w:rPr>
                <w:sz w:val="20"/>
                <w:szCs w:val="20"/>
              </w:rPr>
            </w:pPr>
          </w:p>
          <w:p w:rsidR="00D63217" w:rsidRDefault="003950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Fuzzy Engineering Process control, Classical feedback control, classical PID control, Fuzzy control, MIMO control systems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217" w:rsidRDefault="00395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Ch-6(T1)</w:t>
            </w:r>
          </w:p>
        </w:tc>
      </w:tr>
    </w:tbl>
    <w:p w:rsidR="00D63217" w:rsidRDefault="0039504A">
      <w:pPr>
        <w:jc w:val="both"/>
        <w:rPr>
          <w:b/>
        </w:rPr>
      </w:pPr>
      <w:r>
        <w:rPr>
          <w:b/>
        </w:rPr>
        <w:t>*Supplementary material/sources will be provided wherever required.</w:t>
      </w:r>
    </w:p>
    <w:p w:rsidR="00D63217" w:rsidRDefault="00D63217">
      <w:pPr>
        <w:jc w:val="both"/>
      </w:pPr>
    </w:p>
    <w:p w:rsidR="00D63217" w:rsidRDefault="00D63217">
      <w:pPr>
        <w:jc w:val="both"/>
      </w:pPr>
    </w:p>
    <w:p w:rsidR="00D63217" w:rsidRDefault="0039504A">
      <w:pPr>
        <w:jc w:val="both"/>
        <w:rPr>
          <w:b/>
        </w:rPr>
      </w:pPr>
      <w:r>
        <w:rPr>
          <w:b/>
        </w:rPr>
        <w:t>5. Evaluation Scheme:</w:t>
      </w:r>
    </w:p>
    <w:tbl>
      <w:tblPr>
        <w:tblStyle w:val="a6"/>
        <w:tblW w:w="97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992"/>
        <w:gridCol w:w="1701"/>
        <w:gridCol w:w="2268"/>
        <w:gridCol w:w="2412"/>
      </w:tblGrid>
      <w:tr w:rsidR="00D63217">
        <w:trPr>
          <w:trHeight w:val="422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63217" w:rsidRDefault="003950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Component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63217" w:rsidRDefault="0039504A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63217" w:rsidRDefault="0039504A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63217" w:rsidRDefault="0039504A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63217" w:rsidRDefault="0039504A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D63217">
        <w:trPr>
          <w:trHeight w:val="53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39504A">
            <w:r>
              <w:t>Mid-Semester Examination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39504A">
            <w:r>
              <w:t>90 min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39504A">
            <w:r>
              <w:t xml:space="preserve"> 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175C74">
            <w:pPr>
              <w:rPr>
                <w:sz w:val="22"/>
                <w:szCs w:val="22"/>
              </w:rPr>
            </w:pPr>
            <w:r>
              <w:t>11/10 - 4.00 - 5.30PM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39504A">
            <w:r>
              <w:t>Closed Book</w:t>
            </w:r>
          </w:p>
        </w:tc>
      </w:tr>
      <w:tr w:rsidR="00D63217">
        <w:trPr>
          <w:trHeight w:val="53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39504A">
            <w:r>
              <w:t xml:space="preserve">Course related Project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39504A">
            <w:r>
              <w:t>--------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39504A">
            <w:r>
              <w:t>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3950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Continuous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39504A">
            <w:r>
              <w:t>Open Book</w:t>
            </w:r>
          </w:p>
        </w:tc>
      </w:tr>
      <w:tr w:rsidR="00D63217">
        <w:trPr>
          <w:trHeight w:val="332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39504A">
            <w:r>
              <w:t>Comprehensive Examination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39504A">
            <w:r>
              <w:t>180 min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39504A">
            <w:r>
              <w:t>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175C74">
            <w:pPr>
              <w:jc w:val="center"/>
              <w:rPr>
                <w:sz w:val="22"/>
                <w:szCs w:val="22"/>
              </w:rPr>
            </w:pPr>
            <w:r>
              <w:t>13/12 AN</w:t>
            </w:r>
            <w:bookmarkStart w:id="3" w:name="_GoBack"/>
            <w:bookmarkEnd w:id="3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217" w:rsidRDefault="0039504A">
            <w:r>
              <w:t>Closed Book</w:t>
            </w:r>
          </w:p>
        </w:tc>
      </w:tr>
    </w:tbl>
    <w:p w:rsidR="00D63217" w:rsidRDefault="00D63217">
      <w:pPr>
        <w:jc w:val="both"/>
      </w:pPr>
    </w:p>
    <w:p w:rsidR="00D63217" w:rsidRDefault="003950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Chamber Consultation Hour:  MONDAY 5-6 P.M</w:t>
      </w:r>
    </w:p>
    <w:p w:rsidR="00D63217" w:rsidRDefault="00D63217">
      <w:pPr>
        <w:ind w:firstLine="60"/>
        <w:rPr>
          <w:sz w:val="22"/>
          <w:szCs w:val="22"/>
        </w:rPr>
      </w:pPr>
    </w:p>
    <w:p w:rsidR="00D63217" w:rsidRDefault="003950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Notices: </w:t>
      </w:r>
      <w:r>
        <w:rPr>
          <w:color w:val="000000"/>
          <w:sz w:val="22"/>
          <w:szCs w:val="22"/>
        </w:rPr>
        <w:t xml:space="preserve">Notices concerning this course will be uploaded on Google Classroom Page for this course.                  </w:t>
      </w:r>
    </w:p>
    <w:p w:rsidR="00D63217" w:rsidRDefault="00D63217">
      <w:pPr>
        <w:jc w:val="both"/>
        <w:rPr>
          <w:sz w:val="22"/>
          <w:szCs w:val="22"/>
        </w:rPr>
      </w:pPr>
    </w:p>
    <w:p w:rsidR="00D63217" w:rsidRDefault="003950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Make-up Policy:</w:t>
      </w:r>
      <w:r>
        <w:rPr>
          <w:color w:val="000000"/>
          <w:sz w:val="22"/>
          <w:szCs w:val="22"/>
        </w:rPr>
        <w:t xml:space="preserve"> Make-ups will not be granted under any circumstances.</w:t>
      </w:r>
    </w:p>
    <w:p w:rsidR="00D63217" w:rsidRDefault="00D63217">
      <w:pPr>
        <w:jc w:val="both"/>
        <w:rPr>
          <w:sz w:val="22"/>
          <w:szCs w:val="22"/>
        </w:rPr>
      </w:pPr>
    </w:p>
    <w:p w:rsidR="00D63217" w:rsidRDefault="003950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Academic Honesty and Integrity Policy: </w:t>
      </w:r>
      <w:r>
        <w:rPr>
          <w:color w:val="000000"/>
          <w:sz w:val="22"/>
          <w:szCs w:val="22"/>
        </w:rPr>
        <w:t xml:space="preserve">Academic honesty and integrity are to be maintained by all the students throughout the semester and no type of academic dishonesty is acceptable.    </w:t>
      </w:r>
    </w:p>
    <w:p w:rsidR="00D63217" w:rsidRDefault="00D63217">
      <w:pPr>
        <w:jc w:val="right"/>
        <w:rPr>
          <w:b/>
          <w:sz w:val="22"/>
          <w:szCs w:val="22"/>
        </w:rPr>
      </w:pPr>
    </w:p>
    <w:p w:rsidR="00D63217" w:rsidRDefault="0039504A">
      <w:pPr>
        <w:ind w:left="504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INSTRUCTOR-IN-CHARGE</w:t>
      </w:r>
    </w:p>
    <w:p w:rsidR="00D63217" w:rsidRDefault="0039504A">
      <w:pPr>
        <w:rPr>
          <w:b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BITS F312</w:t>
      </w:r>
    </w:p>
    <w:sectPr w:rsidR="00D63217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04A" w:rsidRDefault="0039504A">
      <w:r>
        <w:separator/>
      </w:r>
    </w:p>
  </w:endnote>
  <w:endnote w:type="continuationSeparator" w:id="0">
    <w:p w:rsidR="0039504A" w:rsidRDefault="0039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17" w:rsidRDefault="003950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10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04A" w:rsidRDefault="0039504A">
      <w:r>
        <w:separator/>
      </w:r>
    </w:p>
  </w:footnote>
  <w:footnote w:type="continuationSeparator" w:id="0">
    <w:p w:rsidR="0039504A" w:rsidRDefault="00395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17" w:rsidRDefault="00D632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1FF2"/>
    <w:multiLevelType w:val="multilevel"/>
    <w:tmpl w:val="6804B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578C6"/>
    <w:multiLevelType w:val="multilevel"/>
    <w:tmpl w:val="4EEE91A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8A10B6"/>
    <w:multiLevelType w:val="multilevel"/>
    <w:tmpl w:val="A7D2D71A"/>
    <w:lvl w:ilvl="0">
      <w:start w:val="6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17"/>
    <w:rsid w:val="00175C74"/>
    <w:rsid w:val="0039504A"/>
    <w:rsid w:val="00D6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9CBA"/>
  <w15:docId w15:val="{77521B42-2915-4E1B-90F7-D7D7DBBD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E17F9A"/>
    <w:rPr>
      <w:b/>
      <w:bCs/>
    </w:rPr>
  </w:style>
  <w:style w:type="paragraph" w:customStyle="1" w:styleId="Default">
    <w:name w:val="Default"/>
    <w:rsid w:val="00E17F9A"/>
    <w:pPr>
      <w:autoSpaceDE w:val="0"/>
      <w:autoSpaceDN w:val="0"/>
      <w:adjustRightInd w:val="0"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E50A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A4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qYnrlYeo1UGMs1UQpf2Ya9wLg==">CgMxLjAyCGguZ2pkZ3hzMgloLjFmb2I5dGUyCWguMzBqMHpsbDgAciExR1ZNNlJYUUw0SWZobGtoaGs0ZHhFVGtKd1ZtbFk4Vm0=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2</cp:revision>
  <dcterms:created xsi:type="dcterms:W3CDTF">2020-01-04T09:52:00Z</dcterms:created>
  <dcterms:modified xsi:type="dcterms:W3CDTF">2023-08-10T05:11:00Z</dcterms:modified>
</cp:coreProperties>
</file>