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8D" w:rsidRDefault="00454C7A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5F8D" w:rsidRDefault="00454C7A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FIRST SEMESTER 2023-2024</w:t>
      </w:r>
    </w:p>
    <w:p w:rsidR="00B55F8D" w:rsidRDefault="00454C7A">
      <w:pPr>
        <w:widowControl w:val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Course Handout Part II</w:t>
      </w:r>
    </w:p>
    <w:p w:rsidR="00B55F8D" w:rsidRDefault="00454C7A">
      <w:pPr>
        <w:widowControl w:val="0"/>
        <w:jc w:val="right"/>
        <w:rPr>
          <w:b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Date: 11</w:t>
      </w:r>
      <w:r>
        <w:rPr>
          <w:sz w:val="24"/>
          <w:szCs w:val="24"/>
        </w:rPr>
        <w:t xml:space="preserve">-08-2023 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 I (General Handout for all courses appended to the Time Table), this portion gives further specific details regarding the course.</w:t>
      </w:r>
    </w:p>
    <w:p w:rsidR="00B55F8D" w:rsidRDefault="00454C7A">
      <w:pPr>
        <w:rPr>
          <w:sz w:val="24"/>
          <w:szCs w:val="24"/>
        </w:rPr>
      </w:pPr>
      <w:r>
        <w:rPr>
          <w:i/>
          <w:sz w:val="24"/>
          <w:szCs w:val="24"/>
        </w:rPr>
        <w:t>Course No.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CE F312</w:t>
      </w:r>
    </w:p>
    <w:p w:rsidR="00B55F8D" w:rsidRDefault="00454C7A">
      <w:pPr>
        <w:rPr>
          <w:b/>
          <w:sz w:val="24"/>
          <w:szCs w:val="24"/>
        </w:rPr>
      </w:pPr>
      <w:r>
        <w:rPr>
          <w:i/>
          <w:sz w:val="24"/>
          <w:szCs w:val="24"/>
        </w:rPr>
        <w:t>Course Title</w:t>
      </w: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Hydraulic Engineering</w:t>
      </w:r>
    </w:p>
    <w:p w:rsidR="00B55F8D" w:rsidRDefault="00454C7A">
      <w:pPr>
        <w:rPr>
          <w:b/>
          <w:sz w:val="24"/>
          <w:szCs w:val="24"/>
        </w:rPr>
      </w:pPr>
      <w:r>
        <w:rPr>
          <w:i/>
          <w:sz w:val="24"/>
          <w:szCs w:val="24"/>
        </w:rPr>
        <w:t>Instructor-in-</w:t>
      </w:r>
      <w:proofErr w:type="gramStart"/>
      <w:r>
        <w:rPr>
          <w:i/>
          <w:sz w:val="24"/>
          <w:szCs w:val="24"/>
        </w:rPr>
        <w:t>ch</w:t>
      </w:r>
      <w:r>
        <w:rPr>
          <w:i/>
          <w:sz w:val="24"/>
          <w:szCs w:val="24"/>
        </w:rPr>
        <w:t>arge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JAGADEESH ANMALA</w:t>
      </w:r>
    </w:p>
    <w:p w:rsidR="00B55F8D" w:rsidRDefault="00454C7A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Instructors  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Deepjyoti</w:t>
      </w:r>
      <w:proofErr w:type="spellEnd"/>
      <w:r>
        <w:rPr>
          <w:sz w:val="24"/>
          <w:szCs w:val="24"/>
        </w:rPr>
        <w:t xml:space="preserve"> Deb</w:t>
      </w:r>
    </w:p>
    <w:p w:rsidR="00B55F8D" w:rsidRDefault="00B55F8D">
      <w:pPr>
        <w:jc w:val="both"/>
        <w:rPr>
          <w:b/>
          <w:sz w:val="24"/>
          <w:szCs w:val="24"/>
        </w:rPr>
      </w:pPr>
    </w:p>
    <w:p w:rsidR="00B55F8D" w:rsidRDefault="00454C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Scope and Objective of the Course: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problems encountered by man in the field of water supply, irrigation, environment, navigation and water- power, resulted in the development of </w:t>
      </w:r>
      <w:r>
        <w:rPr>
          <w:color w:val="000000"/>
          <w:sz w:val="24"/>
          <w:szCs w:val="24"/>
        </w:rPr>
        <w:t>the fluid mechanics. Fluid mechanics deals with the behavior of the fluids at rest as well as in the motion. This course will stress the governing principles of Hydraulic Engineering; the assumptions made in their development and their limits of applicabil</w:t>
      </w:r>
      <w:r>
        <w:rPr>
          <w:color w:val="000000"/>
          <w:sz w:val="24"/>
          <w:szCs w:val="24"/>
        </w:rPr>
        <w:t>ity, and will show how the principles can be applied to the solution of practical engineering problems such as water supply systems, waste water treatment facilities, dam spillways, flow-meters, hydraulic shock absorbers etc. The fluid flows under differen</w:t>
      </w:r>
      <w:r>
        <w:rPr>
          <w:color w:val="000000"/>
          <w:sz w:val="24"/>
          <w:szCs w:val="24"/>
        </w:rPr>
        <w:t>t conditions have also been included so that the students learn to apply in practical life and relate with the environment.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Outcomes</w:t>
      </w:r>
      <w:r>
        <w:rPr>
          <w:color w:val="000000"/>
          <w:sz w:val="24"/>
          <w:szCs w:val="24"/>
        </w:rPr>
        <w:t>: By the end of the course, the student will be able to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CO1.  Formulate necessary steps required to design and conduct hydraulic engineering 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experiments; interpret and analyze the data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CO2.  Analyze and solve problems in the applications of boundary layer theory and turbulent 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flows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ind w:left="630" w:hanging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CO3.  Analyze and solve problems related to pipe network analysis (and do a project using </w:t>
      </w:r>
      <w:proofErr w:type="spellStart"/>
      <w:r>
        <w:rPr>
          <w:color w:val="000000"/>
          <w:sz w:val="24"/>
          <w:szCs w:val="24"/>
        </w:rPr>
        <w:t>WaterGEMs</w:t>
      </w:r>
      <w:proofErr w:type="spellEnd"/>
      <w:r>
        <w:rPr>
          <w:color w:val="000000"/>
          <w:sz w:val="24"/>
          <w:szCs w:val="24"/>
        </w:rPr>
        <w:t>) and open channel flows that are very important from a practitioner’s aspect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CO4.  Analyze, design and solve problems in the areas of lift and drag, impact </w:t>
      </w:r>
      <w:r>
        <w:rPr>
          <w:color w:val="000000"/>
          <w:sz w:val="24"/>
          <w:szCs w:val="24"/>
        </w:rPr>
        <w:t xml:space="preserve">of jets, </w:t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turbomachinery.</w:t>
      </w:r>
    </w:p>
    <w:p w:rsidR="00B55F8D" w:rsidRDefault="00454C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SLOs covered: (a), (b), (e), (k)</w:t>
      </w:r>
    </w:p>
    <w:p w:rsidR="00B55F8D" w:rsidRDefault="00454C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Text Book:</w:t>
      </w:r>
    </w:p>
    <w:p w:rsidR="00B55F8D" w:rsidRDefault="00454C7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T1. </w:t>
      </w:r>
      <w:r>
        <w:rPr>
          <w:sz w:val="24"/>
          <w:szCs w:val="24"/>
        </w:rPr>
        <w:tab/>
        <w:t>Modi, P.N. and Seth, S.M., Hydraulics and Fluid Mechanics, Standard Book House, 22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ed., 2019.</w:t>
      </w:r>
    </w:p>
    <w:p w:rsidR="00B55F8D" w:rsidRDefault="00B55F8D">
      <w:pPr>
        <w:spacing w:before="40" w:after="60"/>
        <w:ind w:left="720" w:hanging="720"/>
        <w:jc w:val="both"/>
        <w:rPr>
          <w:b/>
          <w:sz w:val="24"/>
          <w:szCs w:val="24"/>
        </w:rPr>
      </w:pPr>
    </w:p>
    <w:p w:rsidR="00B55F8D" w:rsidRDefault="00454C7A">
      <w:pPr>
        <w:spacing w:before="40" w:after="60"/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 Books:</w:t>
      </w:r>
    </w:p>
    <w:p w:rsidR="00B55F8D" w:rsidRDefault="00454C7A">
      <w:pPr>
        <w:spacing w:before="40" w:after="6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R1.</w:t>
      </w:r>
      <w:r>
        <w:rPr>
          <w:sz w:val="24"/>
          <w:szCs w:val="24"/>
        </w:rPr>
        <w:tab/>
      </w:r>
      <w:r>
        <w:rPr>
          <w:sz w:val="24"/>
          <w:szCs w:val="24"/>
        </w:rPr>
        <w:t>Fox, R.W. and McDonald, A.T., Introduction to Fluid Mechanics, John Wiley and Sons Inc., Tenth Edition, 2020.</w:t>
      </w:r>
    </w:p>
    <w:p w:rsidR="00B55F8D" w:rsidRDefault="00454C7A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</w:rPr>
        <w:t>R2.      Laboratory Manual of CE F312 Hydraulic Engineering</w:t>
      </w:r>
    </w:p>
    <w:p w:rsidR="00B55F8D" w:rsidRDefault="00454C7A">
      <w:pPr>
        <w:spacing w:before="40"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R3.       </w:t>
      </w:r>
      <w:hyperlink r:id="rId7">
        <w:r>
          <w:rPr>
            <w:color w:val="000000"/>
            <w:sz w:val="24"/>
            <w:szCs w:val="24"/>
            <w:highlight w:val="white"/>
          </w:rPr>
          <w:t>https://np</w:t>
        </w:r>
        <w:r>
          <w:rPr>
            <w:color w:val="000000"/>
            <w:sz w:val="24"/>
            <w:szCs w:val="24"/>
            <w:highlight w:val="white"/>
          </w:rPr>
          <w:t>tel.ac.in/courses/112/104/112104118/</w:t>
        </w:r>
      </w:hyperlink>
      <w:r>
        <w:rPr>
          <w:sz w:val="24"/>
          <w:szCs w:val="24"/>
          <w:highlight w:val="white"/>
        </w:rPr>
        <w:t> </w:t>
      </w:r>
    </w:p>
    <w:p w:rsidR="00B55F8D" w:rsidRDefault="00454C7A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R4.       </w:t>
      </w:r>
      <w:hyperlink r:id="rId8">
        <w:r>
          <w:rPr>
            <w:color w:val="000000"/>
            <w:sz w:val="24"/>
            <w:szCs w:val="24"/>
            <w:highlight w:val="white"/>
          </w:rPr>
          <w:t>https://nptel.ac.in/courses/112/105/112105218/</w:t>
        </w:r>
      </w:hyperlink>
    </w:p>
    <w:p w:rsidR="00B55F8D" w:rsidRDefault="00454C7A">
      <w:pPr>
        <w:spacing w:before="40"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R5.       </w:t>
      </w:r>
      <w:hyperlink r:id="rId9">
        <w:r>
          <w:rPr>
            <w:color w:val="000000"/>
            <w:sz w:val="24"/>
            <w:szCs w:val="24"/>
            <w:highlight w:val="white"/>
          </w:rPr>
          <w:t>https://nptel.ac.in</w:t>
        </w:r>
        <w:r>
          <w:rPr>
            <w:color w:val="000000"/>
            <w:sz w:val="24"/>
            <w:szCs w:val="24"/>
            <w:highlight w:val="white"/>
          </w:rPr>
          <w:t>/courses/112/105/112105269/</w:t>
        </w:r>
      </w:hyperlink>
    </w:p>
    <w:p w:rsidR="00B55F8D" w:rsidRDefault="00454C7A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R6.       </w:t>
      </w:r>
      <w:hyperlink r:id="rId10">
        <w:r>
          <w:rPr>
            <w:color w:val="000000"/>
            <w:sz w:val="24"/>
            <w:szCs w:val="24"/>
            <w:highlight w:val="white"/>
          </w:rPr>
          <w:t>https://nptel.ac.in/courses/105/103/105103192/#</w:t>
        </w:r>
      </w:hyperlink>
      <w:r>
        <w:rPr>
          <w:sz w:val="24"/>
          <w:szCs w:val="24"/>
          <w:highlight w:val="white"/>
        </w:rPr>
        <w:t> </w:t>
      </w:r>
    </w:p>
    <w:p w:rsidR="00B55F8D" w:rsidRDefault="00454C7A">
      <w:pPr>
        <w:spacing w:before="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Course Plan</w:t>
      </w:r>
      <w:r>
        <w:rPr>
          <w:b/>
          <w:sz w:val="24"/>
          <w:szCs w:val="24"/>
        </w:rPr>
        <w:tab/>
        <w:t>:</w:t>
      </w:r>
    </w:p>
    <w:tbl>
      <w:tblPr>
        <w:tblStyle w:val="a"/>
        <w:tblW w:w="8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2160"/>
        <w:gridCol w:w="1980"/>
        <w:gridCol w:w="1980"/>
        <w:gridCol w:w="1800"/>
      </w:tblGrid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Lecture  No.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Objective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5" w:right="8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Chapter in the</w:t>
            </w:r>
          </w:p>
          <w:p w:rsidR="00B55F8D" w:rsidRDefault="00454C7A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Text Book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SLO*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explain fluid and laws of fluid mechanics in physical terms. To revise the concepts of system, control volume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Introduction, Fundamental definitions and concepts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pStyle w:val="Heading2"/>
            </w:pPr>
            <w:r>
              <w:t>T1 Chapter 1</w:t>
            </w:r>
          </w:p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 Chapter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pStyle w:val="Heading2"/>
            </w:pPr>
            <w:r>
              <w:t xml:space="preserve">        (a)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describe BL and its equations, momentum integral equation, laminar and turbulent BLs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layer (BL) theory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pStyle w:val="Heading2"/>
            </w:pPr>
            <w:r>
              <w:t>T1 Chapter 12</w:t>
            </w:r>
          </w:p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pStyle w:val="Heading2"/>
            </w:pPr>
            <w: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study </w:t>
            </w:r>
            <w:proofErr w:type="spellStart"/>
            <w:r>
              <w:rPr>
                <w:sz w:val="24"/>
                <w:szCs w:val="24"/>
              </w:rPr>
              <w:t>Prandtl’s</w:t>
            </w:r>
            <w:proofErr w:type="spellEnd"/>
            <w:r>
              <w:rPr>
                <w:sz w:val="24"/>
                <w:szCs w:val="24"/>
              </w:rPr>
              <w:t xml:space="preserve"> mixing length hypothesis, Turbulent flow in smooth and rough pipes, Resist</w:t>
            </w:r>
            <w:r>
              <w:rPr>
                <w:sz w:val="24"/>
                <w:szCs w:val="24"/>
              </w:rPr>
              <w:t>ance to fluid flow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in pipes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14</w:t>
            </w:r>
          </w:p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(a), (e) 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solve pipe networks using Hardy Cross Method and Linear Graph Method; Design using </w:t>
            </w:r>
            <w:proofErr w:type="spellStart"/>
            <w:r>
              <w:rPr>
                <w:sz w:val="24"/>
                <w:szCs w:val="24"/>
              </w:rPr>
              <w:t>WaterGEMs</w:t>
            </w:r>
            <w:proofErr w:type="spellEnd"/>
            <w:r>
              <w:rPr>
                <w:sz w:val="24"/>
                <w:szCs w:val="24"/>
              </w:rPr>
              <w:t>; Water hammer; Pipes, valves, fittings, pumps;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through pipes and pipe systems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(k)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study uniform flow etc., Manning’s and </w:t>
            </w:r>
            <w:proofErr w:type="spellStart"/>
            <w:r>
              <w:rPr>
                <w:sz w:val="24"/>
                <w:szCs w:val="24"/>
              </w:rPr>
              <w:t>Chezy’s</w:t>
            </w:r>
            <w:proofErr w:type="spellEnd"/>
            <w:r>
              <w:rPr>
                <w:sz w:val="24"/>
                <w:szCs w:val="24"/>
              </w:rPr>
              <w:t xml:space="preserve"> equations, Best hydraulic section, Specific energy and force, critical depth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in open channels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Gradually varied flow, Rapidly varied flow, Channel bottom slopes and surface profiles, Integration of varied flow, Hydraulic Jump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Non-uniform flow in channels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26-29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drag and lift of fluid flow around submerged objects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Lift &amp; Drag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18</w:t>
            </w:r>
          </w:p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Impact of jets including jet impingement in moving Vanes and series of vanes, curved vanes, efficiencies, torque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</w:t>
            </w:r>
            <w:r>
              <w:rPr>
                <w:sz w:val="24"/>
                <w:szCs w:val="24"/>
              </w:rPr>
              <w:t>f Jets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Turbo-machinery analysis,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performance characteristics, applications to fluid systems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Fluid machineries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21,22</w:t>
            </w:r>
          </w:p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Chapter 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the principles of reciprocating pumps and centrifugal pumps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23, 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B55F8D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Differential equations, finite-difference method and grid generation, boundary conditions and initial conditions, applications of computational hydrau</w:t>
            </w:r>
            <w:r>
              <w:rPr>
                <w:sz w:val="24"/>
                <w:szCs w:val="24"/>
              </w:rPr>
              <w:t>lics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computational hydraulics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Supplementary notes by IC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(k)</w:t>
            </w:r>
          </w:p>
        </w:tc>
      </w:tr>
    </w:tbl>
    <w:p w:rsidR="00B55F8D" w:rsidRDefault="00454C7A">
      <w:pPr>
        <w:spacing w:before="6"/>
        <w:rPr>
          <w:b/>
        </w:rPr>
      </w:pPr>
      <w:r>
        <w:rPr>
          <w:b/>
        </w:rPr>
        <w:t>*Student Learning Outcomes (SLOs):</w:t>
      </w:r>
    </w:p>
    <w:p w:rsidR="00B55F8D" w:rsidRDefault="00454C7A">
      <w:r>
        <w:t>SLOs are outcomes (a) through (k) plus any additional outcomes that may be articulated by the program.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apply knowledge of mathematics, science and engineering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and conduct experiments, as well as to analyze and interpret data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 system, component, or process to meet desired needs within realistic constra</w:t>
      </w:r>
      <w:r>
        <w:t>ints such as economic, environmental, social, political, ethical, health and safety, manufacturability, and sustainability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function on multidisciplinary teams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identify, formulate, and solve engineering problems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understanding of professional and ethical responsibility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ability to communicate effectively 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broad education necessary to understand the impact of engineering solutions in a global, economic, environmental, and societal context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recognition of t</w:t>
      </w:r>
      <w:r>
        <w:t>he need for, and an ability to engage in life-long learning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knowledge of contemporary issues</w:t>
      </w:r>
    </w:p>
    <w:p w:rsidR="00B55F8D" w:rsidRDefault="00454C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use the techniques, skills, and modern engineering tools necessary for engineering practice.</w:t>
      </w:r>
    </w:p>
    <w:p w:rsidR="00B55F8D" w:rsidRDefault="00B55F8D">
      <w:pPr>
        <w:jc w:val="both"/>
        <w:rPr>
          <w:sz w:val="24"/>
          <w:szCs w:val="24"/>
        </w:rPr>
      </w:pPr>
    </w:p>
    <w:p w:rsidR="00B55F8D" w:rsidRDefault="00454C7A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Practical :</w:t>
      </w:r>
      <w:proofErr w:type="gramEnd"/>
    </w:p>
    <w:p w:rsidR="00B55F8D" w:rsidRDefault="00B55F8D">
      <w:pPr>
        <w:jc w:val="both"/>
        <w:rPr>
          <w:b/>
          <w:sz w:val="24"/>
          <w:szCs w:val="24"/>
        </w:rPr>
      </w:pPr>
    </w:p>
    <w:tbl>
      <w:tblPr>
        <w:tblStyle w:val="a0"/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5490"/>
        <w:gridCol w:w="1616"/>
        <w:gridCol w:w="1804"/>
      </w:tblGrid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Experiment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 Turns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 to Lab Manual 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Darcy's Friction factor `f' of pipes of different diameter pipes (Darcy)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 through an orifice and a mouthpiece (OP/MP)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of Bernoulli’s Theorem (Bernoulli)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coefficient of discharge `C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 xml:space="preserve"> ' of the V notch and rectangular notch and to plot the calibration curve(Notches)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and Efficiency of Francis Turbine (Francis)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Impact of Jet (IJ)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Metacentric Height Apparatus (MH)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Flow measurement using </w:t>
            </w:r>
            <w:proofErr w:type="spellStart"/>
            <w:r>
              <w:rPr>
                <w:sz w:val="24"/>
                <w:szCs w:val="24"/>
              </w:rPr>
              <w:t>Venturimeter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Orificemeter</w:t>
            </w:r>
            <w:proofErr w:type="spellEnd"/>
            <w:r>
              <w:rPr>
                <w:sz w:val="24"/>
                <w:szCs w:val="24"/>
              </w:rPr>
              <w:t>(VM/OM)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Reynolds Apparatus (Reynolds)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layer development on a flat plate (BLF)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Drag and Lift of </w:t>
            </w:r>
            <w:proofErr w:type="spellStart"/>
            <w:r>
              <w:rPr>
                <w:sz w:val="24"/>
                <w:szCs w:val="24"/>
              </w:rPr>
              <w:t>Aerofoil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Aerofoil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formation of Hydraulic Jump (HJ- open channel)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B55F8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 Crested Weir (BCW- open channel)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</w:tbl>
    <w:p w:rsidR="00B55F8D" w:rsidRDefault="00454C7A">
      <w:pPr>
        <w:spacing w:before="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 addition to the above mentioned SLOs, SLO (b) will be covered through laboratory experiments</w:t>
      </w:r>
      <w:r>
        <w:rPr>
          <w:b/>
          <w:sz w:val="24"/>
          <w:szCs w:val="24"/>
        </w:rPr>
        <w:t>.</w:t>
      </w:r>
    </w:p>
    <w:p w:rsidR="00B55F8D" w:rsidRDefault="00454C7A">
      <w:pPr>
        <w:spacing w:before="40" w:after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Reading Assignment:</w:t>
      </w:r>
      <w:r>
        <w:rPr>
          <w:sz w:val="24"/>
          <w:szCs w:val="24"/>
        </w:rPr>
        <w:t xml:space="preserve"> First 8 Chapters of textbook.</w:t>
      </w:r>
    </w:p>
    <w:p w:rsidR="00B55F8D" w:rsidRDefault="00B55F8D">
      <w:pPr>
        <w:spacing w:before="40" w:after="60"/>
        <w:jc w:val="both"/>
        <w:rPr>
          <w:sz w:val="24"/>
          <w:szCs w:val="24"/>
        </w:rPr>
      </w:pPr>
    </w:p>
    <w:p w:rsidR="00B55F8D" w:rsidRDefault="00454C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Evaluation Scheme:</w:t>
      </w:r>
    </w:p>
    <w:tbl>
      <w:tblPr>
        <w:tblStyle w:val="a1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260"/>
        <w:gridCol w:w="1440"/>
        <w:gridCol w:w="2929"/>
        <w:gridCol w:w="41"/>
        <w:gridCol w:w="2569"/>
      </w:tblGrid>
      <w:tr w:rsidR="00B55F8D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(Minutes)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Weightage (%)</w:t>
            </w:r>
          </w:p>
        </w:tc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&amp; Time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of Component</w:t>
            </w:r>
          </w:p>
        </w:tc>
      </w:tr>
      <w:tr w:rsidR="00B55F8D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Examination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B55F8D">
            <w:pPr>
              <w:jc w:val="center"/>
              <w:rPr>
                <w:sz w:val="24"/>
                <w:szCs w:val="24"/>
              </w:rPr>
            </w:pPr>
          </w:p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t>09/10 - 4.00 - 5.30PM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B55F8D">
        <w:trPr>
          <w:cantSplit/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WaterGEMs</w:t>
            </w:r>
            <w:proofErr w:type="spellEnd"/>
            <w:r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B5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B55F8D">
        <w:trPr>
          <w:cantSplit/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Laboratory Records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B5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As per timetable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B55F8D">
        <w:trPr>
          <w:cantSplit/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(including Lab)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B5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B55F8D">
        <w:trPr>
          <w:cantSplit/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t>07/12 AN</w:t>
            </w:r>
            <w:bookmarkStart w:id="1" w:name="_GoBack"/>
            <w:bookmarkEnd w:id="1"/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5F8D" w:rsidRDefault="00454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</w:tbl>
    <w:p w:rsidR="00B55F8D" w:rsidRDefault="00454C7A">
      <w:pPr>
        <w:spacing w:before="40" w:after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Chamber Consultation Hour:</w:t>
      </w:r>
      <w:r>
        <w:rPr>
          <w:sz w:val="24"/>
          <w:szCs w:val="24"/>
        </w:rPr>
        <w:t xml:space="preserve"> Friday (4 PM to 5 PM).</w:t>
      </w:r>
    </w:p>
    <w:p w:rsidR="00B55F8D" w:rsidRDefault="00454C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Make-up Policy: </w:t>
      </w:r>
    </w:p>
    <w:p w:rsidR="00B55F8D" w:rsidRDefault="00454C7A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Make-ups are not usually encouraged. Make-up will be granted only on genuine reasons. However, prior permission is must. For medical cases, a certificate from the concerned physician of the Medical Centre must be produced. </w:t>
      </w:r>
    </w:p>
    <w:p w:rsidR="00B55F8D" w:rsidRDefault="00B55F8D">
      <w:pPr>
        <w:spacing w:before="40" w:after="60"/>
        <w:jc w:val="both"/>
        <w:rPr>
          <w:b/>
          <w:sz w:val="24"/>
          <w:szCs w:val="24"/>
        </w:rPr>
      </w:pPr>
    </w:p>
    <w:p w:rsidR="00B55F8D" w:rsidRDefault="00454C7A">
      <w:pPr>
        <w:spacing w:before="40" w:after="60"/>
        <w:jc w:val="both"/>
      </w:pPr>
      <w:r>
        <w:rPr>
          <w:b/>
          <w:sz w:val="24"/>
          <w:szCs w:val="24"/>
        </w:rPr>
        <w:t xml:space="preserve">Notices: </w:t>
      </w:r>
      <w:r>
        <w:rPr>
          <w:sz w:val="24"/>
          <w:szCs w:val="24"/>
        </w:rPr>
        <w:t>All notices concerning</w:t>
      </w:r>
      <w:r>
        <w:rPr>
          <w:sz w:val="24"/>
          <w:szCs w:val="24"/>
        </w:rPr>
        <w:t xml:space="preserve"> the course will be displayed on Google class room.</w:t>
      </w: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B55F8D" w:rsidRDefault="00454C7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Honesty and Integrity Policy:</w:t>
      </w:r>
      <w:r>
        <w:rPr>
          <w:color w:val="000000"/>
          <w:sz w:val="24"/>
          <w:szCs w:val="24"/>
        </w:rPr>
        <w:t xml:space="preserve"> Academic honesty and integrity are to be maintained by all the students throughout the semester and no type of academic </w:t>
      </w:r>
      <w:r>
        <w:rPr>
          <w:color w:val="000000"/>
          <w:sz w:val="24"/>
          <w:szCs w:val="24"/>
        </w:rPr>
        <w:t>dishonesty is acceptable.</w:t>
      </w:r>
    </w:p>
    <w:p w:rsidR="00B55F8D" w:rsidRDefault="00454C7A">
      <w:pPr>
        <w:ind w:left="6480"/>
        <w:jc w:val="both"/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Instructor-in-charge</w:t>
      </w:r>
      <w:r>
        <w:rPr>
          <w:b/>
          <w:sz w:val="24"/>
          <w:szCs w:val="24"/>
        </w:rPr>
        <w:br/>
        <w:t>CE F312</w:t>
      </w:r>
    </w:p>
    <w:sectPr w:rsidR="00B55F8D">
      <w:pgSz w:w="11909" w:h="16834"/>
      <w:pgMar w:top="1152" w:right="1440" w:bottom="1152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D2B8D"/>
    <w:multiLevelType w:val="multilevel"/>
    <w:tmpl w:val="E48A110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8D"/>
    <w:rsid w:val="00454C7A"/>
    <w:rsid w:val="00B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843"/>
  <w15:docId w15:val="{0F6C8EBA-C7F3-4D4B-B7CA-B351AD73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2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2D4A21"/>
    <w:pPr>
      <w:keepNext/>
      <w:jc w:val="right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qFormat/>
    <w:rsid w:val="002D4A21"/>
    <w:pPr>
      <w:keepNext/>
      <w:suppressAutoHyphens/>
      <w:spacing w:before="40" w:after="60"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2D4A21"/>
    <w:pPr>
      <w:keepNext/>
      <w:suppressAutoHyphens/>
      <w:spacing w:before="40" w:after="60"/>
      <w:jc w:val="center"/>
      <w:outlineLvl w:val="2"/>
    </w:pPr>
    <w:rPr>
      <w:spacing w:val="-2"/>
      <w:sz w:val="24"/>
    </w:rPr>
  </w:style>
  <w:style w:type="paragraph" w:styleId="Heading4">
    <w:name w:val="heading 4"/>
    <w:basedOn w:val="Normal"/>
    <w:next w:val="Normal"/>
    <w:qFormat/>
    <w:rsid w:val="002D4A21"/>
    <w:pPr>
      <w:keepNext/>
      <w:suppressAutoHyphens/>
      <w:jc w:val="both"/>
      <w:outlineLvl w:val="3"/>
    </w:pPr>
    <w:rPr>
      <w:b/>
      <w:spacing w:val="-2"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D4A21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D4A21"/>
    <w:rPr>
      <w:sz w:val="24"/>
    </w:rPr>
  </w:style>
  <w:style w:type="character" w:customStyle="1" w:styleId="EquationCaption">
    <w:name w:val="_Equation Caption"/>
    <w:rsid w:val="002D4A21"/>
  </w:style>
  <w:style w:type="paragraph" w:styleId="BodyText2">
    <w:name w:val="Body Text 2"/>
    <w:basedOn w:val="Normal"/>
    <w:rsid w:val="002D4A21"/>
    <w:pPr>
      <w:suppressAutoHyphens/>
      <w:ind w:left="360" w:hanging="360"/>
      <w:jc w:val="both"/>
    </w:pPr>
    <w:rPr>
      <w:spacing w:val="-2"/>
      <w:sz w:val="24"/>
    </w:rPr>
  </w:style>
  <w:style w:type="paragraph" w:styleId="BodyText">
    <w:name w:val="Body Text"/>
    <w:basedOn w:val="Normal"/>
    <w:rsid w:val="002D4A21"/>
    <w:pPr>
      <w:suppressAutoHyphens/>
      <w:spacing w:before="40" w:after="60"/>
      <w:jc w:val="both"/>
    </w:pPr>
    <w:rPr>
      <w:spacing w:val="-2"/>
      <w:sz w:val="24"/>
    </w:rPr>
  </w:style>
  <w:style w:type="paragraph" w:styleId="Header">
    <w:name w:val="header"/>
    <w:basedOn w:val="Normal"/>
    <w:link w:val="HeaderChar"/>
    <w:rsid w:val="00757A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7A9E"/>
  </w:style>
  <w:style w:type="paragraph" w:styleId="Footer">
    <w:name w:val="footer"/>
    <w:basedOn w:val="Normal"/>
    <w:link w:val="FooterChar"/>
    <w:rsid w:val="00757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7A9E"/>
  </w:style>
  <w:style w:type="paragraph" w:styleId="ListParagraph">
    <w:name w:val="List Paragraph"/>
    <w:basedOn w:val="Normal"/>
    <w:uiPriority w:val="34"/>
    <w:qFormat/>
    <w:rsid w:val="008B449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E7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93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0B61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61BF"/>
  </w:style>
  <w:style w:type="character" w:styleId="Hyperlink">
    <w:name w:val="Hyperlink"/>
    <w:basedOn w:val="DefaultParagraphFont"/>
    <w:uiPriority w:val="99"/>
    <w:unhideWhenUsed/>
    <w:rsid w:val="0042471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6546E8"/>
    <w:pPr>
      <w:widowControl w:val="0"/>
      <w:overflowPunct/>
      <w:adjustRightInd/>
      <w:ind w:left="107"/>
      <w:textAlignment w:val="auto"/>
    </w:pPr>
    <w:rPr>
      <w:sz w:val="22"/>
      <w:szCs w:val="22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12/105/1121052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nptel.ac.in/courses/112/104/11210411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ptel.ac.in/courses/105/103/1051031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tel.ac.in/courses/112/105/112105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lBDaapc66hz7OocP2vz/8LFHKg==">CgMxLjAyCGguZ2pkZ3hzMghoLmdqZGd4czgAciExcjRqWWNSRnBOUDM3aUtjTmljUHVNdS1IZFA3ZktrQmM=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Windows User</cp:lastModifiedBy>
  <cp:revision>2</cp:revision>
  <dcterms:created xsi:type="dcterms:W3CDTF">2022-08-17T10:37:00Z</dcterms:created>
  <dcterms:modified xsi:type="dcterms:W3CDTF">2023-08-10T05:15:00Z</dcterms:modified>
</cp:coreProperties>
</file>