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D63" w:rsidRDefault="00FF1B32">
      <w:pPr>
        <w:jc w:val="center"/>
        <w:rPr>
          <w:b/>
        </w:rPr>
      </w:pPr>
      <w:r>
        <w:rPr>
          <w:b/>
          <w:noProof/>
          <w:lang w:val="en-IN" w:eastAsia="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712D63" w:rsidRDefault="00FF1B32">
      <w:pPr>
        <w:jc w:val="center"/>
        <w:rPr>
          <w:b/>
        </w:rPr>
      </w:pPr>
      <w:r>
        <w:rPr>
          <w:b/>
        </w:rPr>
        <w:t>FIRST SEMESTER 2023-2024</w:t>
      </w:r>
    </w:p>
    <w:p w:rsidR="00712D63" w:rsidRDefault="00FF1B32">
      <w:pPr>
        <w:pStyle w:val="Heading1"/>
        <w:jc w:val="center"/>
      </w:pPr>
      <w:r>
        <w:t>Course Handout Part II</w:t>
      </w:r>
    </w:p>
    <w:p w:rsidR="00712D63" w:rsidRDefault="00FF1B32">
      <w:pPr>
        <w:jc w:val="right"/>
      </w:pPr>
      <w:bookmarkStart w:id="0" w:name="_heading=h.gjdgxs" w:colFirst="0" w:colLast="0"/>
      <w:bookmarkEnd w:id="0"/>
      <w:r>
        <w:tab/>
      </w:r>
      <w:r>
        <w:tab/>
      </w:r>
      <w:r>
        <w:tab/>
      </w:r>
      <w:r>
        <w:tab/>
      </w:r>
      <w:r>
        <w:tab/>
      </w:r>
      <w:r>
        <w:tab/>
      </w:r>
      <w:r>
        <w:tab/>
      </w:r>
      <w:r>
        <w:tab/>
      </w:r>
      <w:r>
        <w:tab/>
      </w:r>
      <w:r>
        <w:tab/>
        <w:t xml:space="preserve">    Date: </w:t>
      </w:r>
      <w:r w:rsidR="00E248FC">
        <w:t>11</w:t>
      </w:r>
      <w:r>
        <w:t>-0</w:t>
      </w:r>
      <w:r w:rsidR="00E248FC">
        <w:t>8</w:t>
      </w:r>
      <w:r>
        <w:t>-2023</w:t>
      </w:r>
    </w:p>
    <w:p w:rsidR="00712D63" w:rsidRDefault="00712D63">
      <w:pPr>
        <w:pBdr>
          <w:top w:val="nil"/>
          <w:left w:val="nil"/>
          <w:bottom w:val="nil"/>
          <w:right w:val="nil"/>
          <w:between w:val="nil"/>
        </w:pBdr>
        <w:jc w:val="both"/>
        <w:rPr>
          <w:color w:val="000000"/>
        </w:rPr>
      </w:pPr>
    </w:p>
    <w:p w:rsidR="00712D63" w:rsidRDefault="00FF1B32">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712D63" w:rsidRDefault="00712D63"/>
    <w:p w:rsidR="00712D63" w:rsidRDefault="00FF1B32">
      <w:pPr>
        <w:rPr>
          <w:i/>
        </w:rPr>
      </w:pPr>
      <w:r>
        <w:rPr>
          <w:i/>
        </w:rPr>
        <w:t>Course No.</w:t>
      </w:r>
      <w:r>
        <w:tab/>
      </w:r>
      <w:r>
        <w:tab/>
      </w:r>
      <w:r>
        <w:tab/>
        <w:t xml:space="preserve">: </w:t>
      </w:r>
      <w:r>
        <w:rPr>
          <w:i/>
        </w:rPr>
        <w:t xml:space="preserve"> </w:t>
      </w:r>
      <w:r>
        <w:t>CHE F211</w:t>
      </w:r>
    </w:p>
    <w:p w:rsidR="00712D63" w:rsidRDefault="00FF1B32">
      <w:r>
        <w:t>Course Title</w:t>
      </w:r>
      <w:r>
        <w:tab/>
      </w:r>
      <w:r>
        <w:tab/>
      </w:r>
      <w:r>
        <w:tab/>
        <w:t xml:space="preserve">: </w:t>
      </w:r>
      <w:r>
        <w:rPr>
          <w:i/>
        </w:rPr>
        <w:t xml:space="preserve"> </w:t>
      </w:r>
      <w:r>
        <w:t>Chemical Process Calculations</w:t>
      </w:r>
    </w:p>
    <w:p w:rsidR="00712D63" w:rsidRDefault="00FF1B32">
      <w:pPr>
        <w:pStyle w:val="Heading2"/>
        <w:rPr>
          <w:b/>
          <w:i w:val="0"/>
        </w:rPr>
      </w:pPr>
      <w:r>
        <w:t>Instructor-in-Charge</w:t>
      </w:r>
      <w:r>
        <w:rPr>
          <w:i w:val="0"/>
        </w:rPr>
        <w:tab/>
      </w:r>
      <w:r>
        <w:rPr>
          <w:i w:val="0"/>
        </w:rPr>
        <w:tab/>
        <w:t xml:space="preserve">:  </w:t>
      </w:r>
      <w:r>
        <w:rPr>
          <w:b/>
          <w:i w:val="0"/>
        </w:rPr>
        <w:t>Iyman Abrar</w:t>
      </w:r>
    </w:p>
    <w:p w:rsidR="00712D63" w:rsidRDefault="00712D63"/>
    <w:p w:rsidR="00712D63" w:rsidRDefault="00FF1B32">
      <w:pPr>
        <w:rPr>
          <w:b/>
        </w:rPr>
      </w:pPr>
      <w:r>
        <w:rPr>
          <w:b/>
        </w:rPr>
        <w:t>Scope and Objective of the Course:</w:t>
      </w:r>
    </w:p>
    <w:p w:rsidR="00712D63" w:rsidRDefault="00712D63">
      <w:pPr>
        <w:jc w:val="both"/>
      </w:pPr>
    </w:p>
    <w:p w:rsidR="00712D63" w:rsidRDefault="00FF1B32">
      <w:pPr>
        <w:jc w:val="both"/>
      </w:pPr>
      <w:r>
        <w:t>Chemical Process Calculations is one of the most fundamental courses of Chemical Engineering and serves as an introduction to</w:t>
      </w:r>
      <w:r>
        <w:t xml:space="preserve"> the entire field. The course will introduce concepts, equations, processes and systematic problem solving techniques that the students will require and revisit while learning several other courses of Chemical Engineering and while solving various practica</w:t>
      </w:r>
      <w:r>
        <w:t xml:space="preserve">l problems. </w:t>
      </w:r>
    </w:p>
    <w:p w:rsidR="00712D63" w:rsidRDefault="00712D63">
      <w:pPr>
        <w:rPr>
          <w:b/>
        </w:rPr>
      </w:pPr>
    </w:p>
    <w:p w:rsidR="00712D63" w:rsidRDefault="00FF1B32">
      <w:pPr>
        <w:jc w:val="both"/>
        <w:rPr>
          <w:u w:val="single"/>
        </w:rPr>
      </w:pPr>
      <w:r>
        <w:rPr>
          <w:u w:val="single"/>
        </w:rPr>
        <w:t>At the end of the course, the student should be able to:</w:t>
      </w:r>
    </w:p>
    <w:p w:rsidR="00712D63" w:rsidRDefault="00FF1B32">
      <w:pPr>
        <w:numPr>
          <w:ilvl w:val="0"/>
          <w:numId w:val="1"/>
        </w:numPr>
        <w:pBdr>
          <w:top w:val="nil"/>
          <w:left w:val="nil"/>
          <w:bottom w:val="nil"/>
          <w:right w:val="nil"/>
          <w:between w:val="nil"/>
        </w:pBdr>
        <w:jc w:val="both"/>
        <w:rPr>
          <w:color w:val="000000"/>
        </w:rPr>
      </w:pPr>
      <w:r>
        <w:rPr>
          <w:color w:val="000000"/>
        </w:rPr>
        <w:t>Solve material balance problems with or without chemical reaction for single and multiple units</w:t>
      </w:r>
    </w:p>
    <w:p w:rsidR="00712D63" w:rsidRDefault="00FF1B32">
      <w:pPr>
        <w:numPr>
          <w:ilvl w:val="0"/>
          <w:numId w:val="1"/>
        </w:numPr>
        <w:pBdr>
          <w:top w:val="nil"/>
          <w:left w:val="nil"/>
          <w:bottom w:val="nil"/>
          <w:right w:val="nil"/>
          <w:between w:val="nil"/>
        </w:pBdr>
        <w:jc w:val="both"/>
        <w:rPr>
          <w:color w:val="000000"/>
        </w:rPr>
      </w:pPr>
      <w:r>
        <w:rPr>
          <w:color w:val="000000"/>
        </w:rPr>
        <w:t>Using the concepts of recycle, bypass and purge in material balances</w:t>
      </w:r>
    </w:p>
    <w:p w:rsidR="00712D63" w:rsidRDefault="00FF1B32">
      <w:pPr>
        <w:numPr>
          <w:ilvl w:val="0"/>
          <w:numId w:val="1"/>
        </w:numPr>
        <w:pBdr>
          <w:top w:val="nil"/>
          <w:left w:val="nil"/>
          <w:bottom w:val="nil"/>
          <w:right w:val="nil"/>
          <w:between w:val="nil"/>
        </w:pBdr>
        <w:jc w:val="both"/>
        <w:rPr>
          <w:color w:val="000000"/>
        </w:rPr>
      </w:pPr>
      <w:r>
        <w:rPr>
          <w:color w:val="000000"/>
        </w:rPr>
        <w:t>Solve energy balance problems with and without chemical reactions using thermodynamic tables, psychrometric charts and basic thermodynamic principles</w:t>
      </w:r>
    </w:p>
    <w:p w:rsidR="00712D63" w:rsidRDefault="00FF1B32">
      <w:pPr>
        <w:numPr>
          <w:ilvl w:val="0"/>
          <w:numId w:val="1"/>
        </w:numPr>
        <w:pBdr>
          <w:top w:val="nil"/>
          <w:left w:val="nil"/>
          <w:bottom w:val="nil"/>
          <w:right w:val="nil"/>
          <w:between w:val="nil"/>
        </w:pBdr>
        <w:jc w:val="both"/>
        <w:rPr>
          <w:color w:val="000000"/>
        </w:rPr>
      </w:pPr>
      <w:r>
        <w:rPr>
          <w:color w:val="000000"/>
        </w:rPr>
        <w:t>Solve material and energy balance problems simultaneously</w:t>
      </w:r>
    </w:p>
    <w:p w:rsidR="00712D63" w:rsidRDefault="00FF1B32">
      <w:pPr>
        <w:numPr>
          <w:ilvl w:val="0"/>
          <w:numId w:val="1"/>
        </w:numPr>
        <w:pBdr>
          <w:top w:val="nil"/>
          <w:left w:val="nil"/>
          <w:bottom w:val="nil"/>
          <w:right w:val="nil"/>
          <w:between w:val="nil"/>
        </w:pBdr>
        <w:jc w:val="both"/>
        <w:rPr>
          <w:color w:val="000000"/>
        </w:rPr>
      </w:pPr>
      <w:r>
        <w:rPr>
          <w:color w:val="000000"/>
        </w:rPr>
        <w:t xml:space="preserve">Develop relationships between process variables </w:t>
      </w:r>
      <w:r>
        <w:rPr>
          <w:color w:val="000000"/>
        </w:rPr>
        <w:t>for individual process units and some complex real-world processes common in chemical engineering.</w:t>
      </w:r>
    </w:p>
    <w:p w:rsidR="00712D63" w:rsidRDefault="00FF1B32">
      <w:pPr>
        <w:numPr>
          <w:ilvl w:val="0"/>
          <w:numId w:val="1"/>
        </w:numPr>
        <w:pBdr>
          <w:top w:val="nil"/>
          <w:left w:val="nil"/>
          <w:bottom w:val="nil"/>
          <w:right w:val="nil"/>
          <w:between w:val="nil"/>
        </w:pBdr>
        <w:jc w:val="both"/>
        <w:rPr>
          <w:color w:val="000000"/>
        </w:rPr>
      </w:pPr>
      <w:r>
        <w:rPr>
          <w:color w:val="000000"/>
        </w:rPr>
        <w:t xml:space="preserve">Present calculations and problem solutions in a professional manner. </w:t>
      </w:r>
    </w:p>
    <w:p w:rsidR="00712D63" w:rsidRDefault="00712D63">
      <w:pPr>
        <w:jc w:val="both"/>
      </w:pPr>
    </w:p>
    <w:p w:rsidR="00712D63" w:rsidRDefault="00712D63">
      <w:pPr>
        <w:pBdr>
          <w:top w:val="nil"/>
          <w:left w:val="nil"/>
          <w:bottom w:val="nil"/>
          <w:right w:val="nil"/>
          <w:between w:val="nil"/>
        </w:pBdr>
        <w:jc w:val="both"/>
        <w:rPr>
          <w:b/>
          <w:color w:val="000000"/>
        </w:rPr>
      </w:pPr>
    </w:p>
    <w:p w:rsidR="00712D63" w:rsidRDefault="00FF1B32">
      <w:pPr>
        <w:pBdr>
          <w:top w:val="nil"/>
          <w:left w:val="nil"/>
          <w:bottom w:val="nil"/>
          <w:right w:val="nil"/>
          <w:between w:val="nil"/>
        </w:pBdr>
        <w:jc w:val="both"/>
        <w:rPr>
          <w:color w:val="000000"/>
        </w:rPr>
      </w:pPr>
      <w:r>
        <w:rPr>
          <w:b/>
          <w:color w:val="000000"/>
        </w:rPr>
        <w:t>Textbooks:</w:t>
      </w:r>
    </w:p>
    <w:p w:rsidR="00712D63" w:rsidRDefault="00FF1B32">
      <w:pPr>
        <w:numPr>
          <w:ilvl w:val="0"/>
          <w:numId w:val="2"/>
        </w:numPr>
        <w:jc w:val="both"/>
      </w:pPr>
      <w:r>
        <w:t>D. M. Himmelblau &amp; J. B. Riggs, “Basic principles &amp; calculations in chemical Engg”, PHI, 8th ed., 2012.</w:t>
      </w:r>
    </w:p>
    <w:p w:rsidR="00712D63" w:rsidRDefault="00712D63">
      <w:pPr>
        <w:jc w:val="both"/>
        <w:rPr>
          <w:b/>
        </w:rPr>
      </w:pPr>
    </w:p>
    <w:p w:rsidR="00712D63" w:rsidRDefault="00FF1B32">
      <w:pPr>
        <w:jc w:val="both"/>
        <w:rPr>
          <w:b/>
        </w:rPr>
      </w:pPr>
      <w:r>
        <w:rPr>
          <w:b/>
        </w:rPr>
        <w:t>Reference books</w:t>
      </w:r>
    </w:p>
    <w:p w:rsidR="00712D63" w:rsidRDefault="00FF1B32">
      <w:pPr>
        <w:numPr>
          <w:ilvl w:val="0"/>
          <w:numId w:val="3"/>
        </w:numPr>
        <w:jc w:val="both"/>
      </w:pPr>
      <w:r>
        <w:t>R. M. Felder, R. W. Rousseau &amp; L. G. Bullard, “Elementary Principles of Chemical Processes”, John Wiley &amp; Sons, Inc., 4th ed., 2016.</w:t>
      </w:r>
    </w:p>
    <w:p w:rsidR="00712D63" w:rsidRDefault="00712D63">
      <w:pPr>
        <w:jc w:val="both"/>
        <w:rPr>
          <w:b/>
        </w:rPr>
      </w:pPr>
    </w:p>
    <w:p w:rsidR="00712D63" w:rsidRDefault="00712D63">
      <w:pPr>
        <w:jc w:val="both"/>
        <w:rPr>
          <w:b/>
        </w:rPr>
      </w:pPr>
    </w:p>
    <w:p w:rsidR="00712D63" w:rsidRDefault="00712D63">
      <w:pPr>
        <w:jc w:val="both"/>
        <w:rPr>
          <w:b/>
        </w:rPr>
      </w:pPr>
    </w:p>
    <w:p w:rsidR="00712D63" w:rsidRDefault="00712D63">
      <w:pPr>
        <w:jc w:val="both"/>
        <w:rPr>
          <w:b/>
        </w:rPr>
      </w:pPr>
    </w:p>
    <w:p w:rsidR="00712D63" w:rsidRDefault="00712D63">
      <w:pPr>
        <w:jc w:val="both"/>
        <w:rPr>
          <w:b/>
        </w:rPr>
      </w:pPr>
    </w:p>
    <w:p w:rsidR="00712D63" w:rsidRDefault="00712D63">
      <w:pPr>
        <w:jc w:val="both"/>
        <w:rPr>
          <w:b/>
        </w:rPr>
      </w:pPr>
    </w:p>
    <w:p w:rsidR="00712D63" w:rsidRDefault="00712D63">
      <w:pPr>
        <w:jc w:val="both"/>
        <w:rPr>
          <w:b/>
        </w:rPr>
      </w:pPr>
    </w:p>
    <w:p w:rsidR="00712D63" w:rsidRDefault="00FF1B32">
      <w:pPr>
        <w:jc w:val="both"/>
        <w:rPr>
          <w:b/>
        </w:rPr>
      </w:pPr>
      <w:r>
        <w:rPr>
          <w:b/>
        </w:rPr>
        <w:t>Course Plan:</w:t>
      </w:r>
    </w:p>
    <w:tbl>
      <w:tblPr>
        <w:tblStyle w:val="a"/>
        <w:tblW w:w="10784"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1"/>
        <w:gridCol w:w="3843"/>
        <w:gridCol w:w="4301"/>
        <w:gridCol w:w="1559"/>
      </w:tblGrid>
      <w:tr w:rsidR="00712D63">
        <w:trPr>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12D63" w:rsidRDefault="00FF1B32">
            <w:pPr>
              <w:jc w:val="center"/>
              <w:rPr>
                <w:b/>
                <w:sz w:val="22"/>
                <w:szCs w:val="22"/>
              </w:rPr>
            </w:pPr>
            <w:r>
              <w:rPr>
                <w:b/>
                <w:sz w:val="22"/>
                <w:szCs w:val="22"/>
              </w:rPr>
              <w:t>Lecture No.</w:t>
            </w:r>
          </w:p>
        </w:tc>
        <w:tc>
          <w:tcPr>
            <w:tcW w:w="38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12D63" w:rsidRDefault="00FF1B32">
            <w:pPr>
              <w:jc w:val="center"/>
              <w:rPr>
                <w:b/>
                <w:sz w:val="22"/>
                <w:szCs w:val="22"/>
              </w:rPr>
            </w:pPr>
            <w:r>
              <w:rPr>
                <w:b/>
                <w:sz w:val="22"/>
                <w:szCs w:val="22"/>
              </w:rPr>
              <w:t>Learning objectives</w:t>
            </w:r>
          </w:p>
        </w:tc>
        <w:tc>
          <w:tcPr>
            <w:tcW w:w="430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12D63" w:rsidRDefault="00FF1B32">
            <w:pPr>
              <w:jc w:val="center"/>
              <w:rPr>
                <w:b/>
                <w:sz w:val="22"/>
                <w:szCs w:val="22"/>
              </w:rPr>
            </w:pPr>
            <w:r>
              <w:rPr>
                <w:b/>
                <w:sz w:val="22"/>
                <w:szCs w:val="22"/>
              </w:rPr>
              <w:t>Topics to be covered</w:t>
            </w:r>
          </w:p>
        </w:tc>
        <w:tc>
          <w:tcPr>
            <w:tcW w:w="155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12D63" w:rsidRDefault="00FF1B32">
            <w:pPr>
              <w:jc w:val="center"/>
              <w:rPr>
                <w:b/>
                <w:sz w:val="22"/>
                <w:szCs w:val="22"/>
              </w:rPr>
            </w:pPr>
            <w:r>
              <w:rPr>
                <w:b/>
                <w:sz w:val="22"/>
                <w:szCs w:val="22"/>
              </w:rPr>
              <w:t>Chapter in the Text Book</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rPr>
                <w:sz w:val="22"/>
                <w:szCs w:val="22"/>
              </w:rPr>
            </w:pPr>
            <w:r>
              <w:t>1</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rPr>
                <w:sz w:val="22"/>
                <w:szCs w:val="22"/>
              </w:rPr>
            </w:pPr>
            <w:r>
              <w:t xml:space="preserve">Introduction to Chemical Engineering </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rPr>
                <w:sz w:val="22"/>
                <w:szCs w:val="22"/>
              </w:rPr>
            </w:pPr>
            <w:r>
              <w:t>Brief history and contributions, current prospects, future research and directions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rPr>
                <w:sz w:val="22"/>
                <w:szCs w:val="22"/>
              </w:rPr>
            </w:pPr>
            <w:r>
              <w:t>Ch 1</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2, 3</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Units, Dimensions and their conversion, Dimensional consistency in equations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Units and Dimensions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2 (2.1-2.5)</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4, 5</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 xml:space="preserve">Mole, density and concentration, Choosing a basis </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Density, specific gravity, mole fraction and mass fraction, concentration, how to choo</w:t>
            </w:r>
            <w:r>
              <w:t>se a basis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 xml:space="preserve">Ch 2 (2.6-2.9) </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6</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Different units of temperature, pressure</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Temperature and Pressure</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2 (2.10-2.12)</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7-10</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Introduction to material balances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Concept of material balance, open and closed systems, steady state/unsteady state</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3</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11-12</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Solving material balance problems without chemical reactions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Material balances without chemical reactions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4</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13-14</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Stoichiometry</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Chemical reaction equations and stoichiometry</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5 (5.1, 5.2)</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15-17</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Solving material balances with chemical reactions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Material balances with chemical reactions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5 (5.3-5.5)</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18-19</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Material balances involving multiple subsystems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Solving material balance problems involving multiple subsystems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6 (6.1, 6.2)</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20-23</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Material balances with recycle and bypass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 xml:space="preserve">Recycle bypass and purge calculations </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6 (6.3-6.5)</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24-25</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Calculation procedures for ideal gas systems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Ideal gas law calculations, ideal gas mixtures and partial pressure</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7</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26-27</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Two phase systems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Vapor pressure, saturation, phase diagrams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8</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28-</w:t>
            </w:r>
            <w:r>
              <w:t>30</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General energy balances for open and closed systems without chemical reactions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The general energy balance</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9</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31-32</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Calculation of enthalpy changes using heat capacity equations and enthalpy tables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Calculation of enthalpy changes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9</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33-35</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Enthalpy balances with chemical reaction</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Energy balances that account for chemical reactions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10</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36-37</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Calculation of heat of mixing and heat of solution</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Heats of solution and mixing</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13</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38-39</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Humidity chart and its use in determining the properties of moist air</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Humidity charts and their use</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Ch 11</w:t>
            </w:r>
          </w:p>
        </w:tc>
      </w:tr>
      <w:tr w:rsidR="00712D63">
        <w:trPr>
          <w:trHeight w:val="576"/>
          <w:jc w:val="center"/>
        </w:trPr>
        <w:tc>
          <w:tcPr>
            <w:tcW w:w="108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40-42</w:t>
            </w:r>
          </w:p>
        </w:tc>
        <w:tc>
          <w:tcPr>
            <w:tcW w:w="3843"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Solving simultaneous material and energy balances</w:t>
            </w:r>
          </w:p>
        </w:tc>
        <w:tc>
          <w:tcPr>
            <w:tcW w:w="4301"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Miscellaneous Examples</w:t>
            </w:r>
          </w:p>
        </w:tc>
        <w:tc>
          <w:tcPr>
            <w:tcW w:w="1559" w:type="dxa"/>
            <w:tcBorders>
              <w:top w:val="single" w:sz="6" w:space="0" w:color="000000"/>
              <w:left w:val="single" w:sz="6" w:space="0" w:color="000000"/>
              <w:bottom w:val="single" w:sz="6" w:space="0" w:color="000000"/>
              <w:right w:val="single" w:sz="6" w:space="0" w:color="000000"/>
            </w:tcBorders>
          </w:tcPr>
          <w:p w:rsidR="00712D63" w:rsidRDefault="00FF1B32">
            <w:pPr>
              <w:jc w:val="center"/>
            </w:pPr>
            <w:r>
              <w:t>-</w:t>
            </w:r>
          </w:p>
        </w:tc>
      </w:tr>
    </w:tbl>
    <w:p w:rsidR="00712D63" w:rsidRDefault="00712D63">
      <w:pPr>
        <w:jc w:val="both"/>
      </w:pPr>
    </w:p>
    <w:p w:rsidR="00712D63" w:rsidRDefault="00712D63">
      <w:pPr>
        <w:jc w:val="both"/>
        <w:rPr>
          <w:b/>
        </w:rPr>
      </w:pPr>
    </w:p>
    <w:p w:rsidR="00712D63" w:rsidRDefault="00712D63">
      <w:pPr>
        <w:jc w:val="both"/>
        <w:rPr>
          <w:b/>
        </w:rPr>
      </w:pPr>
    </w:p>
    <w:p w:rsidR="00712D63" w:rsidRDefault="00FF1B32">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712D63">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12D63" w:rsidRDefault="00FF1B32">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12D63" w:rsidRDefault="00FF1B32">
            <w:pPr>
              <w:jc w:val="center"/>
              <w:rPr>
                <w:b/>
              </w:rPr>
            </w:pPr>
            <w:r>
              <w:rPr>
                <w:b/>
              </w:rPr>
              <w:t>Duration (minutes)</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12D63" w:rsidRDefault="00FF1B32">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12D63" w:rsidRDefault="00FF1B32">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12D63" w:rsidRDefault="00FF1B32">
            <w:pPr>
              <w:jc w:val="center"/>
              <w:rPr>
                <w:b/>
              </w:rPr>
            </w:pPr>
            <w:r>
              <w:rPr>
                <w:b/>
              </w:rPr>
              <w:t>Nature of Component</w:t>
            </w:r>
          </w:p>
        </w:tc>
      </w:tr>
      <w:tr w:rsidR="00712D63">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Mid semester Test</w:t>
            </w:r>
          </w:p>
        </w:tc>
        <w:tc>
          <w:tcPr>
            <w:tcW w:w="126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 xml:space="preserve">90 </w:t>
            </w:r>
          </w:p>
        </w:tc>
        <w:tc>
          <w:tcPr>
            <w:tcW w:w="144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30</w:t>
            </w:r>
          </w:p>
        </w:tc>
        <w:tc>
          <w:tcPr>
            <w:tcW w:w="2408" w:type="dxa"/>
            <w:tcBorders>
              <w:top w:val="single" w:sz="4" w:space="0" w:color="000000"/>
              <w:left w:val="single" w:sz="4" w:space="0" w:color="000000"/>
              <w:bottom w:val="single" w:sz="4" w:space="0" w:color="000000"/>
              <w:right w:val="single" w:sz="4" w:space="0" w:color="000000"/>
            </w:tcBorders>
          </w:tcPr>
          <w:p w:rsidR="00712D63" w:rsidRDefault="00E248FC">
            <w:pPr>
              <w:pBdr>
                <w:top w:val="nil"/>
                <w:left w:val="nil"/>
                <w:bottom w:val="nil"/>
                <w:right w:val="nil"/>
                <w:between w:val="nil"/>
              </w:pBdr>
              <w:jc w:val="center"/>
              <w:rPr>
                <w:color w:val="000000"/>
                <w:sz w:val="23"/>
                <w:szCs w:val="23"/>
              </w:rPr>
            </w:pPr>
            <w:r>
              <w:t>14/10 - 2.00 - 3.30PM</w:t>
            </w:r>
          </w:p>
        </w:tc>
        <w:tc>
          <w:tcPr>
            <w:tcW w:w="1764"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CB</w:t>
            </w:r>
          </w:p>
        </w:tc>
      </w:tr>
      <w:tr w:rsidR="00712D63">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Class Test (Min. 2)</w:t>
            </w:r>
          </w:p>
        </w:tc>
        <w:tc>
          <w:tcPr>
            <w:tcW w:w="126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w:t>
            </w:r>
          </w:p>
        </w:tc>
        <w:tc>
          <w:tcPr>
            <w:tcW w:w="144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20</w:t>
            </w:r>
          </w:p>
        </w:tc>
        <w:tc>
          <w:tcPr>
            <w:tcW w:w="2408" w:type="dxa"/>
            <w:vMerge w:val="restart"/>
            <w:tcBorders>
              <w:top w:val="single" w:sz="4" w:space="0" w:color="000000"/>
              <w:left w:val="single" w:sz="4" w:space="0" w:color="000000"/>
              <w:right w:val="single" w:sz="4" w:space="0" w:color="000000"/>
            </w:tcBorders>
          </w:tcPr>
          <w:p w:rsidR="00712D63" w:rsidRDefault="00FF1B32">
            <w:pPr>
              <w:pBdr>
                <w:top w:val="nil"/>
                <w:left w:val="nil"/>
                <w:bottom w:val="nil"/>
                <w:right w:val="nil"/>
                <w:between w:val="nil"/>
              </w:pBdr>
              <w:jc w:val="center"/>
              <w:rPr>
                <w:rFonts w:ascii="Cambria" w:eastAsia="Cambria" w:hAnsi="Cambria" w:cs="Cambria"/>
                <w:color w:val="000000"/>
              </w:rPr>
            </w:pPr>
            <w:r>
              <w:rPr>
                <w:color w:val="000000"/>
                <w:sz w:val="23"/>
                <w:szCs w:val="23"/>
              </w:rPr>
              <w:t xml:space="preserve">Evenly spaced throughout the semester </w:t>
            </w:r>
          </w:p>
        </w:tc>
        <w:tc>
          <w:tcPr>
            <w:tcW w:w="1764"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rPr>
                <w:sz w:val="23"/>
                <w:szCs w:val="23"/>
              </w:rPr>
              <w:t xml:space="preserve">OB </w:t>
            </w:r>
          </w:p>
        </w:tc>
      </w:tr>
      <w:tr w:rsidR="00712D63">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Assignment (Min. 1)</w:t>
            </w:r>
          </w:p>
        </w:tc>
        <w:tc>
          <w:tcPr>
            <w:tcW w:w="126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w:t>
            </w:r>
          </w:p>
        </w:tc>
        <w:tc>
          <w:tcPr>
            <w:tcW w:w="144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10</w:t>
            </w:r>
          </w:p>
        </w:tc>
        <w:tc>
          <w:tcPr>
            <w:tcW w:w="2408" w:type="dxa"/>
            <w:vMerge/>
            <w:tcBorders>
              <w:top w:val="single" w:sz="4" w:space="0" w:color="000000"/>
              <w:left w:val="single" w:sz="4" w:space="0" w:color="000000"/>
              <w:right w:val="single" w:sz="4" w:space="0" w:color="000000"/>
            </w:tcBorders>
          </w:tcPr>
          <w:p w:rsidR="00712D63" w:rsidRDefault="00712D63">
            <w:pPr>
              <w:widowControl w:val="0"/>
              <w:pBdr>
                <w:top w:val="nil"/>
                <w:left w:val="nil"/>
                <w:bottom w:val="nil"/>
                <w:right w:val="nil"/>
                <w:between w:val="nil"/>
              </w:pBdr>
              <w:spacing w:line="276" w:lineRule="auto"/>
            </w:pPr>
          </w:p>
        </w:tc>
        <w:tc>
          <w:tcPr>
            <w:tcW w:w="1764"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OB</w:t>
            </w:r>
          </w:p>
        </w:tc>
      </w:tr>
      <w:tr w:rsidR="00712D63">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 xml:space="preserve">180 </w:t>
            </w:r>
          </w:p>
        </w:tc>
        <w:tc>
          <w:tcPr>
            <w:tcW w:w="1440"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40</w:t>
            </w:r>
          </w:p>
        </w:tc>
        <w:tc>
          <w:tcPr>
            <w:tcW w:w="2408" w:type="dxa"/>
            <w:tcBorders>
              <w:top w:val="single" w:sz="4" w:space="0" w:color="000000"/>
              <w:left w:val="single" w:sz="4" w:space="0" w:color="000000"/>
              <w:bottom w:val="single" w:sz="4" w:space="0" w:color="000000"/>
              <w:right w:val="single" w:sz="4" w:space="0" w:color="000000"/>
            </w:tcBorders>
          </w:tcPr>
          <w:p w:rsidR="00712D63" w:rsidRDefault="00E248FC">
            <w:pPr>
              <w:pBdr>
                <w:top w:val="nil"/>
                <w:left w:val="nil"/>
                <w:bottom w:val="nil"/>
                <w:right w:val="nil"/>
                <w:between w:val="nil"/>
              </w:pBdr>
              <w:jc w:val="center"/>
              <w:rPr>
                <w:color w:val="000000"/>
                <w:sz w:val="23"/>
                <w:szCs w:val="23"/>
              </w:rPr>
            </w:pPr>
            <w:r>
              <w:t>21/12 FN</w:t>
            </w:r>
          </w:p>
        </w:tc>
        <w:tc>
          <w:tcPr>
            <w:tcW w:w="1764" w:type="dxa"/>
            <w:tcBorders>
              <w:top w:val="single" w:sz="4" w:space="0" w:color="000000"/>
              <w:left w:val="single" w:sz="4" w:space="0" w:color="000000"/>
              <w:bottom w:val="single" w:sz="4" w:space="0" w:color="000000"/>
              <w:right w:val="single" w:sz="4" w:space="0" w:color="000000"/>
            </w:tcBorders>
          </w:tcPr>
          <w:p w:rsidR="00712D63" w:rsidRDefault="00FF1B32">
            <w:pPr>
              <w:jc w:val="center"/>
            </w:pPr>
            <w:r>
              <w:t>CB</w:t>
            </w:r>
          </w:p>
        </w:tc>
      </w:tr>
    </w:tbl>
    <w:p w:rsidR="00712D63" w:rsidRDefault="00712D63">
      <w:pPr>
        <w:jc w:val="both"/>
      </w:pPr>
    </w:p>
    <w:p w:rsidR="00712D63" w:rsidRDefault="00712D63">
      <w:pPr>
        <w:jc w:val="both"/>
        <w:rPr>
          <w:b/>
        </w:rPr>
      </w:pPr>
    </w:p>
    <w:p w:rsidR="00712D63" w:rsidRDefault="00FF1B32">
      <w:pPr>
        <w:jc w:val="both"/>
      </w:pPr>
      <w:r>
        <w:rPr>
          <w:b/>
        </w:rPr>
        <w:t>Chamber Consultation Hour:</w:t>
      </w:r>
      <w:r>
        <w:t xml:space="preserve"> To be announced in the class. </w:t>
      </w:r>
    </w:p>
    <w:p w:rsidR="00712D63" w:rsidRDefault="00712D63">
      <w:pPr>
        <w:jc w:val="both"/>
      </w:pPr>
    </w:p>
    <w:p w:rsidR="00712D63" w:rsidRDefault="00FF1B32">
      <w:pPr>
        <w:jc w:val="both"/>
      </w:pPr>
      <w:r>
        <w:rPr>
          <w:b/>
        </w:rPr>
        <w:t>Notices:</w:t>
      </w:r>
      <w:r>
        <w:t xml:space="preserve"> Notices concerning the course will be displayed on the CMS.</w:t>
      </w:r>
    </w:p>
    <w:p w:rsidR="00712D63" w:rsidRDefault="00712D63">
      <w:pPr>
        <w:jc w:val="both"/>
      </w:pPr>
    </w:p>
    <w:p w:rsidR="00712D63" w:rsidRDefault="00FF1B32">
      <w:pPr>
        <w:jc w:val="both"/>
        <w:rPr>
          <w:b/>
        </w:rPr>
      </w:pPr>
      <w:r>
        <w:rPr>
          <w:b/>
        </w:rPr>
        <w:t xml:space="preserve">Make-up Policy: </w:t>
      </w:r>
      <w:r>
        <w:t xml:space="preserve">Make-up for mid-semester and comprehensive examinations will be granted only for genuine cases with valid justification and only with a prior permission of the Instructor-in-charge. No make-up will be given for class tests and assignments. </w:t>
      </w:r>
      <w:bookmarkStart w:id="1" w:name="_GoBack"/>
      <w:bookmarkEnd w:id="1"/>
    </w:p>
    <w:p w:rsidR="00712D63" w:rsidRDefault="00712D63">
      <w:pPr>
        <w:jc w:val="both"/>
        <w:rPr>
          <w:b/>
        </w:rPr>
      </w:pPr>
    </w:p>
    <w:p w:rsidR="00712D63" w:rsidRDefault="00FF1B32">
      <w:pPr>
        <w:jc w:val="both"/>
      </w:pPr>
      <w:r>
        <w:rPr>
          <w:b/>
          <w:sz w:val="22"/>
          <w:szCs w:val="22"/>
        </w:rPr>
        <w:t>Academic Hones</w:t>
      </w:r>
      <w:r>
        <w:rPr>
          <w:b/>
          <w:sz w:val="22"/>
          <w:szCs w:val="22"/>
        </w:rPr>
        <w:t xml:space="preserve">ty and Integrity Policy: </w:t>
      </w:r>
      <w:r>
        <w:t>Academic honesty and integrity are to be maintained by all the students throughout the semester and no type of academic dishonesty is acceptable.</w:t>
      </w:r>
    </w:p>
    <w:p w:rsidR="00712D63" w:rsidRDefault="00712D63">
      <w:pPr>
        <w:jc w:val="right"/>
        <w:rPr>
          <w:b/>
        </w:rPr>
      </w:pPr>
    </w:p>
    <w:p w:rsidR="00712D63" w:rsidRDefault="00712D63">
      <w:pPr>
        <w:jc w:val="right"/>
        <w:rPr>
          <w:b/>
        </w:rPr>
      </w:pPr>
    </w:p>
    <w:p w:rsidR="00712D63" w:rsidRDefault="00712D63">
      <w:pPr>
        <w:jc w:val="right"/>
        <w:rPr>
          <w:b/>
        </w:rPr>
      </w:pPr>
    </w:p>
    <w:p w:rsidR="00712D63" w:rsidRDefault="00FF1B32">
      <w:pPr>
        <w:ind w:left="7513"/>
        <w:jc w:val="both"/>
        <w:rPr>
          <w:b/>
        </w:rPr>
      </w:pPr>
      <w:r>
        <w:rPr>
          <w:b/>
        </w:rPr>
        <w:t xml:space="preserve">            Dr. Iyman Abrar</w:t>
      </w:r>
    </w:p>
    <w:p w:rsidR="00712D63" w:rsidRDefault="00FF1B32">
      <w:pPr>
        <w:ind w:left="7513" w:firstLine="407"/>
        <w:jc w:val="both"/>
        <w:rPr>
          <w:b/>
        </w:rPr>
      </w:pPr>
      <w:r>
        <w:rPr>
          <w:b/>
        </w:rPr>
        <w:t xml:space="preserve">   Instructor-in-charge</w:t>
      </w:r>
    </w:p>
    <w:p w:rsidR="00712D63" w:rsidRDefault="00FF1B32">
      <w:pPr>
        <w:ind w:left="7513"/>
        <w:jc w:val="both"/>
        <w:rPr>
          <w:b/>
        </w:rPr>
      </w:pPr>
      <w:r>
        <w:rPr>
          <w:b/>
        </w:rPr>
        <w:t xml:space="preserve">  Chemical Process Calculation</w:t>
      </w:r>
      <w:r>
        <w:rPr>
          <w:b/>
        </w:rPr>
        <w:t xml:space="preserve">s </w:t>
      </w:r>
    </w:p>
    <w:p w:rsidR="00712D63" w:rsidRDefault="00712D63">
      <w:pPr>
        <w:jc w:val="right"/>
        <w:rPr>
          <w:b/>
        </w:rPr>
      </w:pPr>
    </w:p>
    <w:sectPr w:rsidR="00712D63">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B32" w:rsidRDefault="00FF1B32">
      <w:r>
        <w:separator/>
      </w:r>
    </w:p>
  </w:endnote>
  <w:endnote w:type="continuationSeparator" w:id="0">
    <w:p w:rsidR="00FF1B32" w:rsidRDefault="00FF1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63" w:rsidRDefault="00FF1B32">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E248FC">
      <w:rPr>
        <w:color w:val="000000"/>
      </w:rPr>
      <w:fldChar w:fldCharType="separate"/>
    </w:r>
    <w:r w:rsidR="00E248FC">
      <w:rPr>
        <w:noProof/>
        <w:color w:val="000000"/>
      </w:rPr>
      <w:t>1</w:t>
    </w:r>
    <w:r>
      <w:rPr>
        <w:color w:val="000000"/>
      </w:rPr>
      <w:fldChar w:fldCharType="end"/>
    </w:r>
  </w:p>
  <w:p w:rsidR="00712D63" w:rsidRDefault="00712D6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B32" w:rsidRDefault="00FF1B32">
      <w:r>
        <w:separator/>
      </w:r>
    </w:p>
  </w:footnote>
  <w:footnote w:type="continuationSeparator" w:id="0">
    <w:p w:rsidR="00FF1B32" w:rsidRDefault="00FF1B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63" w:rsidRDefault="00712D63">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62951"/>
    <w:multiLevelType w:val="multilevel"/>
    <w:tmpl w:val="897E0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18491F"/>
    <w:multiLevelType w:val="multilevel"/>
    <w:tmpl w:val="D6D65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AA1F32"/>
    <w:multiLevelType w:val="multilevel"/>
    <w:tmpl w:val="F54C1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63"/>
    <w:rsid w:val="00712D63"/>
    <w:rsid w:val="00E248FC"/>
    <w:rsid w:val="00FF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0C74"/>
  <w15:docId w15:val="{378D3734-A0D0-4337-8AA4-70192AA7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D955A2"/>
    <w:pPr>
      <w:ind w:left="720"/>
      <w:contextualSpacing/>
    </w:pPr>
    <w:rPr>
      <w:sz w:val="20"/>
      <w:szCs w:val="20"/>
    </w:rPr>
  </w:style>
  <w:style w:type="paragraph" w:customStyle="1" w:styleId="Default">
    <w:name w:val="Default"/>
    <w:rsid w:val="00580282"/>
    <w:pPr>
      <w:autoSpaceDE w:val="0"/>
      <w:autoSpaceDN w:val="0"/>
      <w:adjustRightInd w:val="0"/>
    </w:pPr>
    <w:rPr>
      <w:rFonts w:ascii="Cambria" w:hAnsi="Cambria" w:cs="Cambria"/>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jqAfq9wQsSicT7W7KhqGvUvcBw==">CgMxLjAyCGguZ2pkZ3hzOAByITFuRDZieURUUmhMTFFKdjJkM3lpX05ra3hXMXRkREtfMA==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2022-08-19T04:03:00Z</dcterms:created>
  <dcterms:modified xsi:type="dcterms:W3CDTF">2023-08-10T05:31:00Z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531216f6941f7072eb7dbda4292857a0fd874b6a7e38206bac242f01abe47740</vt:lpwstr>
  </property>
</Properties>
</file>