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1F" w:rsidRDefault="002652E4">
      <w:pPr>
        <w:jc w:val="center"/>
        <w:rPr>
          <w:b/>
        </w:rPr>
      </w:pPr>
      <w:r>
        <w:rPr>
          <w:b/>
          <w:noProof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2A1F" w:rsidRDefault="002652E4">
      <w:pPr>
        <w:jc w:val="center"/>
        <w:rPr>
          <w:b/>
        </w:rPr>
      </w:pPr>
      <w:r>
        <w:rPr>
          <w:b/>
        </w:rPr>
        <w:t>FIRST SEMESTER 2023-2024</w:t>
      </w:r>
    </w:p>
    <w:p w:rsidR="00722A1F" w:rsidRDefault="002652E4">
      <w:pPr>
        <w:pStyle w:val="Heading1"/>
        <w:jc w:val="center"/>
      </w:pPr>
      <w:r>
        <w:t>Course Handout Part II</w:t>
      </w:r>
    </w:p>
    <w:p w:rsidR="00722A1F" w:rsidRDefault="00B608D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2652E4">
        <w:t xml:space="preserve">1-08-2023 </w:t>
      </w:r>
    </w:p>
    <w:p w:rsidR="00722A1F" w:rsidRDefault="002652E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722A1F" w:rsidRDefault="00722A1F"/>
    <w:p w:rsidR="00722A1F" w:rsidRDefault="002652E4"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</w:rPr>
        <w:t xml:space="preserve"> </w:t>
      </w:r>
      <w:r>
        <w:rPr>
          <w:b/>
        </w:rPr>
        <w:t>CHE F212</w:t>
      </w:r>
    </w:p>
    <w:p w:rsidR="00722A1F" w:rsidRDefault="002652E4">
      <w:pPr>
        <w:pStyle w:val="Heading2"/>
        <w:rPr>
          <w:b/>
        </w:rPr>
      </w:pPr>
      <w:r>
        <w:t>Course Title</w:t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>Fluid Mechanics</w:t>
      </w:r>
    </w:p>
    <w:p w:rsidR="00722A1F" w:rsidRDefault="002652E4">
      <w:pPr>
        <w:pStyle w:val="Heading2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 </w:t>
      </w:r>
      <w:r>
        <w:rPr>
          <w:b/>
          <w:i w:val="0"/>
        </w:rPr>
        <w:t xml:space="preserve">Dr. </w:t>
      </w:r>
      <w:proofErr w:type="spellStart"/>
      <w:r>
        <w:rPr>
          <w:b/>
          <w:i w:val="0"/>
        </w:rPr>
        <w:t>Nandini</w:t>
      </w:r>
      <w:proofErr w:type="spellEnd"/>
      <w:r>
        <w:rPr>
          <w:b/>
          <w:i w:val="0"/>
        </w:rPr>
        <w:t xml:space="preserve"> Bhandaru</w:t>
      </w:r>
    </w:p>
    <w:p w:rsidR="00722A1F" w:rsidRDefault="00722A1F"/>
    <w:p w:rsidR="00722A1F" w:rsidRDefault="002652E4">
      <w:pPr>
        <w:spacing w:after="240"/>
        <w:rPr>
          <w:b/>
        </w:rPr>
      </w:pPr>
      <w:r>
        <w:rPr>
          <w:b/>
        </w:rPr>
        <w:t>Scope and Objective of the Course:</w:t>
      </w:r>
    </w:p>
    <w:p w:rsidR="00722A1F" w:rsidRDefault="002652E4">
      <w:pPr>
        <w:spacing w:after="240"/>
        <w:jc w:val="both"/>
        <w:rPr>
          <w:color w:val="000000"/>
        </w:rPr>
      </w:pPr>
      <w:r>
        <w:rPr>
          <w:color w:val="000000"/>
        </w:rPr>
        <w:t xml:space="preserve">This course is an introduction to the field of fluid mechanics. It covers the basic physical concepts, analytical treatments beginning from </w:t>
      </w:r>
      <w:r>
        <w:rPr>
          <w:color w:val="000000"/>
        </w:rPr>
        <w:t xml:space="preserve">fundamental principles along with examples and practical exercise problems. The objective of the course is to equip the students with a strong understanding of the fundamental and practical </w:t>
      </w:r>
      <w:r>
        <w:t>aspects of fluid</w:t>
      </w:r>
      <w:r>
        <w:rPr>
          <w:color w:val="000000"/>
        </w:rPr>
        <w:t xml:space="preserve"> flow operations which a practicing chemical engin</w:t>
      </w:r>
      <w:r>
        <w:rPr>
          <w:color w:val="000000"/>
        </w:rPr>
        <w:t xml:space="preserve">eer meets with regularly, along with a flavor of current research. </w:t>
      </w:r>
    </w:p>
    <w:p w:rsidR="00722A1F" w:rsidRDefault="002652E4">
      <w:pPr>
        <w:spacing w:after="240"/>
        <w:rPr>
          <w:b/>
        </w:rPr>
      </w:pPr>
      <w:r>
        <w:rPr>
          <w:b/>
        </w:rPr>
        <w:t>Course Outcomes:</w:t>
      </w:r>
    </w:p>
    <w:p w:rsidR="00722A1F" w:rsidRDefault="00265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Understanding the basic properties of fluid and principles of fluid flow.</w:t>
      </w:r>
    </w:p>
    <w:p w:rsidR="00722A1F" w:rsidRDefault="00265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Understanding simple pipe flows as well as fluid machinery and flow measuring devices</w:t>
      </w:r>
    </w:p>
    <w:p w:rsidR="00722A1F" w:rsidRDefault="00265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</w:pPr>
      <w:r>
        <w:rPr>
          <w:color w:val="000000"/>
        </w:rPr>
        <w:t>Ability to solve different fluid flow problems using first principles i.e. mass, momentum and energy conservation equations.</w:t>
      </w:r>
    </w:p>
    <w:p w:rsidR="00722A1F" w:rsidRDefault="002652E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Textbooks:</w:t>
      </w:r>
    </w:p>
    <w:p w:rsidR="00722A1F" w:rsidRDefault="00265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Fox, R. W. and McDonalds, A. T. </w:t>
      </w:r>
      <w:r>
        <w:rPr>
          <w:i/>
          <w:color w:val="000000"/>
        </w:rPr>
        <w:t>Introduction to Fluid Mechanics (7</w:t>
      </w:r>
      <w:r>
        <w:rPr>
          <w:i/>
          <w:color w:val="000000"/>
          <w:vertAlign w:val="superscript"/>
        </w:rPr>
        <w:t>th</w:t>
      </w:r>
      <w:r>
        <w:rPr>
          <w:i/>
          <w:color w:val="000000"/>
        </w:rPr>
        <w:t xml:space="preserve"> Ed.)</w:t>
      </w:r>
      <w:r>
        <w:rPr>
          <w:color w:val="000000"/>
        </w:rPr>
        <w:t>, John Wiley &amp; Sons Inc., 2010. [ISBN: 9971-51-355-2]</w:t>
      </w:r>
    </w:p>
    <w:p w:rsidR="00722A1F" w:rsidRDefault="00265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McCabe, W. L.; Smith, J. C. and </w:t>
      </w:r>
      <w:proofErr w:type="spellStart"/>
      <w:r>
        <w:rPr>
          <w:color w:val="000000"/>
        </w:rPr>
        <w:t>Harriott</w:t>
      </w:r>
      <w:proofErr w:type="spellEnd"/>
      <w:r>
        <w:rPr>
          <w:color w:val="000000"/>
        </w:rPr>
        <w:t xml:space="preserve">, P. </w:t>
      </w:r>
      <w:r>
        <w:rPr>
          <w:i/>
          <w:color w:val="000000"/>
        </w:rPr>
        <w:t>Unit Operations of Chemical Engineering (7</w:t>
      </w:r>
      <w:r>
        <w:rPr>
          <w:i/>
          <w:color w:val="000000"/>
          <w:vertAlign w:val="superscript"/>
        </w:rPr>
        <w:t>th</w:t>
      </w:r>
      <w:r>
        <w:rPr>
          <w:i/>
          <w:color w:val="000000"/>
        </w:rPr>
        <w:t xml:space="preserve"> Ed.)</w:t>
      </w:r>
      <w:r>
        <w:rPr>
          <w:color w:val="000000"/>
        </w:rPr>
        <w:t>, McGraw Hill Inc., 2005. [ISBN 007-124710-6]</w:t>
      </w:r>
    </w:p>
    <w:p w:rsidR="00722A1F" w:rsidRDefault="002652E4">
      <w:pPr>
        <w:spacing w:after="120"/>
        <w:jc w:val="both"/>
        <w:rPr>
          <w:b/>
        </w:rPr>
      </w:pPr>
      <w:r>
        <w:rPr>
          <w:b/>
        </w:rPr>
        <w:t>Reference books</w:t>
      </w:r>
    </w:p>
    <w:p w:rsidR="00722A1F" w:rsidRDefault="002652E4">
      <w:pPr>
        <w:numPr>
          <w:ilvl w:val="0"/>
          <w:numId w:val="3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Bird, R. B.; Stewart, W. E. and Lightfoot, E. </w:t>
      </w:r>
      <w:r>
        <w:rPr>
          <w:color w:val="000000"/>
        </w:rPr>
        <w:t xml:space="preserve">N. </w:t>
      </w:r>
      <w:r>
        <w:rPr>
          <w:i/>
          <w:color w:val="000000"/>
        </w:rPr>
        <w:t>Transport Phenomena (2</w:t>
      </w:r>
      <w:r>
        <w:rPr>
          <w:i/>
          <w:color w:val="000000"/>
          <w:vertAlign w:val="superscript"/>
        </w:rPr>
        <w:t>nd</w:t>
      </w:r>
      <w:r>
        <w:rPr>
          <w:i/>
          <w:color w:val="000000"/>
        </w:rPr>
        <w:t xml:space="preserve"> Ed.)</w:t>
      </w:r>
      <w:r>
        <w:rPr>
          <w:color w:val="000000"/>
        </w:rPr>
        <w:t>, John Wiley and Sons Inc., 2002.</w:t>
      </w:r>
    </w:p>
    <w:p w:rsidR="00722A1F" w:rsidRDefault="002652E4">
      <w:pPr>
        <w:numPr>
          <w:ilvl w:val="0"/>
          <w:numId w:val="3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Coulson, J. M. and Richardson, J. F. (with </w:t>
      </w:r>
      <w:proofErr w:type="spellStart"/>
      <w:r>
        <w:rPr>
          <w:color w:val="000000"/>
        </w:rPr>
        <w:t>Backhurst</w:t>
      </w:r>
      <w:proofErr w:type="spellEnd"/>
      <w:r>
        <w:rPr>
          <w:color w:val="000000"/>
        </w:rPr>
        <w:t xml:space="preserve"> J. R. and Harker J. H.), </w:t>
      </w:r>
      <w:r>
        <w:rPr>
          <w:i/>
          <w:color w:val="000000"/>
        </w:rPr>
        <w:t>Coulson &amp; Richardson’s Chemical Engineering-</w:t>
      </w:r>
      <w:r>
        <w:rPr>
          <w:color w:val="000000"/>
        </w:rPr>
        <w:t xml:space="preserve"> </w:t>
      </w:r>
      <w:r>
        <w:rPr>
          <w:i/>
          <w:color w:val="000000"/>
        </w:rPr>
        <w:t>Volume 1 (5</w:t>
      </w:r>
      <w:r>
        <w:rPr>
          <w:i/>
          <w:color w:val="000000"/>
          <w:vertAlign w:val="superscript"/>
        </w:rPr>
        <w:t>th</w:t>
      </w:r>
      <w:r>
        <w:rPr>
          <w:i/>
          <w:color w:val="000000"/>
        </w:rPr>
        <w:t xml:space="preserve"> Ed.)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Pergamon</w:t>
      </w:r>
      <w:proofErr w:type="spellEnd"/>
      <w:r>
        <w:rPr>
          <w:color w:val="000000"/>
        </w:rPr>
        <w:t xml:space="preserve"> Press.</w:t>
      </w:r>
    </w:p>
    <w:p w:rsidR="00722A1F" w:rsidRDefault="002652E4">
      <w:pPr>
        <w:numPr>
          <w:ilvl w:val="0"/>
          <w:numId w:val="3"/>
        </w:numPr>
        <w:spacing w:after="120"/>
        <w:jc w:val="both"/>
        <w:rPr>
          <w:color w:val="000000"/>
        </w:rPr>
      </w:pPr>
      <w:proofErr w:type="spellStart"/>
      <w:r>
        <w:rPr>
          <w:color w:val="000000"/>
        </w:rPr>
        <w:t>Som</w:t>
      </w:r>
      <w:proofErr w:type="spellEnd"/>
      <w:r>
        <w:rPr>
          <w:color w:val="000000"/>
        </w:rPr>
        <w:t>, S.K.; Biswas, G.; Chakrabo</w:t>
      </w:r>
      <w:r>
        <w:rPr>
          <w:color w:val="000000"/>
        </w:rPr>
        <w:t xml:space="preserve">rty, S. </w:t>
      </w:r>
      <w:r>
        <w:rPr>
          <w:i/>
          <w:color w:val="000000"/>
        </w:rPr>
        <w:t>Introduction to Fluid Mechanics and Fluid Machines (3</w:t>
      </w:r>
      <w:r>
        <w:rPr>
          <w:i/>
          <w:color w:val="000000"/>
          <w:vertAlign w:val="superscript"/>
        </w:rPr>
        <w:t>rd</w:t>
      </w:r>
      <w:r>
        <w:rPr>
          <w:i/>
          <w:color w:val="000000"/>
        </w:rPr>
        <w:t xml:space="preserve"> Ed.)</w:t>
      </w:r>
      <w:r>
        <w:rPr>
          <w:color w:val="000000"/>
        </w:rPr>
        <w:t>, McGraw Hill Edu., 2012.</w:t>
      </w:r>
    </w:p>
    <w:p w:rsidR="00722A1F" w:rsidRDefault="002652E4">
      <w:pPr>
        <w:numPr>
          <w:ilvl w:val="0"/>
          <w:numId w:val="3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White, F. M.; </w:t>
      </w:r>
      <w:r>
        <w:rPr>
          <w:i/>
          <w:color w:val="000000"/>
        </w:rPr>
        <w:t>Fluid Mechanics (8</w:t>
      </w:r>
      <w:r>
        <w:rPr>
          <w:i/>
          <w:color w:val="000000"/>
          <w:vertAlign w:val="superscript"/>
        </w:rPr>
        <w:t>th</w:t>
      </w:r>
      <w:r>
        <w:rPr>
          <w:i/>
          <w:color w:val="000000"/>
        </w:rPr>
        <w:t xml:space="preserve"> Ed.)</w:t>
      </w:r>
      <w:r>
        <w:rPr>
          <w:color w:val="000000"/>
        </w:rPr>
        <w:t>, McGraw Hill Edu., 2017.</w:t>
      </w:r>
    </w:p>
    <w:p w:rsidR="00722A1F" w:rsidRDefault="002652E4">
      <w:pPr>
        <w:spacing w:after="240"/>
        <w:jc w:val="both"/>
        <w:rPr>
          <w:b/>
        </w:rPr>
      </w:pPr>
      <w:r>
        <w:rPr>
          <w:b/>
        </w:rPr>
        <w:lastRenderedPageBreak/>
        <w:t>Course Plan:</w:t>
      </w:r>
    </w:p>
    <w:tbl>
      <w:tblPr>
        <w:tblStyle w:val="a"/>
        <w:tblW w:w="107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05"/>
        <w:gridCol w:w="1305"/>
        <w:gridCol w:w="105"/>
        <w:gridCol w:w="2595"/>
        <w:gridCol w:w="105"/>
        <w:gridCol w:w="4005"/>
        <w:gridCol w:w="105"/>
        <w:gridCol w:w="1905"/>
        <w:gridCol w:w="105"/>
      </w:tblGrid>
      <w:tr w:rsidR="00722A1F">
        <w:trPr>
          <w:gridAfter w:val="1"/>
          <w:wAfter w:w="105" w:type="dxa"/>
          <w:jc w:val="center"/>
        </w:trPr>
        <w:tc>
          <w:tcPr>
            <w:tcW w:w="450" w:type="dxa"/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1-2</w:t>
            </w:r>
          </w:p>
          <w:p w:rsidR="00722A1F" w:rsidRDefault="002652E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(Module1 = M1)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General introduction to the Fluid Mechanics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Definition of a fluid; Basic Equations; Methods of Analysis; Units and Dimensions; Dimensional Analysis.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1.2 – 1.6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 15</w:t>
            </w:r>
          </w:p>
          <w:p w:rsidR="00722A1F" w:rsidRDefault="00722A1F">
            <w:pPr>
              <w:jc w:val="center"/>
              <w:rPr>
                <w:color w:val="000000"/>
              </w:rPr>
            </w:pP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3-6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(M2)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Fundamental Concepts [Introduction to new concepts and definitions of Fluid Mechanics]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Fluid as a Continuum; Pressure, Velocity and Stress fields; Viscosity and Surface Tension; Description and Classification of Fluid Motions.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2.1 – 2.6</w:t>
            </w:r>
          </w:p>
          <w:p w:rsidR="00722A1F" w:rsidRDefault="00722A1F">
            <w:pPr>
              <w:jc w:val="center"/>
              <w:rPr>
                <w:color w:val="000000"/>
              </w:rPr>
            </w:pPr>
          </w:p>
          <w:p w:rsidR="00722A1F" w:rsidRDefault="00722A1F">
            <w:pPr>
              <w:jc w:val="center"/>
              <w:rPr>
                <w:color w:val="000000"/>
              </w:rPr>
            </w:pP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7-11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(M3)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color w:val="000000"/>
              </w:rPr>
              <w:t>luid statics [Study of the principles of Fluid Statics and their applications for various purposes]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Basic Equations of Fluid Statics; Pressure variation in Static Fluids;</w:t>
            </w:r>
          </w:p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Hydrostatic force on submerged surfaces; Hydrostatic Equilibrium in a Centrifugal Field.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T1: 3.1, 3.3, 3.5 </w:t>
            </w:r>
          </w:p>
          <w:p w:rsidR="00722A1F" w:rsidRDefault="00722A1F">
            <w:pPr>
              <w:jc w:val="center"/>
              <w:rPr>
                <w:color w:val="000000"/>
              </w:rPr>
            </w:pPr>
          </w:p>
          <w:p w:rsidR="00722A1F" w:rsidRDefault="002652E4">
            <w:pPr>
              <w:rPr>
                <w:color w:val="000000"/>
              </w:rPr>
            </w:pPr>
            <w:r>
              <w:rPr>
                <w:color w:val="000000"/>
              </w:rPr>
              <w:t>T2: Pages 33–34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12-16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(M4)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Basic Equations in Integral form for a Control Volume [General Mathematical Formulations for a Control Volume using la</w:t>
            </w:r>
            <w:r>
              <w:rPr>
                <w:color w:val="000000"/>
              </w:rPr>
              <w:t>ws of Mechanics, Physics and Thermodynamics]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Basic Laws for a System; Conservation of Mass and Momentum Equations for Integral Control Volumes; Angular Momentum Principle [Fixed Control Volume Analysis only]; First and Second Laws of Thermodynamics.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4.1– 4.4, 4.7.1, 4.8, 4.9</w:t>
            </w:r>
          </w:p>
          <w:p w:rsidR="00722A1F" w:rsidRDefault="00722A1F">
            <w:pPr>
              <w:jc w:val="center"/>
              <w:rPr>
                <w:color w:val="000000"/>
              </w:rPr>
            </w:pPr>
          </w:p>
          <w:p w:rsidR="00722A1F" w:rsidRDefault="00722A1F">
            <w:pPr>
              <w:jc w:val="center"/>
              <w:rPr>
                <w:color w:val="000000"/>
              </w:rPr>
            </w:pP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– 21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(M5)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Introduction to Differential Analysis of Fluid Motion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Conservation of Mass and Momentum Equations [</w:t>
            </w:r>
            <w:proofErr w:type="spellStart"/>
            <w:r>
              <w:rPr>
                <w:color w:val="000000"/>
              </w:rPr>
              <w:t>Navier</w:t>
            </w:r>
            <w:proofErr w:type="spellEnd"/>
            <w:r>
              <w:rPr>
                <w:color w:val="000000"/>
              </w:rPr>
              <w:t>-Stokes equations: Rectangular coordinates only]; Motion of fluid Elements.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5.1 – 5.4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Pages 68-82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– 26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(M6)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Fundamentals of Incompressible Inviscid flows 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Euler’s Equations; Bernoulli’s Equation; Bernoulli’s Equation as an Energy Equation.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T1: 6.1 – 6.4, 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Pages 86-94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– 29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(M7)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Dimensional Analysis and Similitude [Significance of Non-</w:t>
            </w:r>
            <w:proofErr w:type="spellStart"/>
            <w:r>
              <w:rPr>
                <w:color w:val="000000"/>
              </w:rPr>
              <w:t>Dimensionalization</w:t>
            </w:r>
            <w:proofErr w:type="spellEnd"/>
            <w:r>
              <w:rPr>
                <w:color w:val="000000"/>
              </w:rPr>
              <w:t xml:space="preserve"> Technique and Non Dimensional numbers]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Buckingham PI theorem/ Rayleigh’s Method; Significant Dimensionless Groups in Fluid Mechanics.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7.1 – 7.5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 16-20</w:t>
            </w:r>
          </w:p>
          <w:p w:rsidR="00722A1F" w:rsidRDefault="00722A1F">
            <w:pPr>
              <w:jc w:val="center"/>
              <w:rPr>
                <w:color w:val="000000"/>
              </w:rPr>
            </w:pPr>
          </w:p>
          <w:p w:rsidR="00722A1F" w:rsidRDefault="00722A1F">
            <w:pPr>
              <w:jc w:val="center"/>
              <w:rPr>
                <w:color w:val="000000"/>
              </w:rPr>
            </w:pPr>
          </w:p>
        </w:tc>
      </w:tr>
      <w:tr w:rsidR="00722A1F">
        <w:trPr>
          <w:trHeight w:val="1070"/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30-34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(M8)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Internal Incompressible flow [Study of the Mechanics of flows inside Solid bodies, Aspects of Transportation and Metering of fluids]</w:t>
            </w:r>
          </w:p>
          <w:p w:rsidR="00722A1F" w:rsidRDefault="00722A1F">
            <w:pPr>
              <w:jc w:val="both"/>
              <w:rPr>
                <w:color w:val="000000"/>
              </w:rPr>
            </w:pPr>
          </w:p>
          <w:p w:rsidR="00722A1F" w:rsidRDefault="00722A1F">
            <w:pPr>
              <w:jc w:val="both"/>
              <w:rPr>
                <w:color w:val="000000"/>
              </w:rPr>
            </w:pP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Flow between parallel plates; Flow in pipes and ducts; Energy considerations in Pipe flow; Pumps; Flow Measurement Techni</w:t>
            </w:r>
            <w:r>
              <w:rPr>
                <w:color w:val="000000"/>
              </w:rPr>
              <w:t>ques (</w:t>
            </w:r>
            <w:proofErr w:type="spellStart"/>
            <w:r>
              <w:rPr>
                <w:color w:val="000000"/>
              </w:rPr>
              <w:t>Venturi</w:t>
            </w:r>
            <w:proofErr w:type="spellEnd"/>
            <w:r>
              <w:rPr>
                <w:color w:val="000000"/>
              </w:rPr>
              <w:t xml:space="preserve"> and Orifice meters, Pitot tubes etc.).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8.1 – 8.11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Pages 98-108, 202-214</w:t>
            </w:r>
          </w:p>
        </w:tc>
      </w:tr>
      <w:tr w:rsidR="00722A1F">
        <w:trPr>
          <w:gridAfter w:val="1"/>
          <w:wAfter w:w="105" w:type="dxa"/>
          <w:jc w:val="center"/>
        </w:trPr>
        <w:tc>
          <w:tcPr>
            <w:tcW w:w="18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4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20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35-39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(M9)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External Incompressible Viscous flow (Flow over Flat Plates and Flow past Immersed bodies) and Associated effects.</w:t>
            </w:r>
          </w:p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Introduction to Compressible flow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Boundary layer concept; Boundary Layer thickness; Boundary layer formation and Separation;  Drag &amp; Streamli</w:t>
            </w:r>
            <w:r>
              <w:rPr>
                <w:color w:val="000000"/>
              </w:rPr>
              <w:t>ning; Flow through beds of solids; Compressible flow and the equations relevant.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9.1, 9.2, 9.7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Pages 60-65, 133-138; 155-167</w:t>
            </w:r>
          </w:p>
        </w:tc>
      </w:tr>
      <w:tr w:rsidR="00722A1F">
        <w:trPr>
          <w:jc w:val="center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722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(M10)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Agitation and Mixing of Liquids [Agitation and Mixing of Homogeneous Liquids, Liquid-Liquid, Gas-Liquid and Solid-Liquid Dispersions]</w:t>
            </w:r>
          </w:p>
        </w:tc>
        <w:tc>
          <w:tcPr>
            <w:tcW w:w="4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Agitated Vessels and Accessories; Flow patterns in Vessels, Velocity patterns and Gradients, Power Consumption; Blending &amp;</w:t>
            </w:r>
            <w:r>
              <w:rPr>
                <w:color w:val="000000"/>
              </w:rPr>
              <w:t xml:space="preserve"> Mixing, Static Mixers; Scale up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T2: Chap. 9</w:t>
            </w:r>
          </w:p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Pages 244-271</w:t>
            </w:r>
          </w:p>
        </w:tc>
      </w:tr>
    </w:tbl>
    <w:p w:rsidR="00722A1F" w:rsidRDefault="00722A1F">
      <w:pPr>
        <w:jc w:val="both"/>
      </w:pPr>
    </w:p>
    <w:p w:rsidR="00722A1F" w:rsidRDefault="00722A1F">
      <w:pPr>
        <w:jc w:val="both"/>
        <w:rPr>
          <w:b/>
        </w:rPr>
      </w:pPr>
    </w:p>
    <w:p w:rsidR="00722A1F" w:rsidRDefault="002652E4">
      <w:pPr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92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1350"/>
        <w:gridCol w:w="1440"/>
        <w:gridCol w:w="1710"/>
        <w:gridCol w:w="2487"/>
      </w:tblGrid>
      <w:tr w:rsidR="00722A1F">
        <w:trPr>
          <w:trHeight w:val="422"/>
          <w:jc w:val="center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722A1F" w:rsidRDefault="002652E4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722A1F">
        <w:trPr>
          <w:jc w:val="center"/>
        </w:trPr>
        <w:tc>
          <w:tcPr>
            <w:tcW w:w="2307" w:type="dxa"/>
          </w:tcPr>
          <w:p w:rsidR="00722A1F" w:rsidRDefault="002652E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Midsem</w:t>
            </w:r>
            <w:proofErr w:type="spellEnd"/>
            <w:r>
              <w:rPr>
                <w:color w:val="000000"/>
              </w:rPr>
              <w:t xml:space="preserve"> Test</w:t>
            </w:r>
          </w:p>
        </w:tc>
        <w:tc>
          <w:tcPr>
            <w:tcW w:w="135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 min</w:t>
            </w:r>
          </w:p>
        </w:tc>
        <w:tc>
          <w:tcPr>
            <w:tcW w:w="144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710" w:type="dxa"/>
          </w:tcPr>
          <w:p w:rsidR="00722A1F" w:rsidRDefault="00B608D7" w:rsidP="00B608D7">
            <w:pPr>
              <w:rPr>
                <w:sz w:val="20"/>
                <w:szCs w:val="20"/>
              </w:rPr>
            </w:pPr>
            <w:r>
              <w:rPr>
                <w:sz w:val="18"/>
              </w:rPr>
              <w:t xml:space="preserve">11/10 - 9.30 </w:t>
            </w:r>
            <w:r w:rsidRPr="00B608D7">
              <w:rPr>
                <w:sz w:val="18"/>
              </w:rPr>
              <w:t>11.00AM</w:t>
            </w:r>
          </w:p>
        </w:tc>
        <w:tc>
          <w:tcPr>
            <w:tcW w:w="248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  <w:tr w:rsidR="00722A1F">
        <w:trPr>
          <w:jc w:val="center"/>
        </w:trPr>
        <w:tc>
          <w:tcPr>
            <w:tcW w:w="230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Class Tests (min 2)</w:t>
            </w:r>
          </w:p>
        </w:tc>
        <w:tc>
          <w:tcPr>
            <w:tcW w:w="135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710" w:type="dxa"/>
          </w:tcPr>
          <w:p w:rsidR="00722A1F" w:rsidRDefault="00722A1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722A1F">
        <w:trPr>
          <w:jc w:val="center"/>
        </w:trPr>
        <w:tc>
          <w:tcPr>
            <w:tcW w:w="230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</w:t>
            </w:r>
          </w:p>
        </w:tc>
        <w:tc>
          <w:tcPr>
            <w:tcW w:w="135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710" w:type="dxa"/>
          </w:tcPr>
          <w:p w:rsidR="00722A1F" w:rsidRDefault="00722A1F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8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722A1F">
        <w:trPr>
          <w:jc w:val="center"/>
        </w:trPr>
        <w:tc>
          <w:tcPr>
            <w:tcW w:w="230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 Exam</w:t>
            </w:r>
          </w:p>
        </w:tc>
        <w:tc>
          <w:tcPr>
            <w:tcW w:w="135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hours</w:t>
            </w:r>
          </w:p>
        </w:tc>
        <w:tc>
          <w:tcPr>
            <w:tcW w:w="1440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1710" w:type="dxa"/>
          </w:tcPr>
          <w:p w:rsidR="00722A1F" w:rsidRDefault="00B608D7" w:rsidP="00B608D7">
            <w:pPr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t>12/12 FN</w:t>
            </w:r>
          </w:p>
        </w:tc>
        <w:tc>
          <w:tcPr>
            <w:tcW w:w="2487" w:type="dxa"/>
          </w:tcPr>
          <w:p w:rsidR="00722A1F" w:rsidRDefault="002652E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</w:tbl>
    <w:p w:rsidR="00722A1F" w:rsidRDefault="00722A1F">
      <w:pPr>
        <w:jc w:val="both"/>
      </w:pPr>
    </w:p>
    <w:p w:rsidR="00722A1F" w:rsidRDefault="00722A1F">
      <w:pPr>
        <w:jc w:val="both"/>
        <w:rPr>
          <w:b/>
        </w:rPr>
      </w:pPr>
    </w:p>
    <w:p w:rsidR="00722A1F" w:rsidRDefault="002652E4">
      <w:pPr>
        <w:jc w:val="both"/>
      </w:pPr>
      <w:r>
        <w:rPr>
          <w:b/>
        </w:rPr>
        <w:t>Chamber Consultation Hour:</w:t>
      </w:r>
      <w:r>
        <w:t xml:space="preserve"> To be </w:t>
      </w:r>
      <w:r>
        <w:rPr>
          <w:color w:val="000000"/>
        </w:rPr>
        <w:t>announced in the first class.</w:t>
      </w:r>
    </w:p>
    <w:p w:rsidR="00722A1F" w:rsidRDefault="00722A1F">
      <w:pPr>
        <w:jc w:val="both"/>
      </w:pPr>
    </w:p>
    <w:p w:rsidR="00722A1F" w:rsidRDefault="002652E4">
      <w:pPr>
        <w:jc w:val="both"/>
      </w:pPr>
      <w:r>
        <w:rPr>
          <w:b/>
        </w:rPr>
        <w:t>Notices:</w:t>
      </w:r>
      <w:r>
        <w:t xml:space="preserve"> To be </w:t>
      </w:r>
      <w:r>
        <w:rPr>
          <w:color w:val="000000"/>
        </w:rPr>
        <w:t>posted on CMS.</w:t>
      </w:r>
    </w:p>
    <w:p w:rsidR="00722A1F" w:rsidRDefault="00722A1F">
      <w:pPr>
        <w:jc w:val="both"/>
      </w:pPr>
    </w:p>
    <w:p w:rsidR="00722A1F" w:rsidRDefault="002652E4">
      <w:pPr>
        <w:jc w:val="both"/>
        <w:rPr>
          <w:color w:val="000000"/>
        </w:rPr>
      </w:pPr>
      <w:r>
        <w:rPr>
          <w:b/>
        </w:rPr>
        <w:t xml:space="preserve">Make-up Policy: </w:t>
      </w:r>
      <w:r>
        <w:rPr>
          <w:color w:val="000000"/>
        </w:rPr>
        <w:t xml:space="preserve">Granted for </w:t>
      </w:r>
      <w:r>
        <w:rPr>
          <w:color w:val="000000"/>
          <w:u w:val="single"/>
        </w:rPr>
        <w:t>genuine cases only</w:t>
      </w:r>
      <w:r>
        <w:rPr>
          <w:color w:val="000000"/>
        </w:rPr>
        <w:t xml:space="preserve">. </w:t>
      </w:r>
      <w:r>
        <w:rPr>
          <w:i/>
          <w:color w:val="000000"/>
        </w:rPr>
        <w:t>Prior permission of IC is compulsory.</w:t>
      </w:r>
    </w:p>
    <w:p w:rsidR="00722A1F" w:rsidRDefault="00722A1F">
      <w:pPr>
        <w:rPr>
          <w:b/>
          <w:highlight w:val="white"/>
        </w:rPr>
      </w:pPr>
    </w:p>
    <w:p w:rsidR="00722A1F" w:rsidRDefault="002652E4">
      <w:r>
        <w:rPr>
          <w:b/>
          <w:highlight w:val="white"/>
        </w:rPr>
        <w:t>Academic Honesty and Integrity Policy:</w:t>
      </w:r>
      <w:r>
        <w:rPr>
          <w:highlight w:val="white"/>
        </w:rPr>
        <w:t xml:space="preserve"> Academic honesty and integrity are to be maintained by all the students throughout the semester and no type of academic dishonesty is acceptable.</w:t>
      </w:r>
    </w:p>
    <w:p w:rsidR="00722A1F" w:rsidRDefault="00722A1F">
      <w:pPr>
        <w:jc w:val="both"/>
        <w:rPr>
          <w:color w:val="000000"/>
        </w:rPr>
      </w:pPr>
    </w:p>
    <w:p w:rsidR="00722A1F" w:rsidRDefault="00722A1F">
      <w:pPr>
        <w:jc w:val="both"/>
        <w:rPr>
          <w:b/>
        </w:rPr>
      </w:pPr>
    </w:p>
    <w:p w:rsidR="00722A1F" w:rsidRDefault="00722A1F">
      <w:pPr>
        <w:jc w:val="right"/>
      </w:pPr>
    </w:p>
    <w:p w:rsidR="00722A1F" w:rsidRDefault="00722A1F">
      <w:pPr>
        <w:jc w:val="right"/>
        <w:rPr>
          <w:b/>
        </w:rPr>
      </w:pPr>
    </w:p>
    <w:p w:rsidR="00722A1F" w:rsidRDefault="00722A1F">
      <w:pPr>
        <w:jc w:val="right"/>
        <w:rPr>
          <w:b/>
        </w:rPr>
      </w:pPr>
    </w:p>
    <w:p w:rsidR="00722A1F" w:rsidRDefault="00722A1F">
      <w:pPr>
        <w:jc w:val="right"/>
        <w:rPr>
          <w:b/>
        </w:rPr>
      </w:pPr>
    </w:p>
    <w:p w:rsidR="00722A1F" w:rsidRDefault="002652E4">
      <w:pPr>
        <w:jc w:val="right"/>
        <w:rPr>
          <w:b/>
        </w:rPr>
      </w:pPr>
      <w:r>
        <w:rPr>
          <w:b/>
        </w:rPr>
        <w:t xml:space="preserve"> INSTRUCTOR-IN-CHARGE</w:t>
      </w:r>
    </w:p>
    <w:p w:rsidR="00722A1F" w:rsidRDefault="002652E4">
      <w:pPr>
        <w:jc w:val="right"/>
        <w:rPr>
          <w:b/>
        </w:rPr>
      </w:pPr>
      <w:r>
        <w:rPr>
          <w:b/>
        </w:rPr>
        <w:t>CHE F212</w:t>
      </w:r>
    </w:p>
    <w:sectPr w:rsidR="00722A1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2E4" w:rsidRDefault="002652E4">
      <w:r>
        <w:separator/>
      </w:r>
    </w:p>
  </w:endnote>
  <w:endnote w:type="continuationSeparator" w:id="0">
    <w:p w:rsidR="002652E4" w:rsidRDefault="0026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A1F" w:rsidRDefault="002652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2E4" w:rsidRDefault="002652E4">
      <w:r>
        <w:separator/>
      </w:r>
    </w:p>
  </w:footnote>
  <w:footnote w:type="continuationSeparator" w:id="0">
    <w:p w:rsidR="002652E4" w:rsidRDefault="00265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2A1F" w:rsidRDefault="00722A1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5D82"/>
    <w:multiLevelType w:val="multilevel"/>
    <w:tmpl w:val="00AACEF0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5A3AF5"/>
    <w:multiLevelType w:val="multilevel"/>
    <w:tmpl w:val="01241A72"/>
    <w:lvl w:ilvl="0">
      <w:start w:val="1"/>
      <w:numFmt w:val="decimal"/>
      <w:lvlText w:val="R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3565E"/>
    <w:multiLevelType w:val="multilevel"/>
    <w:tmpl w:val="31EC8C5C"/>
    <w:lvl w:ilvl="0">
      <w:start w:val="1"/>
      <w:numFmt w:val="decimal"/>
      <w:lvlText w:val="T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1F"/>
    <w:rsid w:val="002652E4"/>
    <w:rsid w:val="00722A1F"/>
    <w:rsid w:val="00B6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500E"/>
  <w15:docId w15:val="{BB63F136-E536-4874-91D1-CEB003AD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D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319D1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7pzBo4B6hW290ksdXt4cRt/VkA==">CgMxLjA4AHIhMVFaQ2I3SXRlZktSSGtEWVZYZklsME50alUwakhob0cy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2017-07-26T04:50:00Z</dcterms:created>
  <dcterms:modified xsi:type="dcterms:W3CDTF">2023-08-10T05:32:00Z</dcterms:modified>
</cp:coreProperties>
</file>