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CC7" w:rsidRDefault="00D16E9D">
      <w:pPr>
        <w:jc w:val="center"/>
        <w:rPr>
          <w:b/>
        </w:rPr>
      </w:pPr>
      <w:r>
        <w:rPr>
          <w:b/>
          <w:noProof/>
          <w:lang w:val="en-IN"/>
        </w:rPr>
        <w:drawing>
          <wp:inline distT="0" distB="0" distL="0" distR="0">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861CC7" w:rsidRDefault="00D16E9D">
      <w:pPr>
        <w:jc w:val="center"/>
        <w:rPr>
          <w:b/>
        </w:rPr>
      </w:pPr>
      <w:r>
        <w:rPr>
          <w:b/>
        </w:rPr>
        <w:t>FIRST SEMESTER 2022-2023</w:t>
      </w:r>
    </w:p>
    <w:p w:rsidR="00861CC7" w:rsidRDefault="00D16E9D">
      <w:pPr>
        <w:pStyle w:val="Heading1"/>
        <w:jc w:val="center"/>
      </w:pPr>
      <w:r>
        <w:t>Course Handout Part II</w:t>
      </w:r>
    </w:p>
    <w:p w:rsidR="00861CC7" w:rsidRDefault="00D16E9D">
      <w:pPr>
        <w:jc w:val="right"/>
      </w:pPr>
      <w:r>
        <w:tab/>
      </w:r>
      <w:r>
        <w:tab/>
      </w:r>
      <w:r>
        <w:tab/>
      </w:r>
      <w:r>
        <w:tab/>
      </w:r>
      <w:r>
        <w:tab/>
      </w:r>
      <w:r>
        <w:tab/>
      </w:r>
      <w:r>
        <w:tab/>
      </w:r>
      <w:r>
        <w:tab/>
      </w:r>
      <w:r>
        <w:tab/>
      </w:r>
      <w:r>
        <w:tab/>
        <w:t xml:space="preserve">Date: </w:t>
      </w:r>
      <w:r w:rsidR="00F12387">
        <w:t>11</w:t>
      </w:r>
      <w:r>
        <w:t xml:space="preserve">-08-2023 </w:t>
      </w:r>
    </w:p>
    <w:p w:rsidR="00861CC7" w:rsidRDefault="00D16E9D">
      <w:pPr>
        <w:jc w:val="both"/>
      </w:pPr>
      <w:r>
        <w:t>In addition to part I (General Handout for all courses appended to the time table) this portion gives further specific details regarding the course.</w:t>
      </w:r>
    </w:p>
    <w:p w:rsidR="00861CC7" w:rsidRDefault="00861CC7">
      <w:pPr>
        <w:jc w:val="both"/>
      </w:pPr>
    </w:p>
    <w:p w:rsidR="00861CC7" w:rsidRDefault="00D16E9D">
      <w:pPr>
        <w:jc w:val="both"/>
      </w:pPr>
      <w:r>
        <w:rPr>
          <w:i/>
        </w:rPr>
        <w:t>Course No</w:t>
      </w:r>
      <w:r>
        <w:t>.</w:t>
      </w:r>
      <w:r>
        <w:tab/>
      </w:r>
      <w:r>
        <w:tab/>
      </w:r>
      <w:r>
        <w:tab/>
        <w:t>: HSS F325</w:t>
      </w:r>
    </w:p>
    <w:p w:rsidR="00861CC7" w:rsidRDefault="00D16E9D">
      <w:pPr>
        <w:jc w:val="both"/>
      </w:pPr>
      <w:r>
        <w:rPr>
          <w:i/>
        </w:rPr>
        <w:t>Course Title</w:t>
      </w:r>
      <w:r>
        <w:rPr>
          <w:i/>
        </w:rPr>
        <w:tab/>
      </w:r>
      <w:r>
        <w:rPr>
          <w:i/>
        </w:rPr>
        <w:tab/>
      </w:r>
      <w:r>
        <w:rPr>
          <w:i/>
        </w:rPr>
        <w:tab/>
      </w:r>
      <w:r>
        <w:t>: Cinematic Adaptation</w:t>
      </w:r>
    </w:p>
    <w:p w:rsidR="00861CC7" w:rsidRDefault="00D16E9D">
      <w:pPr>
        <w:jc w:val="both"/>
      </w:pPr>
      <w:r>
        <w:rPr>
          <w:i/>
        </w:rPr>
        <w:t>Instructor-in-charge</w:t>
      </w:r>
      <w:r>
        <w:rPr>
          <w:i/>
        </w:rPr>
        <w:tab/>
      </w:r>
      <w:r>
        <w:rPr>
          <w:i/>
        </w:rPr>
        <w:tab/>
      </w:r>
      <w:r>
        <w:t xml:space="preserve">: </w:t>
      </w:r>
      <w:proofErr w:type="spellStart"/>
      <w:r>
        <w:t>Shilpaa</w:t>
      </w:r>
      <w:proofErr w:type="spellEnd"/>
      <w:r>
        <w:t xml:space="preserve"> </w:t>
      </w:r>
      <w:proofErr w:type="spellStart"/>
      <w:r>
        <w:t>Anand</w:t>
      </w:r>
      <w:proofErr w:type="spellEnd"/>
      <w:r>
        <w:t xml:space="preserve"> </w:t>
      </w:r>
    </w:p>
    <w:p w:rsidR="00861CC7" w:rsidRDefault="00D16E9D">
      <w:pPr>
        <w:jc w:val="both"/>
        <w:rPr>
          <w:b/>
        </w:rPr>
      </w:pPr>
      <w:r>
        <w:rPr>
          <w:b/>
        </w:rPr>
        <w:tab/>
      </w:r>
    </w:p>
    <w:p w:rsidR="00861CC7" w:rsidRDefault="00D16E9D">
      <w:pPr>
        <w:spacing w:after="80"/>
        <w:jc w:val="both"/>
        <w:rPr>
          <w:b/>
        </w:rPr>
      </w:pPr>
      <w:r>
        <w:rPr>
          <w:b/>
        </w:rPr>
        <w:t xml:space="preserve">Scope and Objectives of the course: </w:t>
      </w:r>
    </w:p>
    <w:p w:rsidR="00861CC7" w:rsidRDefault="00D16E9D">
      <w:pPr>
        <w:jc w:val="both"/>
      </w:pPr>
      <w:r>
        <w:t>Cinematic adaptations of literary and popular texts are evaluated as being extraordinarily successful or resounding failures. Such evaluatio</w:t>
      </w:r>
      <w:r>
        <w:t xml:space="preserve">ns prioritize the textual medium over the filmic one. This course will enable students to think beyond such simplistic evaluations. Cinematic adaptation will be studied as a </w:t>
      </w:r>
      <w:r>
        <w:rPr>
          <w:i/>
        </w:rPr>
        <w:t>process</w:t>
      </w:r>
      <w:r>
        <w:t xml:space="preserve"> and not as a </w:t>
      </w:r>
      <w:r>
        <w:rPr>
          <w:i/>
        </w:rPr>
        <w:t>product</w:t>
      </w:r>
      <w:r>
        <w:t xml:space="preserve"> alone. Using seven case studies, the course introduce</w:t>
      </w:r>
      <w:r>
        <w:t>s students to the different historical contexts of film adaptations of literary texts and enables them to reflect on the aesthetics and politics of these different moments. In due course, we will study literary and cinematic genres as well as the interrela</w:t>
      </w:r>
      <w:r>
        <w:t xml:space="preserve">tions among them in the various cases of adaptation selected for study.  </w:t>
      </w:r>
    </w:p>
    <w:p w:rsidR="00861CC7" w:rsidRDefault="00D16E9D">
      <w:pPr>
        <w:jc w:val="both"/>
      </w:pPr>
      <w:r>
        <w:t xml:space="preserve"> The course will enable students to think about different aspects of cinematic adaptation such as: What motivates a cinematic adaptation of a literary or popular text? What are the m</w:t>
      </w:r>
      <w:r>
        <w:t>yriad of ways in which a text and its adaptation are related? What can we learn about the production and circulation of texts and their adaptations? Students will be introduced to theory and concepts related to cinematic adaptation such as ‘fidelity’, ‘int</w:t>
      </w:r>
      <w:r>
        <w:t xml:space="preserve">ertextuality’, ‘interpretation’, ‘translation’, ‘mutation’ and ‘temporality’ and acquire a suitable vocabulary with which to describe and discuss adaptations. </w:t>
      </w:r>
    </w:p>
    <w:p w:rsidR="00861CC7" w:rsidRDefault="00861CC7"/>
    <w:p w:rsidR="00861CC7" w:rsidRDefault="00D16E9D">
      <w:pPr>
        <w:spacing w:after="80"/>
        <w:jc w:val="both"/>
      </w:pPr>
      <w:r>
        <w:t>Objectives:</w:t>
      </w:r>
    </w:p>
    <w:p w:rsidR="00861CC7" w:rsidRDefault="00D16E9D">
      <w:pPr>
        <w:numPr>
          <w:ilvl w:val="0"/>
          <w:numId w:val="2"/>
        </w:numPr>
        <w:pBdr>
          <w:top w:val="nil"/>
          <w:left w:val="nil"/>
          <w:bottom w:val="nil"/>
          <w:right w:val="nil"/>
          <w:between w:val="nil"/>
        </w:pBdr>
        <w:spacing w:line="276" w:lineRule="auto"/>
        <w:jc w:val="both"/>
        <w:rPr>
          <w:color w:val="000000"/>
        </w:rPr>
      </w:pPr>
      <w:r>
        <w:rPr>
          <w:color w:val="000000"/>
        </w:rPr>
        <w:t xml:space="preserve">Observe and analyze adaptation of literary and popular texts into cinema. </w:t>
      </w:r>
    </w:p>
    <w:p w:rsidR="00861CC7" w:rsidRDefault="00D16E9D">
      <w:pPr>
        <w:numPr>
          <w:ilvl w:val="0"/>
          <w:numId w:val="2"/>
        </w:numPr>
        <w:pBdr>
          <w:top w:val="nil"/>
          <w:left w:val="nil"/>
          <w:bottom w:val="nil"/>
          <w:right w:val="nil"/>
          <w:between w:val="nil"/>
        </w:pBdr>
        <w:spacing w:line="276" w:lineRule="auto"/>
        <w:jc w:val="both"/>
        <w:rPr>
          <w:color w:val="000000"/>
        </w:rPr>
      </w:pPr>
      <w:r>
        <w:rPr>
          <w:color w:val="000000"/>
        </w:rPr>
        <w:t>Write ab</w:t>
      </w:r>
      <w:r>
        <w:rPr>
          <w:color w:val="000000"/>
        </w:rPr>
        <w:t xml:space="preserve">out cinematic adaptations using conceptual vocabulary. </w:t>
      </w:r>
    </w:p>
    <w:p w:rsidR="00861CC7" w:rsidRDefault="00D16E9D">
      <w:pPr>
        <w:numPr>
          <w:ilvl w:val="0"/>
          <w:numId w:val="2"/>
        </w:numPr>
        <w:pBdr>
          <w:top w:val="nil"/>
          <w:left w:val="nil"/>
          <w:bottom w:val="nil"/>
          <w:right w:val="nil"/>
          <w:between w:val="nil"/>
        </w:pBdr>
        <w:spacing w:after="80" w:line="276" w:lineRule="auto"/>
        <w:jc w:val="both"/>
        <w:rPr>
          <w:color w:val="000000"/>
        </w:rPr>
      </w:pPr>
      <w:r>
        <w:rPr>
          <w:color w:val="000000"/>
        </w:rPr>
        <w:t xml:space="preserve">Become aware of historical trends in cinematic adaptation of various texts. </w:t>
      </w:r>
    </w:p>
    <w:p w:rsidR="00861CC7" w:rsidRDefault="00861CC7">
      <w:pPr>
        <w:pBdr>
          <w:top w:val="nil"/>
          <w:left w:val="nil"/>
          <w:bottom w:val="nil"/>
          <w:right w:val="nil"/>
          <w:between w:val="nil"/>
        </w:pBdr>
        <w:spacing w:after="80" w:line="276" w:lineRule="auto"/>
        <w:ind w:left="720"/>
        <w:jc w:val="both"/>
        <w:rPr>
          <w:color w:val="000000"/>
        </w:rPr>
      </w:pPr>
    </w:p>
    <w:p w:rsidR="00861CC7" w:rsidRDefault="00D16E9D">
      <w:pPr>
        <w:spacing w:after="80"/>
        <w:jc w:val="both"/>
        <w:rPr>
          <w:b/>
        </w:rPr>
      </w:pPr>
      <w:r>
        <w:rPr>
          <w:b/>
        </w:rPr>
        <w:t xml:space="preserve">List of Readings: </w:t>
      </w:r>
    </w:p>
    <w:p w:rsidR="00861CC7" w:rsidRDefault="00D16E9D">
      <w:pPr>
        <w:numPr>
          <w:ilvl w:val="0"/>
          <w:numId w:val="1"/>
        </w:numPr>
        <w:spacing w:after="80"/>
        <w:jc w:val="both"/>
      </w:pPr>
      <w:r>
        <w:t xml:space="preserve">Bhattacharya, </w:t>
      </w:r>
      <w:proofErr w:type="spellStart"/>
      <w:r>
        <w:t>Debaditya</w:t>
      </w:r>
      <w:proofErr w:type="spellEnd"/>
      <w:r>
        <w:t xml:space="preserve">. 2022. ‘Understanding Debates Around Adaptation Theory in Cinema’ in </w:t>
      </w:r>
      <w:r>
        <w:rPr>
          <w:i/>
        </w:rPr>
        <w:t>Film Studies: An Introduction</w:t>
      </w:r>
      <w:r>
        <w:t xml:space="preserve">, edited by </w:t>
      </w:r>
      <w:proofErr w:type="spellStart"/>
      <w:r>
        <w:t>Vebhuti</w:t>
      </w:r>
      <w:proofErr w:type="spellEnd"/>
      <w:r>
        <w:t xml:space="preserve"> Duggal, </w:t>
      </w:r>
      <w:proofErr w:type="spellStart"/>
      <w:r>
        <w:t>Bindu</w:t>
      </w:r>
      <w:proofErr w:type="spellEnd"/>
      <w:r>
        <w:t xml:space="preserve"> Menon and </w:t>
      </w:r>
      <w:proofErr w:type="spellStart"/>
      <w:r>
        <w:t>Spandan</w:t>
      </w:r>
      <w:proofErr w:type="spellEnd"/>
      <w:r>
        <w:t xml:space="preserve"> Bhattacharya. Delhi: Worldview.</w:t>
      </w:r>
    </w:p>
    <w:p w:rsidR="00861CC7" w:rsidRDefault="00D16E9D">
      <w:pPr>
        <w:numPr>
          <w:ilvl w:val="0"/>
          <w:numId w:val="1"/>
        </w:numPr>
        <w:spacing w:after="80"/>
        <w:jc w:val="both"/>
      </w:pPr>
      <w:proofErr w:type="spellStart"/>
      <w:r>
        <w:t>Chakravorty</w:t>
      </w:r>
      <w:proofErr w:type="spellEnd"/>
      <w:r>
        <w:t xml:space="preserve">, </w:t>
      </w:r>
      <w:proofErr w:type="spellStart"/>
      <w:r>
        <w:t>Mrinalini</w:t>
      </w:r>
      <w:proofErr w:type="spellEnd"/>
      <w:r>
        <w:t xml:space="preserve">. 2012. ‘Picturing The Postmaster: Tagore, Ray, and the Making of an Uncanny Modernity’. </w:t>
      </w:r>
      <w:r>
        <w:rPr>
          <w:i/>
        </w:rPr>
        <w:t>Framework</w:t>
      </w:r>
      <w:r>
        <w:t xml:space="preserve"> 53:1, 117-146.</w:t>
      </w:r>
    </w:p>
    <w:p w:rsidR="00861CC7" w:rsidRDefault="00D16E9D">
      <w:pPr>
        <w:numPr>
          <w:ilvl w:val="0"/>
          <w:numId w:val="1"/>
        </w:numPr>
        <w:spacing w:after="80"/>
        <w:jc w:val="both"/>
      </w:pPr>
      <w:r>
        <w:t>Corriga</w:t>
      </w:r>
      <w:r>
        <w:t>n, Timothy. ‘Defining Adaptation’ in The Oxford Handbook of Adaptation Studies. Oxford: Oxford University Press, Chapter 1.</w:t>
      </w:r>
    </w:p>
    <w:p w:rsidR="00861CC7" w:rsidRDefault="00D16E9D">
      <w:pPr>
        <w:numPr>
          <w:ilvl w:val="0"/>
          <w:numId w:val="1"/>
        </w:numPr>
        <w:spacing w:after="80"/>
        <w:jc w:val="both"/>
      </w:pPr>
      <w:r>
        <w:lastRenderedPageBreak/>
        <w:t xml:space="preserve">Dix, Andrew. 2016. ‘Film and Authorship’ in </w:t>
      </w:r>
      <w:r>
        <w:rPr>
          <w:i/>
        </w:rPr>
        <w:t>Beginning Film Studies</w:t>
      </w:r>
      <w:r>
        <w:t xml:space="preserve"> (Second Edition). Manchester: Manchester University Press. </w:t>
      </w:r>
    </w:p>
    <w:p w:rsidR="00861CC7" w:rsidRDefault="00D16E9D">
      <w:pPr>
        <w:numPr>
          <w:ilvl w:val="0"/>
          <w:numId w:val="1"/>
        </w:numPr>
        <w:spacing w:after="80"/>
        <w:jc w:val="both"/>
      </w:pPr>
      <w:r>
        <w:t>Grigg</w:t>
      </w:r>
      <w:r>
        <w:t xml:space="preserve">s, Yvonne.2016. ‘An Introduction to Adaptation Studies and the Canon’ in </w:t>
      </w:r>
      <w:r>
        <w:rPr>
          <w:i/>
        </w:rPr>
        <w:t>The Bloomsbury Introduction to Adaptation Studies</w:t>
      </w:r>
      <w:r>
        <w:t>. London: Bloomsbury.</w:t>
      </w:r>
    </w:p>
    <w:p w:rsidR="00861CC7" w:rsidRDefault="00D16E9D">
      <w:pPr>
        <w:numPr>
          <w:ilvl w:val="0"/>
          <w:numId w:val="1"/>
        </w:numPr>
        <w:spacing w:after="80"/>
        <w:jc w:val="both"/>
      </w:pPr>
      <w:r>
        <w:t xml:space="preserve">Johnson, David T. 2017. ‘Adaptation and Fidelity’ in </w:t>
      </w:r>
      <w:r>
        <w:rPr>
          <w:i/>
        </w:rPr>
        <w:t>The Oxford Handbook of Adaptation Studies</w:t>
      </w:r>
      <w:r>
        <w:t>. Oxford: Oxford U</w:t>
      </w:r>
      <w:r>
        <w:t>niversity Press, Chapter 5.</w:t>
      </w:r>
    </w:p>
    <w:p w:rsidR="00861CC7" w:rsidRDefault="00D16E9D">
      <w:pPr>
        <w:numPr>
          <w:ilvl w:val="0"/>
          <w:numId w:val="1"/>
        </w:numPr>
        <w:spacing w:after="80"/>
        <w:jc w:val="both"/>
      </w:pPr>
      <w:r>
        <w:t xml:space="preserve">Kramer, Lucia. 2017. ‘Adaptation in Bollywood’ in </w:t>
      </w:r>
      <w:r>
        <w:rPr>
          <w:i/>
        </w:rPr>
        <w:t>The Oxford Handbook of Adaptation Studies</w:t>
      </w:r>
      <w:r>
        <w:t>. Oxford: Oxford University Press, Chapter 14.</w:t>
      </w:r>
    </w:p>
    <w:p w:rsidR="00861CC7" w:rsidRDefault="00D16E9D">
      <w:pPr>
        <w:numPr>
          <w:ilvl w:val="0"/>
          <w:numId w:val="1"/>
        </w:numPr>
        <w:spacing w:after="80"/>
        <w:jc w:val="both"/>
      </w:pPr>
      <w:r>
        <w:t xml:space="preserve">Lake, Diane. 2012. ‘Adapting the Unadaptable – The Screenwriter’s Perspective’ in </w:t>
      </w:r>
      <w:r>
        <w:rPr>
          <w:i/>
        </w:rPr>
        <w:t>A Compan</w:t>
      </w:r>
      <w:r>
        <w:rPr>
          <w:i/>
        </w:rPr>
        <w:t>ion to Literature, Film and Adaptation</w:t>
      </w:r>
      <w:r>
        <w:t xml:space="preserve">, edited by Deborah </w:t>
      </w:r>
      <w:proofErr w:type="spellStart"/>
      <w:r>
        <w:t>Cartmell</w:t>
      </w:r>
      <w:proofErr w:type="spellEnd"/>
      <w:r>
        <w:t xml:space="preserve">. </w:t>
      </w:r>
      <w:proofErr w:type="spellStart"/>
      <w:proofErr w:type="gramStart"/>
      <w:r>
        <w:t>Malden:Wiley</w:t>
      </w:r>
      <w:proofErr w:type="gramEnd"/>
      <w:r>
        <w:t>-Blackwell</w:t>
      </w:r>
      <w:proofErr w:type="spellEnd"/>
      <w:r>
        <w:t>, 408-415.</w:t>
      </w:r>
    </w:p>
    <w:p w:rsidR="00861CC7" w:rsidRDefault="00D16E9D">
      <w:pPr>
        <w:numPr>
          <w:ilvl w:val="0"/>
          <w:numId w:val="1"/>
        </w:numPr>
        <w:spacing w:after="80"/>
        <w:jc w:val="both"/>
      </w:pPr>
      <w:r>
        <w:t xml:space="preserve">Leitch, Thomas. 2012. ‘Adaptation and Intertextuality, or, </w:t>
      </w:r>
      <w:proofErr w:type="gramStart"/>
      <w:r>
        <w:t>What</w:t>
      </w:r>
      <w:proofErr w:type="gramEnd"/>
      <w:r>
        <w:t xml:space="preserve"> isn’t an Adaptation and What Does it Matter?’ in </w:t>
      </w:r>
      <w:r>
        <w:rPr>
          <w:i/>
        </w:rPr>
        <w:t>A Companion to Literature, Film and Adapta</w:t>
      </w:r>
      <w:r>
        <w:rPr>
          <w:i/>
        </w:rPr>
        <w:t>tion</w:t>
      </w:r>
      <w:r>
        <w:t xml:space="preserve">, edited by Deborah </w:t>
      </w:r>
      <w:proofErr w:type="spellStart"/>
      <w:r>
        <w:t>Cartmell</w:t>
      </w:r>
      <w:proofErr w:type="spellEnd"/>
      <w:r>
        <w:t xml:space="preserve">. </w:t>
      </w:r>
      <w:proofErr w:type="spellStart"/>
      <w:proofErr w:type="gramStart"/>
      <w:r>
        <w:t>Malden:Wiley</w:t>
      </w:r>
      <w:proofErr w:type="gramEnd"/>
      <w:r>
        <w:t>-Blackwell</w:t>
      </w:r>
      <w:proofErr w:type="spellEnd"/>
      <w:r>
        <w:t>, 87-104.</w:t>
      </w:r>
    </w:p>
    <w:p w:rsidR="00861CC7" w:rsidRDefault="00D16E9D">
      <w:pPr>
        <w:numPr>
          <w:ilvl w:val="0"/>
          <w:numId w:val="1"/>
        </w:numPr>
        <w:spacing w:after="80"/>
        <w:jc w:val="both"/>
      </w:pPr>
      <w:r>
        <w:t xml:space="preserve">Murray, Simone. 2012. ‘The Business of Adaptation: Reading the Market’ in </w:t>
      </w:r>
      <w:r>
        <w:rPr>
          <w:i/>
        </w:rPr>
        <w:t>A Companion to Literature, Film and Adaptation</w:t>
      </w:r>
      <w:r>
        <w:t xml:space="preserve">, edited by Deborah </w:t>
      </w:r>
      <w:proofErr w:type="spellStart"/>
      <w:r>
        <w:t>Cartmell</w:t>
      </w:r>
      <w:proofErr w:type="spellEnd"/>
      <w:r>
        <w:t>. Malden: Wiley-Blackwell, 122-139.</w:t>
      </w:r>
    </w:p>
    <w:p w:rsidR="00861CC7" w:rsidRDefault="00D16E9D">
      <w:pPr>
        <w:numPr>
          <w:ilvl w:val="0"/>
          <w:numId w:val="1"/>
        </w:numPr>
        <w:spacing w:after="80"/>
        <w:jc w:val="both"/>
      </w:pPr>
      <w:r>
        <w:t xml:space="preserve">Ryan, </w:t>
      </w:r>
      <w:r>
        <w:t xml:space="preserve">Marie-Laure. 2017. ‘Transmedia Storytelling as Narrative Practice’ </w:t>
      </w:r>
      <w:r>
        <w:rPr>
          <w:i/>
        </w:rPr>
        <w:t>in The Oxford Handbook of Adaptation Studies</w:t>
      </w:r>
      <w:r>
        <w:t xml:space="preserve">. Oxford: Oxford University Press, Chapter 30. </w:t>
      </w:r>
    </w:p>
    <w:p w:rsidR="00861CC7" w:rsidRDefault="00D16E9D">
      <w:pPr>
        <w:numPr>
          <w:ilvl w:val="0"/>
          <w:numId w:val="1"/>
        </w:numPr>
        <w:spacing w:after="80"/>
        <w:jc w:val="both"/>
      </w:pPr>
      <w:proofErr w:type="spellStart"/>
      <w:r>
        <w:t>Stam</w:t>
      </w:r>
      <w:proofErr w:type="spellEnd"/>
      <w:r>
        <w:t xml:space="preserve">, Robert. 2000. ‘Beyond Fidelity: The </w:t>
      </w:r>
      <w:proofErr w:type="spellStart"/>
      <w:r>
        <w:t>Dialogics</w:t>
      </w:r>
      <w:proofErr w:type="spellEnd"/>
      <w:r>
        <w:t xml:space="preserve"> of Adaptation’ in </w:t>
      </w:r>
      <w:r>
        <w:rPr>
          <w:i/>
        </w:rPr>
        <w:t>Film Adaptation</w:t>
      </w:r>
      <w:r>
        <w:t xml:space="preserve">, edited by James </w:t>
      </w:r>
      <w:proofErr w:type="spellStart"/>
      <w:r>
        <w:t>Naremore</w:t>
      </w:r>
      <w:proofErr w:type="spellEnd"/>
      <w:r>
        <w:t>. New Jersey: Rutgers University Press, 54-75.</w:t>
      </w:r>
    </w:p>
    <w:p w:rsidR="00861CC7" w:rsidRDefault="00D16E9D">
      <w:pPr>
        <w:numPr>
          <w:ilvl w:val="0"/>
          <w:numId w:val="1"/>
        </w:numPr>
        <w:spacing w:after="80"/>
        <w:jc w:val="both"/>
      </w:pPr>
      <w:proofErr w:type="spellStart"/>
      <w:r>
        <w:t>Tribble</w:t>
      </w:r>
      <w:proofErr w:type="spellEnd"/>
      <w:r>
        <w:t xml:space="preserve">, Evelyn. 2005. ‘‘‘When Every Noise Appalls Me’’: Sound and Fear in Macbeth and Akira Kurosawa’s Throne of Blood’. </w:t>
      </w:r>
      <w:r>
        <w:rPr>
          <w:i/>
        </w:rPr>
        <w:t>Shakespeare</w:t>
      </w:r>
      <w:r>
        <w:t>, 1:1-2, 75-90.</w:t>
      </w:r>
    </w:p>
    <w:p w:rsidR="00861CC7" w:rsidRDefault="00861CC7">
      <w:pPr>
        <w:spacing w:after="80"/>
        <w:jc w:val="both"/>
      </w:pPr>
    </w:p>
    <w:p w:rsidR="00861CC7" w:rsidRDefault="00D16E9D">
      <w:pPr>
        <w:spacing w:after="80"/>
        <w:jc w:val="both"/>
        <w:rPr>
          <w:b/>
        </w:rPr>
      </w:pPr>
      <w:r>
        <w:rPr>
          <w:b/>
        </w:rPr>
        <w:t xml:space="preserve">Reference Books:   </w:t>
      </w:r>
    </w:p>
    <w:p w:rsidR="00861CC7" w:rsidRDefault="00D16E9D">
      <w:pPr>
        <w:numPr>
          <w:ilvl w:val="0"/>
          <w:numId w:val="3"/>
        </w:numPr>
        <w:pBdr>
          <w:top w:val="nil"/>
          <w:left w:val="nil"/>
          <w:bottom w:val="nil"/>
          <w:right w:val="nil"/>
          <w:between w:val="nil"/>
        </w:pBdr>
        <w:jc w:val="both"/>
      </w:pPr>
      <w:r>
        <w:rPr>
          <w:color w:val="000000"/>
        </w:rPr>
        <w:t>Oxford Handbo</w:t>
      </w:r>
      <w:r>
        <w:rPr>
          <w:color w:val="000000"/>
        </w:rPr>
        <w:t xml:space="preserve">ok of Adaptation Studies by Thomas </w:t>
      </w:r>
      <w:proofErr w:type="spellStart"/>
      <w:r>
        <w:rPr>
          <w:color w:val="000000"/>
        </w:rPr>
        <w:t>Leicht</w:t>
      </w:r>
      <w:proofErr w:type="spellEnd"/>
      <w:r>
        <w:rPr>
          <w:color w:val="000000"/>
        </w:rPr>
        <w:t xml:space="preserve"> (2017, Oxford)</w:t>
      </w:r>
    </w:p>
    <w:p w:rsidR="00861CC7" w:rsidRDefault="00D16E9D">
      <w:pPr>
        <w:numPr>
          <w:ilvl w:val="0"/>
          <w:numId w:val="3"/>
        </w:numPr>
        <w:pBdr>
          <w:top w:val="nil"/>
          <w:left w:val="nil"/>
          <w:bottom w:val="nil"/>
          <w:right w:val="nil"/>
          <w:between w:val="nil"/>
        </w:pBdr>
        <w:jc w:val="both"/>
      </w:pPr>
      <w:r>
        <w:rPr>
          <w:i/>
          <w:color w:val="000000"/>
        </w:rPr>
        <w:t>The Literature Film Reader: Issues of Adaptation</w:t>
      </w:r>
      <w:r>
        <w:rPr>
          <w:color w:val="000000"/>
        </w:rPr>
        <w:t xml:space="preserve"> Edited by James M. Welsh and Peter Lev (2007, Scarecrow Press)</w:t>
      </w:r>
    </w:p>
    <w:p w:rsidR="00861CC7" w:rsidRDefault="00D16E9D">
      <w:pPr>
        <w:numPr>
          <w:ilvl w:val="0"/>
          <w:numId w:val="3"/>
        </w:numPr>
        <w:pBdr>
          <w:top w:val="nil"/>
          <w:left w:val="nil"/>
          <w:bottom w:val="nil"/>
          <w:right w:val="nil"/>
          <w:between w:val="nil"/>
        </w:pBdr>
      </w:pPr>
      <w:r>
        <w:rPr>
          <w:color w:val="000000"/>
        </w:rPr>
        <w:t xml:space="preserve">A Companion to Literature, Film and Adaptation Edited by Deborah </w:t>
      </w:r>
      <w:proofErr w:type="spellStart"/>
      <w:r>
        <w:rPr>
          <w:color w:val="000000"/>
        </w:rPr>
        <w:t>Cartmell</w:t>
      </w:r>
      <w:proofErr w:type="spellEnd"/>
      <w:r>
        <w:rPr>
          <w:color w:val="000000"/>
        </w:rPr>
        <w:t xml:space="preserve"> (2012, Wiley </w:t>
      </w:r>
      <w:r>
        <w:rPr>
          <w:color w:val="000000"/>
        </w:rPr>
        <w:t>Blackwell)</w:t>
      </w:r>
    </w:p>
    <w:p w:rsidR="00861CC7" w:rsidRDefault="00D16E9D">
      <w:pPr>
        <w:numPr>
          <w:ilvl w:val="0"/>
          <w:numId w:val="3"/>
        </w:numPr>
        <w:pBdr>
          <w:top w:val="nil"/>
          <w:left w:val="nil"/>
          <w:bottom w:val="nil"/>
          <w:right w:val="nil"/>
          <w:between w:val="nil"/>
        </w:pBdr>
      </w:pPr>
      <w:r>
        <w:rPr>
          <w:color w:val="000000"/>
        </w:rPr>
        <w:t>The Bloomsbury Introduction to Adaptation Studies by Yvonne Griggs (2016, Bloomsbury)</w:t>
      </w:r>
    </w:p>
    <w:p w:rsidR="00861CC7" w:rsidRDefault="00861CC7">
      <w:pPr>
        <w:spacing w:after="80"/>
        <w:jc w:val="both"/>
        <w:rPr>
          <w:b/>
        </w:rPr>
      </w:pPr>
    </w:p>
    <w:p w:rsidR="00861CC7" w:rsidRDefault="00D16E9D">
      <w:pPr>
        <w:spacing w:after="80"/>
        <w:jc w:val="both"/>
        <w:rPr>
          <w:b/>
        </w:rPr>
      </w:pPr>
      <w:r>
        <w:rPr>
          <w:b/>
        </w:rPr>
        <w:t xml:space="preserve"> Course Plan:</w:t>
      </w:r>
    </w:p>
    <w:tbl>
      <w:tblPr>
        <w:tblStyle w:val="a1"/>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018"/>
        <w:gridCol w:w="3827"/>
        <w:gridCol w:w="1349"/>
      </w:tblGrid>
      <w:tr w:rsidR="00861CC7">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61CC7" w:rsidRDefault="00D16E9D">
            <w:pPr>
              <w:jc w:val="center"/>
              <w:rPr>
                <w:b/>
              </w:rPr>
            </w:pPr>
            <w:r>
              <w:rPr>
                <w:b/>
              </w:rPr>
              <w:t>Lecture No.</w:t>
            </w:r>
          </w:p>
        </w:tc>
        <w:tc>
          <w:tcPr>
            <w:tcW w:w="301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61CC7" w:rsidRDefault="00D16E9D">
            <w:pPr>
              <w:jc w:val="center"/>
              <w:rPr>
                <w:b/>
              </w:rPr>
            </w:pPr>
            <w:r>
              <w:rPr>
                <w:b/>
              </w:rPr>
              <w:t>Learning objectives</w:t>
            </w:r>
          </w:p>
        </w:tc>
        <w:tc>
          <w:tcPr>
            <w:tcW w:w="382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61CC7" w:rsidRDefault="00D16E9D">
            <w:pPr>
              <w:jc w:val="center"/>
              <w:rPr>
                <w:b/>
              </w:rPr>
            </w:pPr>
            <w:r>
              <w:rPr>
                <w:b/>
              </w:rPr>
              <w:t>Topics to be covered</w:t>
            </w:r>
          </w:p>
        </w:tc>
        <w:tc>
          <w:tcPr>
            <w:tcW w:w="134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61CC7" w:rsidRDefault="00D16E9D">
            <w:pPr>
              <w:jc w:val="center"/>
              <w:rPr>
                <w:b/>
              </w:rPr>
            </w:pPr>
            <w:r>
              <w:rPr>
                <w:b/>
              </w:rPr>
              <w:t>Chapter in the Text Book</w:t>
            </w:r>
          </w:p>
        </w:tc>
      </w:tr>
      <w:tr w:rsidR="00861CC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1</w:t>
            </w:r>
          </w:p>
        </w:tc>
        <w:tc>
          <w:tcPr>
            <w:tcW w:w="3018" w:type="dxa"/>
            <w:tcBorders>
              <w:top w:val="single" w:sz="6" w:space="0" w:color="000000"/>
              <w:left w:val="single" w:sz="6" w:space="0" w:color="000000"/>
              <w:bottom w:val="single" w:sz="6" w:space="0" w:color="000000"/>
              <w:right w:val="single" w:sz="6" w:space="0" w:color="000000"/>
            </w:tcBorders>
            <w:vAlign w:val="center"/>
          </w:tcPr>
          <w:p w:rsidR="00861CC7" w:rsidRDefault="00D16E9D">
            <w:r>
              <w:t xml:space="preserve">Comprehend course objectives and material and logistics of online classroom </w:t>
            </w:r>
          </w:p>
        </w:tc>
        <w:tc>
          <w:tcPr>
            <w:tcW w:w="3827"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Course objectives, textbook and reference books</w:t>
            </w:r>
          </w:p>
        </w:tc>
        <w:tc>
          <w:tcPr>
            <w:tcW w:w="1349"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Course Handout</w:t>
            </w:r>
          </w:p>
        </w:tc>
      </w:tr>
      <w:tr w:rsidR="00861CC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2-3</w:t>
            </w:r>
          </w:p>
        </w:tc>
        <w:tc>
          <w:tcPr>
            <w:tcW w:w="3018" w:type="dxa"/>
            <w:tcBorders>
              <w:top w:val="single" w:sz="6" w:space="0" w:color="000000"/>
              <w:left w:val="single" w:sz="6" w:space="0" w:color="000000"/>
              <w:bottom w:val="single" w:sz="6" w:space="0" w:color="000000"/>
              <w:right w:val="single" w:sz="6" w:space="0" w:color="000000"/>
            </w:tcBorders>
            <w:vAlign w:val="center"/>
          </w:tcPr>
          <w:p w:rsidR="00861CC7" w:rsidRDefault="00D16E9D">
            <w:r>
              <w:t>Acquaint oneself with the pros and cons of comparing literary texts and films; Acquire a conceptual vocabulary to discuss adaptations</w:t>
            </w:r>
          </w:p>
        </w:tc>
        <w:tc>
          <w:tcPr>
            <w:tcW w:w="3827"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Theme: the problem of ‘fidelity’; ‘</w:t>
            </w:r>
            <w:proofErr w:type="spellStart"/>
            <w:r>
              <w:t>hypotext</w:t>
            </w:r>
            <w:proofErr w:type="spellEnd"/>
            <w:r>
              <w:t>’ and ‘hypertext’</w:t>
            </w:r>
          </w:p>
          <w:p w:rsidR="00861CC7" w:rsidRDefault="00861CC7">
            <w:pPr>
              <w:jc w:val="center"/>
            </w:pPr>
          </w:p>
          <w:p w:rsidR="00861CC7" w:rsidRDefault="00861CC7">
            <w:pPr>
              <w:jc w:val="center"/>
            </w:pPr>
          </w:p>
        </w:tc>
        <w:tc>
          <w:tcPr>
            <w:tcW w:w="1349"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3, 6, 12</w:t>
            </w:r>
          </w:p>
          <w:p w:rsidR="00861CC7" w:rsidRDefault="00D16E9D">
            <w:pPr>
              <w:jc w:val="center"/>
            </w:pPr>
            <w:r>
              <w:t xml:space="preserve">[from the </w:t>
            </w:r>
            <w:r>
              <w:rPr>
                <w:i/>
              </w:rPr>
              <w:t>List of Readings</w:t>
            </w:r>
            <w:r>
              <w:t>]</w:t>
            </w:r>
          </w:p>
        </w:tc>
      </w:tr>
      <w:tr w:rsidR="00861CC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lastRenderedPageBreak/>
              <w:t>4-6</w:t>
            </w:r>
          </w:p>
        </w:tc>
        <w:tc>
          <w:tcPr>
            <w:tcW w:w="3018" w:type="dxa"/>
            <w:tcBorders>
              <w:top w:val="single" w:sz="6" w:space="0" w:color="000000"/>
              <w:left w:val="single" w:sz="6" w:space="0" w:color="000000"/>
              <w:bottom w:val="single" w:sz="6" w:space="0" w:color="000000"/>
              <w:right w:val="single" w:sz="6" w:space="0" w:color="000000"/>
            </w:tcBorders>
            <w:vAlign w:val="center"/>
          </w:tcPr>
          <w:p w:rsidR="00861CC7" w:rsidRDefault="00D16E9D">
            <w:r>
              <w:t>Critically reflec</w:t>
            </w:r>
            <w:r>
              <w:t>t on the idea: cinema as an extension of literature</w:t>
            </w:r>
          </w:p>
        </w:tc>
        <w:tc>
          <w:tcPr>
            <w:tcW w:w="3827"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 xml:space="preserve">CASE 1: D. W. Griffiths and the cinematic adaptation of Victorian poetry. </w:t>
            </w:r>
          </w:p>
          <w:p w:rsidR="00861CC7" w:rsidRDefault="00D16E9D">
            <w:pPr>
              <w:jc w:val="center"/>
            </w:pPr>
            <w:r>
              <w:t xml:space="preserve">Theme: Literary debates on the emergence of cinema </w:t>
            </w:r>
          </w:p>
          <w:p w:rsidR="00861CC7" w:rsidRDefault="00861CC7">
            <w:pPr>
              <w:jc w:val="center"/>
            </w:pPr>
          </w:p>
        </w:tc>
        <w:tc>
          <w:tcPr>
            <w:tcW w:w="1349"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5</w:t>
            </w:r>
          </w:p>
        </w:tc>
      </w:tr>
      <w:tr w:rsidR="00861CC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7-9</w:t>
            </w:r>
          </w:p>
        </w:tc>
        <w:tc>
          <w:tcPr>
            <w:tcW w:w="3018" w:type="dxa"/>
            <w:tcBorders>
              <w:top w:val="single" w:sz="6" w:space="0" w:color="000000"/>
              <w:left w:val="single" w:sz="6" w:space="0" w:color="000000"/>
              <w:bottom w:val="single" w:sz="6" w:space="0" w:color="000000"/>
              <w:right w:val="single" w:sz="6" w:space="0" w:color="000000"/>
            </w:tcBorders>
            <w:vAlign w:val="center"/>
          </w:tcPr>
          <w:p w:rsidR="00861CC7" w:rsidRDefault="00D16E9D">
            <w:r>
              <w:t xml:space="preserve"> Consider and discuss debates on cinema as distinct from literature a</w:t>
            </w:r>
            <w:r>
              <w:t>nd as an independent medium</w:t>
            </w:r>
          </w:p>
        </w:tc>
        <w:tc>
          <w:tcPr>
            <w:tcW w:w="3827"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 xml:space="preserve">CASE 2: French and Italian new wave cinema </w:t>
            </w:r>
          </w:p>
          <w:p w:rsidR="00861CC7" w:rsidRDefault="00D16E9D">
            <w:pPr>
              <w:jc w:val="center"/>
            </w:pPr>
            <w:r>
              <w:t>Theme: Cinema and the essentials of the cinematic text; authorship and auteur cinema</w:t>
            </w:r>
          </w:p>
          <w:p w:rsidR="00861CC7" w:rsidRDefault="00861CC7">
            <w:pPr>
              <w:jc w:val="center"/>
            </w:pPr>
          </w:p>
        </w:tc>
        <w:tc>
          <w:tcPr>
            <w:tcW w:w="1349"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4</w:t>
            </w:r>
          </w:p>
        </w:tc>
      </w:tr>
      <w:tr w:rsidR="00861CC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10-12</w:t>
            </w:r>
          </w:p>
        </w:tc>
        <w:tc>
          <w:tcPr>
            <w:tcW w:w="3018" w:type="dxa"/>
            <w:tcBorders>
              <w:top w:val="single" w:sz="6" w:space="0" w:color="000000"/>
              <w:left w:val="single" w:sz="6" w:space="0" w:color="000000"/>
              <w:bottom w:val="single" w:sz="6" w:space="0" w:color="000000"/>
              <w:right w:val="single" w:sz="6" w:space="0" w:color="000000"/>
            </w:tcBorders>
            <w:vAlign w:val="center"/>
          </w:tcPr>
          <w:p w:rsidR="00861CC7" w:rsidRDefault="00D16E9D">
            <w:r>
              <w:t xml:space="preserve">Study variations in the contexts and circulation of Shakespeare adaptations. </w:t>
            </w:r>
          </w:p>
        </w:tc>
        <w:tc>
          <w:tcPr>
            <w:tcW w:w="3827"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 xml:space="preserve">CASE 3: Shakespeare adaptations Theme: Cross-cultural adaptations; adaptation as translation </w:t>
            </w:r>
          </w:p>
          <w:p w:rsidR="00861CC7" w:rsidRDefault="00861CC7">
            <w:pPr>
              <w:jc w:val="center"/>
            </w:pPr>
          </w:p>
        </w:tc>
        <w:tc>
          <w:tcPr>
            <w:tcW w:w="1349"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7, 13</w:t>
            </w:r>
          </w:p>
        </w:tc>
      </w:tr>
      <w:tr w:rsidR="00861CC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20-24</w:t>
            </w:r>
          </w:p>
        </w:tc>
        <w:tc>
          <w:tcPr>
            <w:tcW w:w="3018" w:type="dxa"/>
            <w:tcBorders>
              <w:top w:val="single" w:sz="6" w:space="0" w:color="000000"/>
              <w:left w:val="single" w:sz="6" w:space="0" w:color="000000"/>
              <w:bottom w:val="single" w:sz="6" w:space="0" w:color="000000"/>
              <w:right w:val="single" w:sz="6" w:space="0" w:color="000000"/>
            </w:tcBorders>
            <w:vAlign w:val="center"/>
          </w:tcPr>
          <w:p w:rsidR="00861CC7" w:rsidRDefault="00D16E9D">
            <w:r>
              <w:t xml:space="preserve">Observe and discuss experiments in adaptations </w:t>
            </w:r>
          </w:p>
        </w:tc>
        <w:tc>
          <w:tcPr>
            <w:tcW w:w="3827"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 xml:space="preserve">CASE 4: Alfred Hitchcock, </w:t>
            </w:r>
            <w:proofErr w:type="spellStart"/>
            <w:r>
              <w:t>Satyajit</w:t>
            </w:r>
            <w:proofErr w:type="spellEnd"/>
            <w:r>
              <w:t xml:space="preserve"> Ray and Mani </w:t>
            </w:r>
            <w:proofErr w:type="spellStart"/>
            <w:r>
              <w:t>Kaul</w:t>
            </w:r>
            <w:proofErr w:type="spellEnd"/>
            <w:r>
              <w:t xml:space="preserve"> </w:t>
            </w:r>
          </w:p>
          <w:p w:rsidR="00861CC7" w:rsidRDefault="00D16E9D">
            <w:pPr>
              <w:jc w:val="center"/>
            </w:pPr>
            <w:r>
              <w:t>Theme: Trends in novel and short story adaptat</w:t>
            </w:r>
            <w:r>
              <w:t>ions in different cinematic contexts between the 1950s and 1970s</w:t>
            </w:r>
          </w:p>
          <w:p w:rsidR="00861CC7" w:rsidRDefault="00861CC7">
            <w:pPr>
              <w:jc w:val="center"/>
            </w:pPr>
          </w:p>
        </w:tc>
        <w:tc>
          <w:tcPr>
            <w:tcW w:w="1349"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1,2</w:t>
            </w:r>
          </w:p>
        </w:tc>
      </w:tr>
      <w:tr w:rsidR="00861CC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25-27</w:t>
            </w:r>
          </w:p>
        </w:tc>
        <w:tc>
          <w:tcPr>
            <w:tcW w:w="3018" w:type="dxa"/>
            <w:tcBorders>
              <w:top w:val="single" w:sz="6" w:space="0" w:color="000000"/>
              <w:left w:val="single" w:sz="6" w:space="0" w:color="000000"/>
              <w:bottom w:val="single" w:sz="6" w:space="0" w:color="000000"/>
              <w:right w:val="single" w:sz="6" w:space="0" w:color="000000"/>
            </w:tcBorders>
            <w:vAlign w:val="center"/>
          </w:tcPr>
          <w:p w:rsidR="00861CC7" w:rsidRDefault="00D16E9D">
            <w:r>
              <w:t>Study instances of writers who wrote for the stage and the screen</w:t>
            </w:r>
          </w:p>
        </w:tc>
        <w:tc>
          <w:tcPr>
            <w:tcW w:w="3827"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 xml:space="preserve">CASE 5: Harold Pinter Vijay Tendulkar and Nora Ephron </w:t>
            </w:r>
          </w:p>
          <w:p w:rsidR="00861CC7" w:rsidRDefault="00D16E9D">
            <w:pPr>
              <w:jc w:val="center"/>
            </w:pPr>
            <w:r>
              <w:t>Theme: aspects of screen-play writing</w:t>
            </w:r>
          </w:p>
          <w:p w:rsidR="00861CC7" w:rsidRDefault="00861CC7">
            <w:pPr>
              <w:jc w:val="center"/>
            </w:pPr>
          </w:p>
        </w:tc>
        <w:tc>
          <w:tcPr>
            <w:tcW w:w="1349"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8</w:t>
            </w:r>
          </w:p>
        </w:tc>
      </w:tr>
      <w:tr w:rsidR="00861CC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28-35</w:t>
            </w:r>
          </w:p>
        </w:tc>
        <w:tc>
          <w:tcPr>
            <w:tcW w:w="3018" w:type="dxa"/>
            <w:tcBorders>
              <w:top w:val="single" w:sz="6" w:space="0" w:color="000000"/>
              <w:left w:val="single" w:sz="6" w:space="0" w:color="000000"/>
              <w:bottom w:val="single" w:sz="6" w:space="0" w:color="000000"/>
              <w:right w:val="single" w:sz="6" w:space="0" w:color="000000"/>
            </w:tcBorders>
            <w:vAlign w:val="center"/>
          </w:tcPr>
          <w:p w:rsidR="00861CC7" w:rsidRDefault="00D16E9D">
            <w:r>
              <w:t xml:space="preserve">Discuss adaptations as </w:t>
            </w:r>
            <w:proofErr w:type="spellStart"/>
            <w:r>
              <w:t>intertexts</w:t>
            </w:r>
            <w:proofErr w:type="spellEnd"/>
          </w:p>
        </w:tc>
        <w:tc>
          <w:tcPr>
            <w:tcW w:w="3827"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CASE 6: Adapting myths and epics</w:t>
            </w:r>
          </w:p>
          <w:p w:rsidR="00861CC7" w:rsidRDefault="00D16E9D">
            <w:pPr>
              <w:jc w:val="center"/>
            </w:pPr>
            <w:r>
              <w:t xml:space="preserve">Theme: Intertextuality and </w:t>
            </w:r>
            <w:proofErr w:type="spellStart"/>
            <w:r>
              <w:t>intermediality</w:t>
            </w:r>
            <w:proofErr w:type="spellEnd"/>
          </w:p>
          <w:p w:rsidR="00861CC7" w:rsidRDefault="00861CC7">
            <w:pPr>
              <w:jc w:val="center"/>
            </w:pPr>
          </w:p>
        </w:tc>
        <w:tc>
          <w:tcPr>
            <w:tcW w:w="1349"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9, 11</w:t>
            </w:r>
          </w:p>
        </w:tc>
      </w:tr>
      <w:tr w:rsidR="00861CC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36 -38</w:t>
            </w:r>
          </w:p>
        </w:tc>
        <w:tc>
          <w:tcPr>
            <w:tcW w:w="3018" w:type="dxa"/>
            <w:tcBorders>
              <w:top w:val="single" w:sz="6" w:space="0" w:color="000000"/>
              <w:left w:val="single" w:sz="6" w:space="0" w:color="000000"/>
              <w:bottom w:val="single" w:sz="6" w:space="0" w:color="000000"/>
              <w:right w:val="single" w:sz="6" w:space="0" w:color="000000"/>
            </w:tcBorders>
            <w:vAlign w:val="center"/>
          </w:tcPr>
          <w:p w:rsidR="00861CC7" w:rsidRDefault="00D16E9D">
            <w:r>
              <w:t>Reflect on new media spaces and trends in cinematic adaptations</w:t>
            </w:r>
          </w:p>
          <w:p w:rsidR="00861CC7" w:rsidRDefault="00861CC7"/>
        </w:tc>
        <w:tc>
          <w:tcPr>
            <w:tcW w:w="3827"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CASE 7: Adaptations and the OTT platforms</w:t>
            </w:r>
          </w:p>
        </w:tc>
        <w:tc>
          <w:tcPr>
            <w:tcW w:w="1349"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10,11</w:t>
            </w:r>
          </w:p>
        </w:tc>
      </w:tr>
      <w:tr w:rsidR="00861CC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61CC7" w:rsidRDefault="00D16E9D">
            <w:pPr>
              <w:jc w:val="center"/>
            </w:pPr>
            <w:r>
              <w:t>39-40</w:t>
            </w:r>
          </w:p>
        </w:tc>
        <w:tc>
          <w:tcPr>
            <w:tcW w:w="3018" w:type="dxa"/>
            <w:tcBorders>
              <w:top w:val="single" w:sz="6" w:space="0" w:color="000000"/>
              <w:left w:val="single" w:sz="6" w:space="0" w:color="000000"/>
              <w:bottom w:val="single" w:sz="6" w:space="0" w:color="000000"/>
              <w:right w:val="single" w:sz="6" w:space="0" w:color="000000"/>
            </w:tcBorders>
            <w:vAlign w:val="center"/>
          </w:tcPr>
          <w:p w:rsidR="00861CC7" w:rsidRDefault="00D16E9D">
            <w:r>
              <w:t>Revise the course content</w:t>
            </w:r>
          </w:p>
        </w:tc>
        <w:tc>
          <w:tcPr>
            <w:tcW w:w="3827" w:type="dxa"/>
            <w:tcBorders>
              <w:top w:val="single" w:sz="6" w:space="0" w:color="000000"/>
              <w:left w:val="single" w:sz="6" w:space="0" w:color="000000"/>
              <w:bottom w:val="single" w:sz="6" w:space="0" w:color="000000"/>
              <w:right w:val="single" w:sz="6" w:space="0" w:color="000000"/>
            </w:tcBorders>
            <w:vAlign w:val="center"/>
          </w:tcPr>
          <w:p w:rsidR="00861CC7" w:rsidRDefault="00861CC7">
            <w:pPr>
              <w:jc w:val="center"/>
            </w:pPr>
          </w:p>
          <w:p w:rsidR="00861CC7" w:rsidRDefault="00D16E9D">
            <w:pPr>
              <w:jc w:val="center"/>
            </w:pPr>
            <w:r>
              <w:t xml:space="preserve">All themes and concepts. </w:t>
            </w:r>
          </w:p>
          <w:p w:rsidR="00861CC7" w:rsidRDefault="00861CC7">
            <w:pPr>
              <w:jc w:val="center"/>
            </w:pPr>
          </w:p>
        </w:tc>
        <w:tc>
          <w:tcPr>
            <w:tcW w:w="1349" w:type="dxa"/>
            <w:tcBorders>
              <w:top w:val="single" w:sz="6" w:space="0" w:color="000000"/>
              <w:left w:val="single" w:sz="6" w:space="0" w:color="000000"/>
              <w:bottom w:val="single" w:sz="6" w:space="0" w:color="000000"/>
              <w:right w:val="single" w:sz="6" w:space="0" w:color="000000"/>
            </w:tcBorders>
            <w:vAlign w:val="center"/>
          </w:tcPr>
          <w:p w:rsidR="00861CC7" w:rsidRDefault="00861CC7">
            <w:pPr>
              <w:jc w:val="center"/>
            </w:pPr>
          </w:p>
        </w:tc>
      </w:tr>
    </w:tbl>
    <w:p w:rsidR="00861CC7" w:rsidRDefault="00861CC7">
      <w:pPr>
        <w:rPr>
          <w:b/>
        </w:rPr>
      </w:pPr>
    </w:p>
    <w:p w:rsidR="00861CC7" w:rsidRDefault="00D16E9D">
      <w:pPr>
        <w:rPr>
          <w:b/>
        </w:rPr>
      </w:pPr>
      <w:r>
        <w:rPr>
          <w:b/>
        </w:rPr>
        <w:t xml:space="preserve"> Evaluation Scheme:</w:t>
      </w:r>
    </w:p>
    <w:p w:rsidR="00861CC7" w:rsidRDefault="00861CC7"/>
    <w:tbl>
      <w:tblPr>
        <w:tblStyle w:val="a2"/>
        <w:tblW w:w="936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422"/>
        <w:gridCol w:w="1728"/>
        <w:gridCol w:w="1980"/>
        <w:gridCol w:w="2160"/>
      </w:tblGrid>
      <w:tr w:rsidR="00861CC7">
        <w:tc>
          <w:tcPr>
            <w:tcW w:w="2070" w:type="dxa"/>
            <w:shd w:val="clear" w:color="auto" w:fill="BFBFBF"/>
          </w:tcPr>
          <w:p w:rsidR="00861CC7" w:rsidRDefault="00D16E9D">
            <w:pPr>
              <w:jc w:val="center"/>
              <w:rPr>
                <w:rFonts w:ascii="Times New Roman" w:eastAsia="Times New Roman" w:hAnsi="Times New Roman" w:cs="Times New Roman"/>
                <w:b/>
              </w:rPr>
            </w:pPr>
            <w:r>
              <w:rPr>
                <w:rFonts w:ascii="Times New Roman" w:eastAsia="Times New Roman" w:hAnsi="Times New Roman" w:cs="Times New Roman"/>
                <w:b/>
              </w:rPr>
              <w:t>Component</w:t>
            </w:r>
          </w:p>
        </w:tc>
        <w:tc>
          <w:tcPr>
            <w:tcW w:w="1422" w:type="dxa"/>
            <w:shd w:val="clear" w:color="auto" w:fill="BFBFBF"/>
          </w:tcPr>
          <w:p w:rsidR="00861CC7" w:rsidRDefault="00D16E9D">
            <w:pPr>
              <w:rPr>
                <w:rFonts w:ascii="Times New Roman" w:eastAsia="Times New Roman" w:hAnsi="Times New Roman" w:cs="Times New Roman"/>
                <w:b/>
              </w:rPr>
            </w:pPr>
            <w:r>
              <w:rPr>
                <w:rFonts w:ascii="Times New Roman" w:eastAsia="Times New Roman" w:hAnsi="Times New Roman" w:cs="Times New Roman"/>
                <w:b/>
              </w:rPr>
              <w:t>Duration</w:t>
            </w:r>
          </w:p>
        </w:tc>
        <w:tc>
          <w:tcPr>
            <w:tcW w:w="1728" w:type="dxa"/>
            <w:shd w:val="clear" w:color="auto" w:fill="BFBFBF"/>
          </w:tcPr>
          <w:p w:rsidR="00861CC7" w:rsidRDefault="00D16E9D">
            <w:pPr>
              <w:jc w:val="center"/>
              <w:rPr>
                <w:rFonts w:ascii="Times New Roman" w:eastAsia="Times New Roman" w:hAnsi="Times New Roman" w:cs="Times New Roman"/>
                <w:b/>
              </w:rPr>
            </w:pPr>
            <w:r>
              <w:rPr>
                <w:rFonts w:ascii="Times New Roman" w:eastAsia="Times New Roman" w:hAnsi="Times New Roman" w:cs="Times New Roman"/>
                <w:b/>
              </w:rPr>
              <w:t>Weighting (%)</w:t>
            </w:r>
          </w:p>
        </w:tc>
        <w:tc>
          <w:tcPr>
            <w:tcW w:w="1980" w:type="dxa"/>
            <w:shd w:val="clear" w:color="auto" w:fill="BFBFBF"/>
          </w:tcPr>
          <w:p w:rsidR="00861CC7" w:rsidRDefault="00D16E9D">
            <w:pPr>
              <w:jc w:val="center"/>
              <w:rPr>
                <w:rFonts w:ascii="Times New Roman" w:eastAsia="Times New Roman" w:hAnsi="Times New Roman" w:cs="Times New Roman"/>
                <w:b/>
              </w:rPr>
            </w:pPr>
            <w:r>
              <w:rPr>
                <w:rFonts w:ascii="Times New Roman" w:eastAsia="Times New Roman" w:hAnsi="Times New Roman" w:cs="Times New Roman"/>
                <w:b/>
              </w:rPr>
              <w:t>Date &amp; Time</w:t>
            </w:r>
          </w:p>
        </w:tc>
        <w:tc>
          <w:tcPr>
            <w:tcW w:w="2160" w:type="dxa"/>
            <w:shd w:val="clear" w:color="auto" w:fill="BFBFBF"/>
          </w:tcPr>
          <w:p w:rsidR="00861CC7" w:rsidRDefault="00D16E9D">
            <w:pPr>
              <w:jc w:val="center"/>
              <w:rPr>
                <w:rFonts w:ascii="Times New Roman" w:eastAsia="Times New Roman" w:hAnsi="Times New Roman" w:cs="Times New Roman"/>
                <w:b/>
              </w:rPr>
            </w:pPr>
            <w:r>
              <w:rPr>
                <w:rFonts w:ascii="Times New Roman" w:eastAsia="Times New Roman" w:hAnsi="Times New Roman" w:cs="Times New Roman"/>
                <w:b/>
              </w:rPr>
              <w:t>Nature of component</w:t>
            </w:r>
          </w:p>
        </w:tc>
      </w:tr>
      <w:tr w:rsidR="00861CC7">
        <w:tc>
          <w:tcPr>
            <w:tcW w:w="2070" w:type="dxa"/>
          </w:tcPr>
          <w:p w:rsidR="00861CC7" w:rsidRDefault="00D16E9D">
            <w:pP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 1&amp; 2</w:t>
            </w:r>
          </w:p>
        </w:tc>
        <w:tc>
          <w:tcPr>
            <w:tcW w:w="1422" w:type="dxa"/>
          </w:tcPr>
          <w:p w:rsidR="00861CC7" w:rsidRDefault="00D16E9D">
            <w:pPr>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c>
          <w:tcPr>
            <w:tcW w:w="1728" w:type="dxa"/>
          </w:tcPr>
          <w:p w:rsidR="00861CC7" w:rsidRDefault="00D16E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980" w:type="dxa"/>
          </w:tcPr>
          <w:p w:rsidR="00861CC7" w:rsidRDefault="00D16E9D">
            <w:pPr>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c>
          <w:tcPr>
            <w:tcW w:w="2160" w:type="dxa"/>
          </w:tcPr>
          <w:p w:rsidR="00861CC7" w:rsidRDefault="00D16E9D">
            <w:pP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p w:rsidR="00861CC7" w:rsidRDefault="00861CC7">
            <w:pPr>
              <w:rPr>
                <w:rFonts w:ascii="Times New Roman" w:eastAsia="Times New Roman" w:hAnsi="Times New Roman" w:cs="Times New Roman"/>
                <w:sz w:val="24"/>
                <w:szCs w:val="24"/>
              </w:rPr>
            </w:pPr>
          </w:p>
        </w:tc>
      </w:tr>
      <w:tr w:rsidR="00861CC7">
        <w:tc>
          <w:tcPr>
            <w:tcW w:w="2070" w:type="dxa"/>
          </w:tcPr>
          <w:p w:rsidR="00861CC7" w:rsidRDefault="00D16E9D">
            <w:pPr>
              <w:rPr>
                <w:rFonts w:ascii="Times New Roman" w:eastAsia="Times New Roman" w:hAnsi="Times New Roman" w:cs="Times New Roman"/>
                <w:sz w:val="24"/>
                <w:szCs w:val="24"/>
              </w:rPr>
            </w:pPr>
            <w:r>
              <w:rPr>
                <w:rFonts w:ascii="Times New Roman" w:eastAsia="Times New Roman" w:hAnsi="Times New Roman" w:cs="Times New Roman"/>
                <w:sz w:val="24"/>
                <w:szCs w:val="24"/>
              </w:rPr>
              <w:t>Mid-Semester Test</w:t>
            </w:r>
          </w:p>
        </w:tc>
        <w:tc>
          <w:tcPr>
            <w:tcW w:w="1422" w:type="dxa"/>
          </w:tcPr>
          <w:p w:rsidR="00861CC7" w:rsidRDefault="00D16E9D">
            <w:pPr>
              <w:rPr>
                <w:rFonts w:ascii="Times New Roman" w:eastAsia="Times New Roman" w:hAnsi="Times New Roman" w:cs="Times New Roman"/>
                <w:sz w:val="24"/>
                <w:szCs w:val="24"/>
              </w:rPr>
            </w:pPr>
            <w:r>
              <w:rPr>
                <w:rFonts w:ascii="Times New Roman" w:eastAsia="Times New Roman" w:hAnsi="Times New Roman" w:cs="Times New Roman"/>
                <w:sz w:val="24"/>
                <w:szCs w:val="24"/>
              </w:rPr>
              <w:t>90 minutes</w:t>
            </w:r>
          </w:p>
        </w:tc>
        <w:tc>
          <w:tcPr>
            <w:tcW w:w="1728" w:type="dxa"/>
          </w:tcPr>
          <w:p w:rsidR="00861CC7" w:rsidRDefault="00D16E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980" w:type="dxa"/>
          </w:tcPr>
          <w:p w:rsidR="00861CC7" w:rsidRDefault="00F12387">
            <w:pPr>
              <w:rPr>
                <w:rFonts w:ascii="Times New Roman" w:eastAsia="Times New Roman" w:hAnsi="Times New Roman" w:cs="Times New Roman"/>
                <w:sz w:val="24"/>
                <w:szCs w:val="24"/>
              </w:rPr>
            </w:pPr>
            <w:r>
              <w:t>11/10 - 11.30 - 1.00PM</w:t>
            </w:r>
          </w:p>
        </w:tc>
        <w:tc>
          <w:tcPr>
            <w:tcW w:w="2160" w:type="dxa"/>
          </w:tcPr>
          <w:p w:rsidR="00861CC7" w:rsidRDefault="00D16E9D">
            <w:pPr>
              <w:rPr>
                <w:rFonts w:ascii="Times New Roman" w:eastAsia="Times New Roman" w:hAnsi="Times New Roman" w:cs="Times New Roman"/>
                <w:sz w:val="24"/>
                <w:szCs w:val="24"/>
              </w:rPr>
            </w:pPr>
            <w:r>
              <w:rPr>
                <w:rFonts w:ascii="Times New Roman" w:eastAsia="Times New Roman" w:hAnsi="Times New Roman" w:cs="Times New Roman"/>
                <w:sz w:val="24"/>
                <w:szCs w:val="24"/>
              </w:rPr>
              <w:t>Closed Book</w:t>
            </w:r>
          </w:p>
          <w:p w:rsidR="00861CC7" w:rsidRDefault="00861CC7">
            <w:pPr>
              <w:rPr>
                <w:rFonts w:ascii="Times New Roman" w:eastAsia="Times New Roman" w:hAnsi="Times New Roman" w:cs="Times New Roman"/>
                <w:sz w:val="24"/>
                <w:szCs w:val="24"/>
              </w:rPr>
            </w:pPr>
          </w:p>
          <w:p w:rsidR="00861CC7" w:rsidRDefault="00861CC7">
            <w:pPr>
              <w:rPr>
                <w:rFonts w:ascii="Times New Roman" w:eastAsia="Times New Roman" w:hAnsi="Times New Roman" w:cs="Times New Roman"/>
                <w:sz w:val="24"/>
                <w:szCs w:val="24"/>
              </w:rPr>
            </w:pPr>
          </w:p>
        </w:tc>
      </w:tr>
      <w:tr w:rsidR="00861CC7">
        <w:tc>
          <w:tcPr>
            <w:tcW w:w="2070" w:type="dxa"/>
          </w:tcPr>
          <w:p w:rsidR="00861CC7" w:rsidRDefault="00D16E9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Comprehensive Exam</w:t>
            </w:r>
          </w:p>
        </w:tc>
        <w:tc>
          <w:tcPr>
            <w:tcW w:w="1422" w:type="dxa"/>
          </w:tcPr>
          <w:p w:rsidR="00861CC7" w:rsidRDefault="00D16E9D">
            <w:pPr>
              <w:rPr>
                <w:rFonts w:ascii="Times New Roman" w:eastAsia="Times New Roman" w:hAnsi="Times New Roman" w:cs="Times New Roman"/>
                <w:sz w:val="24"/>
                <w:szCs w:val="24"/>
              </w:rPr>
            </w:pPr>
            <w:r>
              <w:rPr>
                <w:rFonts w:ascii="Times New Roman" w:eastAsia="Times New Roman" w:hAnsi="Times New Roman" w:cs="Times New Roman"/>
                <w:sz w:val="24"/>
                <w:szCs w:val="24"/>
              </w:rPr>
              <w:t>3 hours</w:t>
            </w:r>
          </w:p>
        </w:tc>
        <w:tc>
          <w:tcPr>
            <w:tcW w:w="1728" w:type="dxa"/>
          </w:tcPr>
          <w:p w:rsidR="00861CC7" w:rsidRDefault="00D16E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980" w:type="dxa"/>
          </w:tcPr>
          <w:p w:rsidR="00861CC7" w:rsidRDefault="00D16E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12387">
              <w:t>12/12 AN</w:t>
            </w:r>
            <w:bookmarkStart w:id="0" w:name="_GoBack"/>
            <w:bookmarkEnd w:id="0"/>
          </w:p>
        </w:tc>
        <w:tc>
          <w:tcPr>
            <w:tcW w:w="2160" w:type="dxa"/>
          </w:tcPr>
          <w:p w:rsidR="00861CC7" w:rsidRDefault="00861CC7">
            <w:pPr>
              <w:rPr>
                <w:rFonts w:ascii="Times New Roman" w:eastAsia="Times New Roman" w:hAnsi="Times New Roman" w:cs="Times New Roman"/>
                <w:sz w:val="24"/>
                <w:szCs w:val="24"/>
              </w:rPr>
            </w:pPr>
          </w:p>
          <w:p w:rsidR="00861CC7" w:rsidRDefault="00D16E9D">
            <w:pPr>
              <w:rPr>
                <w:rFonts w:ascii="Times New Roman" w:eastAsia="Times New Roman" w:hAnsi="Times New Roman" w:cs="Times New Roman"/>
                <w:sz w:val="24"/>
                <w:szCs w:val="24"/>
              </w:rPr>
            </w:pPr>
            <w:r>
              <w:rPr>
                <w:rFonts w:ascii="Times New Roman" w:eastAsia="Times New Roman" w:hAnsi="Times New Roman" w:cs="Times New Roman"/>
                <w:sz w:val="24"/>
                <w:szCs w:val="24"/>
              </w:rPr>
              <w:t>Closed Book</w:t>
            </w:r>
          </w:p>
        </w:tc>
      </w:tr>
    </w:tbl>
    <w:p w:rsidR="00861CC7" w:rsidRDefault="00861CC7">
      <w:pPr>
        <w:rPr>
          <w:b/>
        </w:rPr>
      </w:pPr>
    </w:p>
    <w:p w:rsidR="00861CC7" w:rsidRDefault="00D16E9D">
      <w:pPr>
        <w:rPr>
          <w:b/>
        </w:rPr>
      </w:pPr>
      <w:r>
        <w:rPr>
          <w:b/>
        </w:rPr>
        <w:t xml:space="preserve">Chamber Consultation Hours: </w:t>
      </w:r>
      <w:r>
        <w:t>To be announced in class and on CMS.</w:t>
      </w:r>
    </w:p>
    <w:p w:rsidR="00861CC7" w:rsidRDefault="00861CC7"/>
    <w:p w:rsidR="00861CC7" w:rsidRDefault="00D16E9D">
      <w:r>
        <w:rPr>
          <w:b/>
        </w:rPr>
        <w:t xml:space="preserve">Notices: </w:t>
      </w:r>
      <w:r>
        <w:t xml:space="preserve">Notices concerning the course will be displayed on CMS or other online teaching platform as notified. </w:t>
      </w:r>
    </w:p>
    <w:p w:rsidR="00861CC7" w:rsidRDefault="00861CC7"/>
    <w:p w:rsidR="00861CC7" w:rsidRDefault="00D16E9D">
      <w:pPr>
        <w:jc w:val="both"/>
        <w:rPr>
          <w:b/>
        </w:rPr>
      </w:pPr>
      <w:r>
        <w:rPr>
          <w:b/>
        </w:rPr>
        <w:t xml:space="preserve">Make-up Policy: </w:t>
      </w:r>
      <w:r>
        <w:t>Make-up exams and make-up assignments will be granted due to medical reasons if students have prior clearance from institute authorities and if students have informed the instructor beforehand. If a student has an extraordinary situation th</w:t>
      </w:r>
      <w:r>
        <w:t xml:space="preserve">at does not allow him/her to appear/ for the examination/submit an assignment, the student is responsible for intimating the matter to the instructor at the earliest. </w:t>
      </w:r>
    </w:p>
    <w:p w:rsidR="00861CC7" w:rsidRDefault="00861CC7"/>
    <w:p w:rsidR="00861CC7" w:rsidRDefault="00D16E9D">
      <w:pPr>
        <w:ind w:left="180" w:right="-540"/>
        <w:jc w:val="both"/>
      </w:pPr>
      <w:r>
        <w:rPr>
          <w:b/>
        </w:rPr>
        <w:t>Academic Honesty and Integrity Policy</w:t>
      </w:r>
      <w:r>
        <w:t xml:space="preserve">: </w:t>
      </w:r>
    </w:p>
    <w:p w:rsidR="00861CC7" w:rsidRDefault="00D16E9D">
      <w:pPr>
        <w:ind w:left="180"/>
        <w:jc w:val="both"/>
      </w:pPr>
      <w:r>
        <w:t>Academic honesty and integrity are to be mainta</w:t>
      </w:r>
      <w:r>
        <w:t>ined by all the students throughout the semester and no type of academic dishonesty is acceptable.</w:t>
      </w:r>
    </w:p>
    <w:p w:rsidR="00861CC7" w:rsidRDefault="00861CC7">
      <w:pPr>
        <w:spacing w:after="120"/>
        <w:jc w:val="both"/>
      </w:pPr>
    </w:p>
    <w:p w:rsidR="00861CC7" w:rsidRDefault="00861CC7"/>
    <w:p w:rsidR="00861CC7" w:rsidRDefault="00D16E9D">
      <w:pPr>
        <w:jc w:val="right"/>
      </w:pPr>
      <w:proofErr w:type="spellStart"/>
      <w:r>
        <w:t>Shilpaa</w:t>
      </w:r>
      <w:proofErr w:type="spellEnd"/>
      <w:r>
        <w:t xml:space="preserve"> </w:t>
      </w:r>
      <w:proofErr w:type="spellStart"/>
      <w:r>
        <w:t>Anand</w:t>
      </w:r>
      <w:proofErr w:type="spellEnd"/>
    </w:p>
    <w:p w:rsidR="00861CC7" w:rsidRDefault="00D16E9D">
      <w:pPr>
        <w:jc w:val="right"/>
        <w:rPr>
          <w:b/>
        </w:rPr>
      </w:pPr>
      <w:r>
        <w:rPr>
          <w:b/>
        </w:rPr>
        <w:t>INSTRUCTOR-IN-CHARGE</w:t>
      </w:r>
    </w:p>
    <w:sectPr w:rsidR="00861CC7">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E9D" w:rsidRDefault="00D16E9D">
      <w:r>
        <w:separator/>
      </w:r>
    </w:p>
  </w:endnote>
  <w:endnote w:type="continuationSeparator" w:id="0">
    <w:p w:rsidR="00D16E9D" w:rsidRDefault="00D16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CC7" w:rsidRDefault="00D16E9D">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E9D" w:rsidRDefault="00D16E9D">
      <w:r>
        <w:separator/>
      </w:r>
    </w:p>
  </w:footnote>
  <w:footnote w:type="continuationSeparator" w:id="0">
    <w:p w:rsidR="00D16E9D" w:rsidRDefault="00D16E9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CC7" w:rsidRDefault="00861CC7">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F1458"/>
    <w:multiLevelType w:val="multilevel"/>
    <w:tmpl w:val="49000456"/>
    <w:lvl w:ilvl="0">
      <w:start w:val="4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22D2DB6"/>
    <w:multiLevelType w:val="multilevel"/>
    <w:tmpl w:val="C186E8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F51379A"/>
    <w:multiLevelType w:val="multilevel"/>
    <w:tmpl w:val="888A9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CC7"/>
    <w:rsid w:val="00861CC7"/>
    <w:rsid w:val="00D16E9D"/>
    <w:rsid w:val="00F12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A664"/>
  <w15:docId w15:val="{7B866F73-B786-4AFC-9169-194E0CA9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outlineLvl w:val="0"/>
    </w:pPr>
    <w:rPr>
      <w:u w:val="single"/>
    </w:rPr>
  </w:style>
  <w:style w:type="paragraph" w:styleId="Heading2">
    <w:name w:val="heading 2"/>
    <w:basedOn w:val="Normal"/>
    <w:next w:val="Normal"/>
    <w:uiPriority w:val="9"/>
    <w:semiHidden/>
    <w:unhideWhenUsed/>
    <w:qFormat/>
    <w:pPr>
      <w:keepNext/>
      <w:outlineLvl w:val="1"/>
    </w:pPr>
    <w:rPr>
      <w:i/>
    </w:rPr>
  </w:style>
  <w:style w:type="paragraph" w:styleId="Heading3">
    <w:name w:val="heading 3"/>
    <w:basedOn w:val="Normal"/>
    <w:next w:val="Normal"/>
    <w:uiPriority w:val="9"/>
    <w:semiHidden/>
    <w:unhideWhenUsed/>
    <w:qFormat/>
    <w:pPr>
      <w:keepNext/>
      <w:jc w:val="cente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Pr>
  </w:style>
  <w:style w:type="paragraph" w:styleId="ListParagraph">
    <w:name w:val="List Paragraph"/>
    <w:basedOn w:val="Normal"/>
    <w:uiPriority w:val="34"/>
    <w:qFormat/>
    <w:rsid w:val="006501B8"/>
    <w:pPr>
      <w:ind w:left="720"/>
      <w:contextualSpacing/>
    </w:pPr>
  </w:style>
  <w:style w:type="paragraph" w:styleId="Revision">
    <w:name w:val="Revision"/>
    <w:hidden/>
    <w:uiPriority w:val="99"/>
    <w:semiHidden/>
    <w:rsid w:val="00866DBE"/>
  </w:style>
  <w:style w:type="table" w:customStyle="1" w:styleId="a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IOZR2etbpPR3EEp3TjgdCnooKA==">CgMxLjA4AHIhMXhtN0kzclp3Y2tSNVVVcUlvMXR6czhNQ1c3NGZBVnl6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1090</Words>
  <Characters>6213</Characters>
  <Application>Microsoft Office Word</Application>
  <DocSecurity>0</DocSecurity>
  <Lines>51</Lines>
  <Paragraphs>14</Paragraphs>
  <ScaleCrop>false</ScaleCrop>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2023-08-05T05:30:00Z</dcterms:created>
  <dcterms:modified xsi:type="dcterms:W3CDTF">2023-08-10T10:21:00Z</dcterms:modified>
</cp:coreProperties>
</file>