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15563" w:rsidRDefault="00374D22">
      <w:pPr>
        <w:pBdr>
          <w:top w:val="nil"/>
          <w:left w:val="nil"/>
          <w:bottom w:val="nil"/>
          <w:right w:val="nil"/>
          <w:between w:val="nil"/>
        </w:pBdr>
        <w:tabs>
          <w:tab w:val="center" w:pos="4680"/>
          <w:tab w:val="right" w:pos="9360"/>
          <w:tab w:val="left" w:pos="162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inline distT="0" distB="0" distL="0" distR="0">
            <wp:extent cx="4924425" cy="1019175"/>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4425" cy="1019175"/>
                    </a:xfrm>
                    <a:prstGeom prst="rect">
                      <a:avLst/>
                    </a:prstGeom>
                    <a:ln/>
                  </pic:spPr>
                </pic:pic>
              </a:graphicData>
            </a:graphic>
          </wp:inline>
        </w:drawing>
      </w:r>
    </w:p>
    <w:p w14:paraId="00000002" w14:textId="77777777" w:rsidR="00D15563" w:rsidRDefault="00374D2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 2023-2024</w:t>
      </w:r>
    </w:p>
    <w:p w14:paraId="00000003" w14:textId="77777777" w:rsidR="00D15563" w:rsidRDefault="00374D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Course Handout-Part-II</w:t>
      </w:r>
    </w:p>
    <w:p w14:paraId="00000004" w14:textId="3772F659" w:rsidR="00D15563" w:rsidRDefault="00374D2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w:t>
      </w:r>
      <w:r w:rsidR="008E71DD">
        <w:rPr>
          <w:rFonts w:ascii="Times New Roman" w:eastAsia="Times New Roman" w:hAnsi="Times New Roman" w:cs="Times New Roman"/>
          <w:sz w:val="24"/>
          <w:szCs w:val="24"/>
        </w:rPr>
        <w:t>11</w:t>
      </w:r>
      <w:r>
        <w:rPr>
          <w:rFonts w:ascii="Times New Roman" w:eastAsia="Times New Roman" w:hAnsi="Times New Roman" w:cs="Times New Roman"/>
          <w:sz w:val="24"/>
          <w:szCs w:val="24"/>
        </w:rPr>
        <w:t>-08-2023</w:t>
      </w:r>
    </w:p>
    <w:p w14:paraId="00000005" w14:textId="77777777" w:rsidR="00D15563" w:rsidRDefault="00D15563">
      <w:pPr>
        <w:spacing w:after="0" w:line="240" w:lineRule="auto"/>
        <w:rPr>
          <w:rFonts w:ascii="Times New Roman" w:eastAsia="Times New Roman" w:hAnsi="Times New Roman" w:cs="Times New Roman"/>
          <w:sz w:val="24"/>
          <w:szCs w:val="24"/>
        </w:rPr>
      </w:pPr>
    </w:p>
    <w:p w14:paraId="00000006" w14:textId="77777777" w:rsidR="00D15563" w:rsidRDefault="00374D2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 addition to Part-I (General Handout for all courses appended to the timetable), this portion gives further specific details regarding the course.</w:t>
      </w:r>
      <w:r>
        <w:rPr>
          <w:rFonts w:ascii="Times New Roman" w:eastAsia="Times New Roman" w:hAnsi="Times New Roman" w:cs="Times New Roman"/>
          <w:b/>
          <w:sz w:val="24"/>
          <w:szCs w:val="24"/>
        </w:rPr>
        <w:t xml:space="preserve">  </w:t>
      </w:r>
    </w:p>
    <w:p w14:paraId="00000007" w14:textId="77777777" w:rsidR="00D15563" w:rsidRDefault="00374D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00000008" w14:textId="77777777" w:rsidR="00D15563" w:rsidRDefault="00374D2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Course No</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HSS F338</w:t>
      </w:r>
    </w:p>
    <w:p w14:paraId="00000009" w14:textId="77777777" w:rsidR="00D15563" w:rsidRDefault="00374D22">
      <w:pPr>
        <w:spacing w:after="0" w:line="240" w:lineRule="auto"/>
        <w:jc w:val="both"/>
        <w:rPr>
          <w:rFonts w:ascii="Times New Roman" w:eastAsia="Times New Roman" w:hAnsi="Times New Roman" w:cs="Times New Roman"/>
          <w:i/>
          <w:sz w:val="24"/>
          <w:szCs w:val="24"/>
        </w:rPr>
      </w:pPr>
      <w:bookmarkStart w:id="0" w:name="_heading=h.gjdgxs" w:colFirst="0" w:colLast="0"/>
      <w:bookmarkEnd w:id="0"/>
      <w:r>
        <w:rPr>
          <w:rFonts w:ascii="Times New Roman" w:eastAsia="Times New Roman" w:hAnsi="Times New Roman" w:cs="Times New Roman"/>
          <w:i/>
          <w:sz w:val="24"/>
          <w:szCs w:val="24"/>
        </w:rPr>
        <w:t>Course Title</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Comparative Indian Literature</w:t>
      </w:r>
    </w:p>
    <w:p w14:paraId="0000000A" w14:textId="77777777" w:rsidR="00D15563" w:rsidRDefault="00374D2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Instructor-in-charge</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Prof. T. Vijay Kumar</w:t>
      </w:r>
    </w:p>
    <w:p w14:paraId="0000000B" w14:textId="77777777" w:rsidR="00D15563" w:rsidRDefault="00D15563">
      <w:pPr>
        <w:spacing w:after="0" w:line="240" w:lineRule="auto"/>
        <w:jc w:val="both"/>
        <w:rPr>
          <w:rFonts w:ascii="Times New Roman" w:eastAsia="Times New Roman" w:hAnsi="Times New Roman" w:cs="Times New Roman"/>
          <w:b/>
          <w:sz w:val="24"/>
          <w:szCs w:val="24"/>
        </w:rPr>
      </w:pPr>
    </w:p>
    <w:p w14:paraId="0000000C" w14:textId="77777777" w:rsidR="00D15563" w:rsidRDefault="00374D2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Objective of the Course:</w:t>
      </w:r>
    </w:p>
    <w:p w14:paraId="0000000D" w14:textId="77777777" w:rsidR="00D15563" w:rsidRDefault="00374D22">
      <w:pPr>
        <w:keepNext/>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aims to give students a holistic view of Indian literature through a comparative study of selected texts from Indian languages, including English. Texts drawn from different languages, cu</w:t>
      </w:r>
      <w:r>
        <w:rPr>
          <w:rFonts w:ascii="Times New Roman" w:eastAsia="Times New Roman" w:hAnsi="Times New Roman" w:cs="Times New Roman"/>
          <w:sz w:val="24"/>
          <w:szCs w:val="24"/>
        </w:rPr>
        <w:t>ltures, and mediums will be compared and contrasted in order to gain an understanding of the relationship among texts, and between content and form, text and context. What is literature and what distinguishes a literary text from others? What is comparativ</w:t>
      </w:r>
      <w:r>
        <w:rPr>
          <w:rFonts w:ascii="Times New Roman" w:eastAsia="Times New Roman" w:hAnsi="Times New Roman" w:cs="Times New Roman"/>
          <w:sz w:val="24"/>
          <w:szCs w:val="24"/>
        </w:rPr>
        <w:t>e literature, and what, how, and why do we compare and what is gained by such an exercise? What is Indian literature and what makes it Indian? These are some of the related questions, among others, that will be explored in the course. While the students wi</w:t>
      </w:r>
      <w:r>
        <w:rPr>
          <w:rFonts w:ascii="Times New Roman" w:eastAsia="Times New Roman" w:hAnsi="Times New Roman" w:cs="Times New Roman"/>
          <w:sz w:val="24"/>
          <w:szCs w:val="24"/>
        </w:rPr>
        <w:t>ll be introduced to a wide variety of texts, the underlying objective is to make them perceptive readers and empathetic human beings capable of recognizing and respecting difference. Students will be encouraged to read texts closely and relate them to thei</w:t>
      </w:r>
      <w:r>
        <w:rPr>
          <w:rFonts w:ascii="Times New Roman" w:eastAsia="Times New Roman" w:hAnsi="Times New Roman" w:cs="Times New Roman"/>
          <w:sz w:val="24"/>
          <w:szCs w:val="24"/>
        </w:rPr>
        <w:t>r lived experiences so as to help them appreciate the relationship between life and literature.</w:t>
      </w:r>
    </w:p>
    <w:p w14:paraId="0000000E" w14:textId="77777777" w:rsidR="00D15563" w:rsidRDefault="00D15563">
      <w:pPr>
        <w:keepNext/>
        <w:spacing w:after="0" w:line="240" w:lineRule="auto"/>
        <w:ind w:left="360"/>
        <w:jc w:val="both"/>
        <w:rPr>
          <w:rFonts w:ascii="Times New Roman" w:eastAsia="Times New Roman" w:hAnsi="Times New Roman" w:cs="Times New Roman"/>
          <w:sz w:val="24"/>
          <w:szCs w:val="24"/>
        </w:rPr>
      </w:pPr>
    </w:p>
    <w:p w14:paraId="0000000F" w14:textId="77777777" w:rsidR="00D15563" w:rsidRDefault="00374D2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Textbook</w:t>
      </w:r>
    </w:p>
    <w:p w14:paraId="00000010" w14:textId="77777777" w:rsidR="00D15563" w:rsidRDefault="00374D22">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highlight w:val="white"/>
        </w:rPr>
        <w:t>Comparative Literature: A Very Short Introduction</w:t>
      </w:r>
      <w:r>
        <w:rPr>
          <w:rFonts w:ascii="Times New Roman" w:eastAsia="Times New Roman" w:hAnsi="Times New Roman" w:cs="Times New Roman"/>
          <w:color w:val="000000"/>
          <w:sz w:val="24"/>
          <w:szCs w:val="24"/>
          <w:highlight w:val="white"/>
        </w:rPr>
        <w:t> by Ben Hutchinson, OUP, 2018.</w:t>
      </w:r>
    </w:p>
    <w:p w14:paraId="00000011" w14:textId="77777777" w:rsidR="00D15563" w:rsidRDefault="00D15563">
      <w:pPr>
        <w:spacing w:after="0" w:line="240" w:lineRule="auto"/>
        <w:jc w:val="both"/>
        <w:rPr>
          <w:rFonts w:ascii="Times New Roman" w:eastAsia="Times New Roman" w:hAnsi="Times New Roman" w:cs="Times New Roman"/>
          <w:b/>
          <w:sz w:val="24"/>
          <w:szCs w:val="24"/>
        </w:rPr>
      </w:pPr>
    </w:p>
    <w:p w14:paraId="00000012" w14:textId="77777777" w:rsidR="00D15563" w:rsidRDefault="00374D2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00000013" w14:textId="77777777" w:rsidR="00D15563" w:rsidRDefault="00374D2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Bassnett, Susan. </w:t>
      </w:r>
      <w:r>
        <w:rPr>
          <w:rFonts w:ascii="Times New Roman" w:eastAsia="Times New Roman" w:hAnsi="Times New Roman" w:cs="Times New Roman"/>
          <w:i/>
          <w:color w:val="000000"/>
          <w:sz w:val="24"/>
          <w:szCs w:val="24"/>
        </w:rPr>
        <w:t>Comparative Literature: A Critical Introduction</w:t>
      </w:r>
      <w:r>
        <w:rPr>
          <w:rFonts w:ascii="Times New Roman" w:eastAsia="Times New Roman" w:hAnsi="Times New Roman" w:cs="Times New Roman"/>
          <w:color w:val="000000"/>
          <w:sz w:val="24"/>
          <w:szCs w:val="24"/>
        </w:rPr>
        <w:t>. OUP, 1992.</w:t>
      </w:r>
    </w:p>
    <w:p w14:paraId="00000014" w14:textId="77777777" w:rsidR="00D15563" w:rsidRDefault="00374D2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 Amiya and Sisir Kumar Das, eds. </w:t>
      </w:r>
      <w:r>
        <w:rPr>
          <w:rFonts w:ascii="Times New Roman" w:eastAsia="Times New Roman" w:hAnsi="Times New Roman" w:cs="Times New Roman"/>
          <w:i/>
          <w:color w:val="000000"/>
          <w:sz w:val="24"/>
          <w:szCs w:val="24"/>
        </w:rPr>
        <w:t>Comparative Literature: Theory and Practice</w:t>
      </w:r>
      <w:r>
        <w:rPr>
          <w:rFonts w:ascii="Times New Roman" w:eastAsia="Times New Roman" w:hAnsi="Times New Roman" w:cs="Times New Roman"/>
          <w:color w:val="000000"/>
          <w:sz w:val="24"/>
          <w:szCs w:val="24"/>
        </w:rPr>
        <w:t>. Allied Publishers, 1989.</w:t>
      </w:r>
    </w:p>
    <w:p w14:paraId="00000015" w14:textId="77777777" w:rsidR="00D15563" w:rsidRDefault="00374D2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Dev Sen, Nabaneeta, ed. </w:t>
      </w:r>
      <w:r>
        <w:rPr>
          <w:rFonts w:ascii="Times New Roman" w:eastAsia="Times New Roman" w:hAnsi="Times New Roman" w:cs="Times New Roman"/>
          <w:i/>
          <w:color w:val="000000"/>
          <w:sz w:val="24"/>
          <w:szCs w:val="24"/>
          <w:highlight w:val="white"/>
        </w:rPr>
        <w:t xml:space="preserve">Counterpoints: Essays in Comparative Literature. </w:t>
      </w:r>
      <w:r>
        <w:rPr>
          <w:rFonts w:ascii="Times New Roman" w:eastAsia="Times New Roman" w:hAnsi="Times New Roman" w:cs="Times New Roman"/>
          <w:color w:val="000000"/>
          <w:sz w:val="24"/>
          <w:szCs w:val="24"/>
          <w:highlight w:val="white"/>
        </w:rPr>
        <w:t>Prajñā, 1985.</w:t>
      </w:r>
    </w:p>
    <w:p w14:paraId="00000016" w14:textId="77777777" w:rsidR="00D15563" w:rsidRDefault="00374D2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w:t>
      </w:r>
      <w:r>
        <w:rPr>
          <w:rFonts w:ascii="Times New Roman" w:eastAsia="Times New Roman" w:hAnsi="Times New Roman" w:cs="Times New Roman"/>
          <w:color w:val="000000"/>
          <w:sz w:val="24"/>
          <w:szCs w:val="24"/>
        </w:rPr>
        <w:t xml:space="preserve">nicker, K. Ayyappa. </w:t>
      </w:r>
      <w:r>
        <w:rPr>
          <w:rFonts w:ascii="Times New Roman" w:eastAsia="Times New Roman" w:hAnsi="Times New Roman" w:cs="Times New Roman"/>
          <w:i/>
          <w:color w:val="000000"/>
          <w:sz w:val="24"/>
          <w:szCs w:val="24"/>
        </w:rPr>
        <w:t>Spotlight on Comparative Indian Literature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Papyrus, 1992.</w:t>
      </w:r>
    </w:p>
    <w:p w14:paraId="00000017" w14:textId="77777777" w:rsidR="00D15563" w:rsidRDefault="00374D22">
      <w:pPr>
        <w:numPr>
          <w:ilvl w:val="0"/>
          <w:numId w:val="2"/>
        </w:numPr>
        <w:pBdr>
          <w:top w:val="nil"/>
          <w:left w:val="nil"/>
          <w:bottom w:val="nil"/>
          <w:right w:val="nil"/>
          <w:between w:val="nil"/>
        </w:pBdr>
        <w:spacing w:after="0" w:line="240" w:lineRule="auto"/>
        <w:ind w:right="5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Totosy De Zepetnek, Steven &amp; </w:t>
      </w:r>
      <w:r>
        <w:rPr>
          <w:rFonts w:ascii="Times New Roman" w:eastAsia="Times New Roman" w:hAnsi="Times New Roman" w:cs="Times New Roman"/>
          <w:color w:val="000000"/>
          <w:sz w:val="24"/>
          <w:szCs w:val="24"/>
        </w:rPr>
        <w:t xml:space="preserve">Tutun Mukherjee, eds. </w:t>
      </w:r>
      <w:r>
        <w:rPr>
          <w:rFonts w:ascii="Times New Roman" w:eastAsia="Times New Roman" w:hAnsi="Times New Roman" w:cs="Times New Roman"/>
          <w:i/>
          <w:color w:val="000000"/>
          <w:sz w:val="24"/>
          <w:szCs w:val="24"/>
        </w:rPr>
        <w:t>Comparative Literature, World Literatures, and Comparative Cultural Studies.</w:t>
      </w:r>
      <w:r>
        <w:rPr>
          <w:rFonts w:ascii="Times New Roman" w:eastAsia="Times New Roman" w:hAnsi="Times New Roman" w:cs="Times New Roman"/>
          <w:color w:val="000000"/>
          <w:sz w:val="24"/>
          <w:szCs w:val="24"/>
        </w:rPr>
        <w:t xml:space="preserve"> Foundation Books, 2013.</w:t>
      </w:r>
    </w:p>
    <w:p w14:paraId="00000018" w14:textId="77777777" w:rsidR="00D15563" w:rsidRDefault="00D15563">
      <w:pPr>
        <w:spacing w:after="0" w:line="240" w:lineRule="auto"/>
        <w:ind w:right="53"/>
        <w:jc w:val="both"/>
        <w:rPr>
          <w:rFonts w:ascii="Times New Roman" w:eastAsia="Times New Roman" w:hAnsi="Times New Roman" w:cs="Times New Roman"/>
          <w:sz w:val="24"/>
          <w:szCs w:val="24"/>
        </w:rPr>
      </w:pPr>
    </w:p>
    <w:p w14:paraId="00000019" w14:textId="77777777" w:rsidR="00D15563" w:rsidRDefault="00374D22">
      <w:pPr>
        <w:spacing w:after="0" w:line="240" w:lineRule="auto"/>
        <w:ind w:right="5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Text and reference books listed above will be supplemented, if and when needed, with other resources in the classroom. Students are expected to be familiar with the additional reading material as well.</w:t>
      </w:r>
    </w:p>
    <w:p w14:paraId="0000001A" w14:textId="77777777" w:rsidR="00D15563" w:rsidRDefault="00D15563">
      <w:pPr>
        <w:widowControl w:val="0"/>
        <w:tabs>
          <w:tab w:val="left" w:pos="360"/>
        </w:tabs>
        <w:spacing w:after="0" w:line="240" w:lineRule="auto"/>
        <w:rPr>
          <w:rFonts w:ascii="Times New Roman" w:eastAsia="Times New Roman" w:hAnsi="Times New Roman" w:cs="Times New Roman"/>
          <w:b/>
          <w:sz w:val="24"/>
          <w:szCs w:val="24"/>
        </w:rPr>
      </w:pPr>
    </w:p>
    <w:p w14:paraId="0000001B" w14:textId="77777777" w:rsidR="00D15563" w:rsidRDefault="00374D22">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Plan:</w:t>
      </w:r>
    </w:p>
    <w:p w14:paraId="0000001C" w14:textId="77777777" w:rsidR="00D15563" w:rsidRDefault="00D15563">
      <w:pPr>
        <w:widowControl w:val="0"/>
        <w:tabs>
          <w:tab w:val="left" w:pos="360"/>
        </w:tabs>
        <w:spacing w:after="0" w:line="240" w:lineRule="auto"/>
        <w:rPr>
          <w:rFonts w:ascii="Times New Roman" w:eastAsia="Times New Roman" w:hAnsi="Times New Roman" w:cs="Times New Roman"/>
          <w:sz w:val="24"/>
          <w:szCs w:val="24"/>
        </w:rPr>
      </w:pPr>
    </w:p>
    <w:tbl>
      <w:tblPr>
        <w:tblStyle w:val="a"/>
        <w:tblW w:w="8930"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2551"/>
        <w:gridCol w:w="3686"/>
        <w:gridCol w:w="1559"/>
      </w:tblGrid>
      <w:tr w:rsidR="00D15563" w14:paraId="6FE0EFAB" w14:textId="77777777">
        <w:tc>
          <w:tcPr>
            <w:tcW w:w="1134" w:type="dxa"/>
            <w:shd w:val="clear" w:color="auto" w:fill="D9D9D9"/>
          </w:tcPr>
          <w:p w14:paraId="0000001D" w14:textId="77777777" w:rsidR="00D15563" w:rsidRDefault="00D15563">
            <w:pPr>
              <w:widowControl w:val="0"/>
              <w:tabs>
                <w:tab w:val="left" w:pos="360"/>
              </w:tabs>
              <w:spacing w:after="0" w:line="240" w:lineRule="auto"/>
              <w:jc w:val="center"/>
              <w:rPr>
                <w:rFonts w:ascii="Times New Roman" w:eastAsia="Times New Roman" w:hAnsi="Times New Roman" w:cs="Times New Roman"/>
                <w:b/>
                <w:sz w:val="24"/>
                <w:szCs w:val="24"/>
              </w:rPr>
            </w:pPr>
          </w:p>
          <w:p w14:paraId="0000001E" w14:textId="77777777" w:rsidR="00D15563" w:rsidRDefault="00374D22">
            <w:pPr>
              <w:widowControl w:val="0"/>
              <w:tabs>
                <w:tab w:val="left" w:pos="3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 No.</w:t>
            </w:r>
          </w:p>
        </w:tc>
        <w:tc>
          <w:tcPr>
            <w:tcW w:w="2551" w:type="dxa"/>
            <w:shd w:val="clear" w:color="auto" w:fill="D9D9D9"/>
          </w:tcPr>
          <w:p w14:paraId="0000001F" w14:textId="77777777" w:rsidR="00D15563" w:rsidRDefault="00D15563">
            <w:pPr>
              <w:widowControl w:val="0"/>
              <w:tabs>
                <w:tab w:val="left" w:pos="360"/>
              </w:tabs>
              <w:spacing w:after="0" w:line="240" w:lineRule="auto"/>
              <w:jc w:val="center"/>
              <w:rPr>
                <w:rFonts w:ascii="Times New Roman" w:eastAsia="Times New Roman" w:hAnsi="Times New Roman" w:cs="Times New Roman"/>
                <w:b/>
                <w:sz w:val="24"/>
                <w:szCs w:val="24"/>
              </w:rPr>
            </w:pPr>
          </w:p>
          <w:p w14:paraId="00000020" w14:textId="77777777" w:rsidR="00D15563" w:rsidRDefault="00374D22">
            <w:pPr>
              <w:widowControl w:val="0"/>
              <w:tabs>
                <w:tab w:val="left" w:pos="3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Objectives</w:t>
            </w:r>
          </w:p>
        </w:tc>
        <w:tc>
          <w:tcPr>
            <w:tcW w:w="3686" w:type="dxa"/>
            <w:shd w:val="clear" w:color="auto" w:fill="D9D9D9"/>
          </w:tcPr>
          <w:p w14:paraId="00000021" w14:textId="77777777" w:rsidR="00D15563" w:rsidRDefault="00D15563">
            <w:pPr>
              <w:widowControl w:val="0"/>
              <w:tabs>
                <w:tab w:val="left" w:pos="360"/>
              </w:tabs>
              <w:spacing w:after="0" w:line="240" w:lineRule="auto"/>
              <w:jc w:val="center"/>
              <w:rPr>
                <w:rFonts w:ascii="Times New Roman" w:eastAsia="Times New Roman" w:hAnsi="Times New Roman" w:cs="Times New Roman"/>
                <w:b/>
                <w:sz w:val="24"/>
                <w:szCs w:val="24"/>
              </w:rPr>
            </w:pPr>
          </w:p>
          <w:p w14:paraId="00000022" w14:textId="77777777" w:rsidR="00D15563" w:rsidRDefault="00374D22">
            <w:pPr>
              <w:widowControl w:val="0"/>
              <w:tabs>
                <w:tab w:val="left" w:pos="3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to be Covered</w:t>
            </w:r>
          </w:p>
        </w:tc>
        <w:tc>
          <w:tcPr>
            <w:tcW w:w="1559" w:type="dxa"/>
            <w:shd w:val="clear" w:color="auto" w:fill="D9D9D9"/>
          </w:tcPr>
          <w:p w14:paraId="00000023" w14:textId="77777777" w:rsidR="00D15563" w:rsidRDefault="00374D22">
            <w:pPr>
              <w:widowControl w:val="0"/>
              <w:tabs>
                <w:tab w:val="left" w:pos="3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in the Text Book</w:t>
            </w:r>
          </w:p>
          <w:p w14:paraId="00000024" w14:textId="77777777" w:rsidR="00D15563" w:rsidRDefault="00D15563">
            <w:pPr>
              <w:widowControl w:val="0"/>
              <w:tabs>
                <w:tab w:val="left" w:pos="360"/>
              </w:tabs>
              <w:spacing w:after="0" w:line="240" w:lineRule="auto"/>
              <w:jc w:val="center"/>
              <w:rPr>
                <w:rFonts w:ascii="Times New Roman" w:eastAsia="Times New Roman" w:hAnsi="Times New Roman" w:cs="Times New Roman"/>
                <w:b/>
                <w:sz w:val="24"/>
                <w:szCs w:val="24"/>
              </w:rPr>
            </w:pPr>
          </w:p>
        </w:tc>
      </w:tr>
      <w:tr w:rsidR="00D15563" w14:paraId="4024BFAD" w14:textId="77777777">
        <w:tc>
          <w:tcPr>
            <w:tcW w:w="1134" w:type="dxa"/>
          </w:tcPr>
          <w:p w14:paraId="00000025" w14:textId="77777777" w:rsidR="00D15563" w:rsidRDefault="00374D22">
            <w:pPr>
              <w:widowControl w:val="0"/>
              <w:tabs>
                <w:tab w:val="left" w:pos="36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14:paraId="00000026" w14:textId="77777777" w:rsidR="00D15563" w:rsidRDefault="00374D22">
            <w:pPr>
              <w:widowControl w:val="0"/>
              <w:tabs>
                <w:tab w:val="left" w:pos="36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Unit I</w:t>
            </w:r>
          </w:p>
        </w:tc>
        <w:tc>
          <w:tcPr>
            <w:tcW w:w="2551" w:type="dxa"/>
          </w:tcPr>
          <w:p w14:paraId="00000027" w14:textId="77777777" w:rsidR="00D15563" w:rsidRDefault="00374D22">
            <w:pPr>
              <w:widowControl w:val="0"/>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literature; Introduction to comparative literature</w:t>
            </w:r>
          </w:p>
        </w:tc>
        <w:tc>
          <w:tcPr>
            <w:tcW w:w="3686" w:type="dxa"/>
          </w:tcPr>
          <w:p w14:paraId="00000028" w14:textId="77777777" w:rsidR="00D15563" w:rsidRDefault="00374D22">
            <w:pPr>
              <w:widowControl w:val="0"/>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Terms, Concepts, Genres; Meaning, Definition, Scope </w:t>
            </w:r>
          </w:p>
          <w:p w14:paraId="00000029" w14:textId="77777777" w:rsidR="00D15563" w:rsidRDefault="00D15563">
            <w:pPr>
              <w:widowControl w:val="0"/>
              <w:tabs>
                <w:tab w:val="left" w:pos="360"/>
              </w:tabs>
              <w:spacing w:after="0" w:line="240" w:lineRule="auto"/>
              <w:rPr>
                <w:rFonts w:ascii="Times New Roman" w:eastAsia="Times New Roman" w:hAnsi="Times New Roman" w:cs="Times New Roman"/>
                <w:sz w:val="24"/>
                <w:szCs w:val="24"/>
              </w:rPr>
            </w:pPr>
          </w:p>
        </w:tc>
        <w:tc>
          <w:tcPr>
            <w:tcW w:w="1559" w:type="dxa"/>
          </w:tcPr>
          <w:p w14:paraId="0000002A" w14:textId="77777777" w:rsidR="00D15563" w:rsidRDefault="00374D22">
            <w:pPr>
              <w:widowControl w:val="0"/>
              <w:tabs>
                <w:tab w:val="left" w:pos="360"/>
              </w:tab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Class notes; </w:t>
            </w:r>
            <w:sdt>
              <w:sdtPr>
                <w:tag w:val="goog_rdk_0"/>
                <w:id w:val="1416439972"/>
              </w:sdtPr>
              <w:sdtEndPr/>
              <w:sdtContent>
                <w:commentRangeStart w:id="1"/>
              </w:sdtContent>
            </w:sdt>
            <w:r>
              <w:rPr>
                <w:rFonts w:ascii="Times New Roman" w:eastAsia="Times New Roman" w:hAnsi="Times New Roman" w:cs="Times New Roman"/>
                <w:sz w:val="24"/>
                <w:szCs w:val="24"/>
              </w:rPr>
              <w:t>TB-1</w:t>
            </w:r>
            <w:commentRangeEnd w:id="1"/>
            <w:r>
              <w:commentReference w:id="1"/>
            </w:r>
          </w:p>
        </w:tc>
      </w:tr>
      <w:tr w:rsidR="00D15563" w14:paraId="5CDA341A" w14:textId="77777777">
        <w:tc>
          <w:tcPr>
            <w:tcW w:w="1134" w:type="dxa"/>
          </w:tcPr>
          <w:p w14:paraId="0000002B" w14:textId="77777777" w:rsidR="00D15563" w:rsidRDefault="00374D22">
            <w:pPr>
              <w:widowControl w:val="0"/>
              <w:tabs>
                <w:tab w:val="left" w:pos="36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7-17</w:t>
            </w:r>
          </w:p>
          <w:p w14:paraId="0000002C" w14:textId="77777777" w:rsidR="00D15563" w:rsidRDefault="00374D22">
            <w:pPr>
              <w:widowControl w:val="0"/>
              <w:tabs>
                <w:tab w:val="left" w:pos="36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Unit II</w:t>
            </w:r>
          </w:p>
        </w:tc>
        <w:tc>
          <w:tcPr>
            <w:tcW w:w="2551" w:type="dxa"/>
          </w:tcPr>
          <w:p w14:paraId="0000002D" w14:textId="77777777" w:rsidR="00D15563" w:rsidRDefault="00374D22">
            <w:pPr>
              <w:widowControl w:val="0"/>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the study of</w:t>
            </w:r>
          </w:p>
          <w:p w14:paraId="0000002E" w14:textId="77777777" w:rsidR="00D15563" w:rsidRDefault="00374D22">
            <w:pPr>
              <w:widowControl w:val="0"/>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literature</w:t>
            </w:r>
          </w:p>
        </w:tc>
        <w:tc>
          <w:tcPr>
            <w:tcW w:w="3686" w:type="dxa"/>
          </w:tcPr>
          <w:p w14:paraId="0000002F" w14:textId="77777777" w:rsidR="00D15563" w:rsidRDefault="00374D22">
            <w:pPr>
              <w:widowControl w:val="0"/>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 and history of comparative literature; Sisir Kumar Das: “Comparative Literature in India: A Historical Perspective”; Selected texts for comparative study </w:t>
            </w:r>
          </w:p>
        </w:tc>
        <w:tc>
          <w:tcPr>
            <w:tcW w:w="1559" w:type="dxa"/>
          </w:tcPr>
          <w:p w14:paraId="00000030" w14:textId="77777777" w:rsidR="00D15563" w:rsidRDefault="00374D22">
            <w:pPr>
              <w:widowControl w:val="0"/>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TB-2; TB-3; The texts</w:t>
            </w:r>
          </w:p>
        </w:tc>
      </w:tr>
      <w:tr w:rsidR="00D15563" w14:paraId="3A0DA4A2" w14:textId="77777777">
        <w:tc>
          <w:tcPr>
            <w:tcW w:w="1134" w:type="dxa"/>
          </w:tcPr>
          <w:p w14:paraId="00000031" w14:textId="77777777" w:rsidR="00D15563" w:rsidRDefault="00374D22">
            <w:pPr>
              <w:widowControl w:val="0"/>
              <w:tabs>
                <w:tab w:val="left" w:pos="36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7796" w:type="dxa"/>
            <w:gridSpan w:val="3"/>
          </w:tcPr>
          <w:p w14:paraId="00000032" w14:textId="77777777" w:rsidR="00D15563" w:rsidRDefault="00374D22">
            <w:pPr>
              <w:widowControl w:val="0"/>
              <w:tabs>
                <w:tab w:val="left" w:pos="36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Recap of Unit I and II</w:t>
            </w:r>
          </w:p>
        </w:tc>
      </w:tr>
      <w:tr w:rsidR="00D15563" w14:paraId="3871B6DD" w14:textId="77777777">
        <w:tc>
          <w:tcPr>
            <w:tcW w:w="1134" w:type="dxa"/>
          </w:tcPr>
          <w:p w14:paraId="00000035" w14:textId="77777777" w:rsidR="00D15563" w:rsidRDefault="00374D22">
            <w:pPr>
              <w:widowControl w:val="0"/>
              <w:tabs>
                <w:tab w:val="left" w:pos="36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19-29</w:t>
            </w:r>
          </w:p>
          <w:p w14:paraId="00000036" w14:textId="77777777" w:rsidR="00D15563" w:rsidRDefault="00374D22">
            <w:pPr>
              <w:widowControl w:val="0"/>
              <w:tabs>
                <w:tab w:val="left" w:pos="36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Unit III</w:t>
            </w:r>
          </w:p>
        </w:tc>
        <w:tc>
          <w:tcPr>
            <w:tcW w:w="2551" w:type="dxa"/>
          </w:tcPr>
          <w:p w14:paraId="00000037" w14:textId="77777777" w:rsidR="00D15563" w:rsidRDefault="00374D22">
            <w:pPr>
              <w:widowControl w:val="0"/>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Indian literature, World Literature, and Translation</w:t>
            </w:r>
          </w:p>
        </w:tc>
        <w:tc>
          <w:tcPr>
            <w:tcW w:w="3686" w:type="dxa"/>
          </w:tcPr>
          <w:p w14:paraId="00000038" w14:textId="77777777" w:rsidR="00D15563" w:rsidRDefault="00374D22">
            <w:pPr>
              <w:widowControl w:val="0"/>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literature and world literature; Translation and transformation; Rabindranath Tagore: “Visva Sahitya”; Selected texts for comparative study</w:t>
            </w:r>
          </w:p>
        </w:tc>
        <w:tc>
          <w:tcPr>
            <w:tcW w:w="1559" w:type="dxa"/>
          </w:tcPr>
          <w:p w14:paraId="00000039" w14:textId="77777777" w:rsidR="00D15563" w:rsidRDefault="00374D22">
            <w:pPr>
              <w:widowControl w:val="0"/>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TB-4; The texts</w:t>
            </w:r>
          </w:p>
        </w:tc>
      </w:tr>
      <w:tr w:rsidR="00D15563" w14:paraId="7D811838" w14:textId="77777777">
        <w:tc>
          <w:tcPr>
            <w:tcW w:w="1134" w:type="dxa"/>
          </w:tcPr>
          <w:p w14:paraId="0000003A" w14:textId="77777777" w:rsidR="00D15563" w:rsidRDefault="00374D22">
            <w:pPr>
              <w:widowControl w:val="0"/>
              <w:tabs>
                <w:tab w:val="left" w:pos="36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30-39</w:t>
            </w:r>
          </w:p>
          <w:p w14:paraId="0000003B" w14:textId="77777777" w:rsidR="00D15563" w:rsidRDefault="00374D22">
            <w:pPr>
              <w:widowControl w:val="0"/>
              <w:tabs>
                <w:tab w:val="left" w:pos="36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Unit IV</w:t>
            </w:r>
          </w:p>
        </w:tc>
        <w:tc>
          <w:tcPr>
            <w:tcW w:w="2551" w:type="dxa"/>
          </w:tcPr>
          <w:p w14:paraId="0000003C" w14:textId="77777777" w:rsidR="00D15563" w:rsidRDefault="00374D22">
            <w:pPr>
              <w:widowControl w:val="0"/>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comparative frames of reading</w:t>
            </w:r>
          </w:p>
        </w:tc>
        <w:tc>
          <w:tcPr>
            <w:tcW w:w="3686" w:type="dxa"/>
          </w:tcPr>
          <w:p w14:paraId="0000003D" w14:textId="77777777" w:rsidR="00D15563" w:rsidRDefault="00374D22">
            <w:pPr>
              <w:widowControl w:val="0"/>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Damrosch: “Comparative Literature?”; Selected texts from Indian and world literature for comparative study </w:t>
            </w:r>
          </w:p>
        </w:tc>
        <w:tc>
          <w:tcPr>
            <w:tcW w:w="1559" w:type="dxa"/>
          </w:tcPr>
          <w:p w14:paraId="0000003E" w14:textId="77777777" w:rsidR="00D15563" w:rsidRDefault="00374D22">
            <w:pPr>
              <w:widowControl w:val="0"/>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texts</w:t>
            </w:r>
          </w:p>
        </w:tc>
      </w:tr>
      <w:tr w:rsidR="00D15563" w14:paraId="5C8B17AD" w14:textId="77777777">
        <w:tc>
          <w:tcPr>
            <w:tcW w:w="1134" w:type="dxa"/>
          </w:tcPr>
          <w:p w14:paraId="0000003F" w14:textId="77777777" w:rsidR="00D15563" w:rsidRDefault="00374D22">
            <w:pPr>
              <w:widowControl w:val="0"/>
              <w:tabs>
                <w:tab w:val="left" w:pos="36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7796" w:type="dxa"/>
            <w:gridSpan w:val="3"/>
          </w:tcPr>
          <w:p w14:paraId="00000040" w14:textId="77777777" w:rsidR="00D15563" w:rsidRDefault="00374D22">
            <w:pPr>
              <w:widowControl w:val="0"/>
              <w:tabs>
                <w:tab w:val="left" w:pos="36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Recap of Unit I-IV</w:t>
            </w:r>
          </w:p>
        </w:tc>
      </w:tr>
    </w:tbl>
    <w:p w14:paraId="00000043" w14:textId="77777777" w:rsidR="00D15563" w:rsidRDefault="00D15563">
      <w:pPr>
        <w:spacing w:after="0" w:line="240" w:lineRule="auto"/>
        <w:jc w:val="both"/>
        <w:rPr>
          <w:rFonts w:ascii="Times New Roman" w:eastAsia="Times New Roman" w:hAnsi="Times New Roman" w:cs="Times New Roman"/>
          <w:b/>
          <w:sz w:val="24"/>
          <w:szCs w:val="24"/>
        </w:rPr>
      </w:pPr>
    </w:p>
    <w:p w14:paraId="00000044" w14:textId="77777777" w:rsidR="00D15563" w:rsidRDefault="00374D2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Evaluation Scheme:</w:t>
      </w:r>
      <w:r>
        <w:rPr>
          <w:rFonts w:ascii="Times New Roman" w:eastAsia="Times New Roman" w:hAnsi="Times New Roman" w:cs="Times New Roman"/>
          <w:sz w:val="24"/>
          <w:szCs w:val="24"/>
        </w:rPr>
        <w:t xml:space="preserve">  </w:t>
      </w:r>
    </w:p>
    <w:p w14:paraId="00000045" w14:textId="77777777" w:rsidR="00D15563" w:rsidRDefault="00374D2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tbl>
      <w:tblPr>
        <w:tblStyle w:val="a0"/>
        <w:tblW w:w="8930"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1418"/>
        <w:gridCol w:w="1417"/>
        <w:gridCol w:w="1877"/>
        <w:gridCol w:w="2234"/>
      </w:tblGrid>
      <w:tr w:rsidR="00D15563" w14:paraId="5F182116" w14:textId="77777777">
        <w:trPr>
          <w:trHeight w:val="576"/>
        </w:trPr>
        <w:tc>
          <w:tcPr>
            <w:tcW w:w="1984" w:type="dxa"/>
            <w:shd w:val="clear" w:color="auto" w:fill="D9D9D9"/>
          </w:tcPr>
          <w:p w14:paraId="00000046" w14:textId="77777777" w:rsidR="00D15563" w:rsidRDefault="00374D2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w:t>
            </w:r>
          </w:p>
        </w:tc>
        <w:tc>
          <w:tcPr>
            <w:tcW w:w="1418" w:type="dxa"/>
            <w:shd w:val="clear" w:color="auto" w:fill="D9D9D9"/>
          </w:tcPr>
          <w:p w14:paraId="00000047" w14:textId="77777777" w:rsidR="00D15563" w:rsidRDefault="00374D2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Duration</w:t>
            </w:r>
          </w:p>
        </w:tc>
        <w:tc>
          <w:tcPr>
            <w:tcW w:w="1417" w:type="dxa"/>
            <w:shd w:val="clear" w:color="auto" w:fill="D9D9D9"/>
          </w:tcPr>
          <w:p w14:paraId="00000048" w14:textId="77777777" w:rsidR="00D15563" w:rsidRDefault="00374D22">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  (%)</w:t>
            </w:r>
          </w:p>
        </w:tc>
        <w:tc>
          <w:tcPr>
            <w:tcW w:w="1877" w:type="dxa"/>
            <w:shd w:val="clear" w:color="auto" w:fill="D9D9D9"/>
          </w:tcPr>
          <w:p w14:paraId="00000049" w14:textId="77777777" w:rsidR="00D15563" w:rsidRDefault="00374D22">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2234" w:type="dxa"/>
            <w:shd w:val="clear" w:color="auto" w:fill="D9D9D9"/>
          </w:tcPr>
          <w:p w14:paraId="0000004A" w14:textId="77777777" w:rsidR="00D15563" w:rsidRDefault="00374D2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Nature of Component</w:t>
            </w:r>
          </w:p>
        </w:tc>
      </w:tr>
      <w:tr w:rsidR="00D15563" w14:paraId="3BBA2FA5" w14:textId="77777777">
        <w:trPr>
          <w:trHeight w:val="271"/>
        </w:trPr>
        <w:tc>
          <w:tcPr>
            <w:tcW w:w="1984" w:type="dxa"/>
            <w:vAlign w:val="center"/>
          </w:tcPr>
          <w:p w14:paraId="0000004B" w14:textId="77777777" w:rsidR="00D15563" w:rsidRDefault="00374D22">
            <w:pPr>
              <w:spacing w:after="0" w:line="240" w:lineRule="auto"/>
              <w:ind w:right="5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 </w:t>
            </w:r>
          </w:p>
          <w:p w14:paraId="0000004C" w14:textId="77777777" w:rsidR="00D15563" w:rsidRDefault="00374D2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&amp; 2</w:t>
            </w:r>
          </w:p>
        </w:tc>
        <w:tc>
          <w:tcPr>
            <w:tcW w:w="1418" w:type="dxa"/>
            <w:vAlign w:val="center"/>
          </w:tcPr>
          <w:p w14:paraId="0000004D" w14:textId="77777777" w:rsidR="00D15563" w:rsidRDefault="00374D2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TBA </w:t>
            </w:r>
          </w:p>
        </w:tc>
        <w:tc>
          <w:tcPr>
            <w:tcW w:w="1417" w:type="dxa"/>
            <w:vAlign w:val="center"/>
          </w:tcPr>
          <w:p w14:paraId="0000004E" w14:textId="77777777" w:rsidR="00D15563" w:rsidRDefault="00374D2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&amp; 15 </w:t>
            </w:r>
          </w:p>
        </w:tc>
        <w:tc>
          <w:tcPr>
            <w:tcW w:w="1877" w:type="dxa"/>
            <w:vAlign w:val="center"/>
          </w:tcPr>
          <w:p w14:paraId="0000004F" w14:textId="77777777" w:rsidR="00D15563" w:rsidRDefault="00374D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TBA </w:t>
            </w:r>
          </w:p>
        </w:tc>
        <w:tc>
          <w:tcPr>
            <w:tcW w:w="2234" w:type="dxa"/>
            <w:vAlign w:val="center"/>
          </w:tcPr>
          <w:p w14:paraId="00000050" w14:textId="77777777" w:rsidR="00D15563" w:rsidRDefault="00374D2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Book </w:t>
            </w:r>
          </w:p>
        </w:tc>
      </w:tr>
      <w:tr w:rsidR="00D15563" w14:paraId="70C2A0EF" w14:textId="77777777">
        <w:trPr>
          <w:trHeight w:val="287"/>
        </w:trPr>
        <w:tc>
          <w:tcPr>
            <w:tcW w:w="1984" w:type="dxa"/>
            <w:vAlign w:val="center"/>
          </w:tcPr>
          <w:p w14:paraId="00000051" w14:textId="77777777" w:rsidR="00D15563" w:rsidRDefault="00374D2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Mid-semester Test  </w:t>
            </w:r>
          </w:p>
        </w:tc>
        <w:tc>
          <w:tcPr>
            <w:tcW w:w="1418" w:type="dxa"/>
            <w:vAlign w:val="center"/>
          </w:tcPr>
          <w:p w14:paraId="00000052" w14:textId="77777777" w:rsidR="00D15563" w:rsidRDefault="00374D2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 Minutes</w:t>
            </w:r>
          </w:p>
        </w:tc>
        <w:tc>
          <w:tcPr>
            <w:tcW w:w="1417" w:type="dxa"/>
            <w:vAlign w:val="center"/>
          </w:tcPr>
          <w:p w14:paraId="00000053" w14:textId="77777777" w:rsidR="00D15563" w:rsidRDefault="00374D2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w:t>
            </w:r>
          </w:p>
        </w:tc>
        <w:tc>
          <w:tcPr>
            <w:tcW w:w="1877" w:type="dxa"/>
            <w:vAlign w:val="center"/>
          </w:tcPr>
          <w:p w14:paraId="00000055" w14:textId="2BE7A7F6" w:rsidR="00D15563" w:rsidRDefault="00374D22">
            <w:pPr>
              <w:spacing w:after="0" w:line="240" w:lineRule="auto"/>
              <w:jc w:val="center"/>
              <w:rPr>
                <w:rFonts w:ascii="Times New Roman" w:eastAsia="Times New Roman" w:hAnsi="Times New Roman" w:cs="Times New Roman"/>
                <w:sz w:val="24"/>
                <w:szCs w:val="24"/>
              </w:rPr>
            </w:pPr>
            <w:r>
              <w:t>13/10 - 9.30 - 11.00AM</w:t>
            </w:r>
          </w:p>
        </w:tc>
        <w:tc>
          <w:tcPr>
            <w:tcW w:w="2234" w:type="dxa"/>
            <w:vAlign w:val="center"/>
          </w:tcPr>
          <w:p w14:paraId="00000056" w14:textId="77777777" w:rsidR="00D15563" w:rsidRDefault="00374D2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Closed Book </w:t>
            </w:r>
          </w:p>
        </w:tc>
      </w:tr>
      <w:tr w:rsidR="00D15563" w14:paraId="75A4E26A" w14:textId="77777777">
        <w:trPr>
          <w:trHeight w:val="287"/>
        </w:trPr>
        <w:tc>
          <w:tcPr>
            <w:tcW w:w="1984" w:type="dxa"/>
          </w:tcPr>
          <w:p w14:paraId="00000057" w14:textId="77777777" w:rsidR="00D15563" w:rsidRDefault="00374D2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Comprehensive Examination </w:t>
            </w:r>
          </w:p>
        </w:tc>
        <w:tc>
          <w:tcPr>
            <w:tcW w:w="1418" w:type="dxa"/>
            <w:vAlign w:val="center"/>
          </w:tcPr>
          <w:p w14:paraId="00000058" w14:textId="77777777" w:rsidR="00D15563" w:rsidRDefault="00374D2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hours</w:t>
            </w:r>
          </w:p>
        </w:tc>
        <w:tc>
          <w:tcPr>
            <w:tcW w:w="1417" w:type="dxa"/>
            <w:vAlign w:val="center"/>
          </w:tcPr>
          <w:p w14:paraId="00000059" w14:textId="77777777" w:rsidR="00D15563" w:rsidRDefault="00374D2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w:t>
            </w:r>
          </w:p>
        </w:tc>
        <w:tc>
          <w:tcPr>
            <w:tcW w:w="1877" w:type="dxa"/>
            <w:vAlign w:val="center"/>
          </w:tcPr>
          <w:p w14:paraId="0000005A" w14:textId="59AC6555" w:rsidR="00D15563" w:rsidRDefault="00374D22">
            <w:pPr>
              <w:widowControl w:val="0"/>
              <w:spacing w:after="0" w:line="240" w:lineRule="auto"/>
              <w:jc w:val="center"/>
              <w:rPr>
                <w:rFonts w:ascii="Times New Roman" w:eastAsia="Times New Roman" w:hAnsi="Times New Roman" w:cs="Times New Roman"/>
                <w:sz w:val="24"/>
                <w:szCs w:val="24"/>
              </w:rPr>
            </w:pPr>
            <w:r>
              <w:t>18/12 FN</w:t>
            </w:r>
            <w:bookmarkStart w:id="2" w:name="_GoBack"/>
            <w:bookmarkEnd w:id="2"/>
          </w:p>
        </w:tc>
        <w:tc>
          <w:tcPr>
            <w:tcW w:w="2234" w:type="dxa"/>
            <w:vAlign w:val="center"/>
          </w:tcPr>
          <w:p w14:paraId="0000005B" w14:textId="77777777" w:rsidR="00D15563" w:rsidRDefault="00374D22">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Closed Book </w:t>
            </w:r>
          </w:p>
        </w:tc>
      </w:tr>
    </w:tbl>
    <w:p w14:paraId="0000005C" w14:textId="77777777" w:rsidR="00D15563" w:rsidRDefault="00D15563">
      <w:pPr>
        <w:spacing w:after="0" w:line="240" w:lineRule="auto"/>
        <w:jc w:val="both"/>
        <w:rPr>
          <w:rFonts w:ascii="Times New Roman" w:eastAsia="Times New Roman" w:hAnsi="Times New Roman" w:cs="Times New Roman"/>
          <w:b/>
          <w:sz w:val="24"/>
          <w:szCs w:val="24"/>
        </w:rPr>
      </w:pPr>
    </w:p>
    <w:p w14:paraId="0000005D" w14:textId="77777777" w:rsidR="00D15563" w:rsidRDefault="00374D2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Chamber Consultation hours: </w:t>
      </w:r>
      <w:r>
        <w:rPr>
          <w:rFonts w:ascii="Times New Roman" w:eastAsia="Times New Roman" w:hAnsi="Times New Roman" w:cs="Times New Roman"/>
          <w:sz w:val="24"/>
          <w:szCs w:val="24"/>
        </w:rPr>
        <w:t>In K-128; Wednesday—11:30-12:30.</w:t>
      </w:r>
    </w:p>
    <w:p w14:paraId="0000005E" w14:textId="77777777" w:rsidR="00D15563" w:rsidRDefault="00374D22">
      <w:pPr>
        <w:spacing w:after="0" w:line="240" w:lineRule="auto"/>
        <w:ind w:right="53"/>
        <w:rPr>
          <w:rFonts w:ascii="Times New Roman" w:eastAsia="Times New Roman" w:hAnsi="Times New Roman" w:cs="Times New Roman"/>
          <w:sz w:val="24"/>
          <w:szCs w:val="24"/>
        </w:rPr>
      </w:pPr>
      <w:r>
        <w:rPr>
          <w:rFonts w:ascii="Times New Roman" w:eastAsia="Times New Roman" w:hAnsi="Times New Roman" w:cs="Times New Roman"/>
          <w:b/>
          <w:sz w:val="24"/>
          <w:szCs w:val="24"/>
        </w:rPr>
        <w:t>Notices:</w:t>
      </w:r>
      <w:r>
        <w:rPr>
          <w:rFonts w:ascii="Times New Roman" w:eastAsia="Times New Roman" w:hAnsi="Times New Roman" w:cs="Times New Roman"/>
          <w:sz w:val="24"/>
          <w:szCs w:val="24"/>
        </w:rPr>
        <w:t xml:space="preserve"> If any, will be posted on CMS. </w:t>
      </w:r>
    </w:p>
    <w:p w14:paraId="0000005F" w14:textId="77777777" w:rsidR="00D15563" w:rsidRDefault="00D15563">
      <w:pPr>
        <w:spacing w:after="0" w:line="240" w:lineRule="auto"/>
        <w:ind w:right="53"/>
        <w:rPr>
          <w:rFonts w:ascii="Times New Roman" w:eastAsia="Times New Roman" w:hAnsi="Times New Roman" w:cs="Times New Roman"/>
          <w:sz w:val="24"/>
          <w:szCs w:val="24"/>
        </w:rPr>
      </w:pPr>
    </w:p>
    <w:p w14:paraId="00000060" w14:textId="77777777" w:rsidR="00D15563" w:rsidRDefault="00374D22">
      <w:pPr>
        <w:spacing w:after="0" w:line="240" w:lineRule="auto"/>
        <w:ind w:right="5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Make-up Policy: </w:t>
      </w:r>
      <w:r>
        <w:rPr>
          <w:rFonts w:ascii="Times New Roman" w:eastAsia="Times New Roman" w:hAnsi="Times New Roman" w:cs="Times New Roman"/>
          <w:sz w:val="24"/>
          <w:szCs w:val="24"/>
        </w:rPr>
        <w:t xml:space="preserve">Assignments </w:t>
      </w:r>
      <w:r>
        <w:rPr>
          <w:rFonts w:ascii="Times New Roman" w:eastAsia="Times New Roman" w:hAnsi="Times New Roman" w:cs="Times New Roman"/>
          <w:sz w:val="24"/>
          <w:szCs w:val="24"/>
          <w:u w:val="single"/>
        </w:rPr>
        <w:t>will not be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repeated.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Make-up for other assessment components will be allowed only in genuine cases and on the basis of verifiable, documentary proof.</w:t>
      </w:r>
      <w:r>
        <w:rPr>
          <w:rFonts w:ascii="Times New Roman" w:eastAsia="Times New Roman" w:hAnsi="Times New Roman" w:cs="Times New Roman"/>
          <w:b/>
          <w:sz w:val="24"/>
          <w:szCs w:val="24"/>
        </w:rPr>
        <w:t xml:space="preserve"> </w:t>
      </w:r>
    </w:p>
    <w:p w14:paraId="00000061" w14:textId="77777777" w:rsidR="00D15563" w:rsidRDefault="00D15563">
      <w:pPr>
        <w:spacing w:after="0" w:line="240" w:lineRule="auto"/>
        <w:ind w:right="53"/>
        <w:rPr>
          <w:rFonts w:ascii="Times New Roman" w:eastAsia="Times New Roman" w:hAnsi="Times New Roman" w:cs="Times New Roman"/>
          <w:b/>
          <w:sz w:val="24"/>
          <w:szCs w:val="24"/>
        </w:rPr>
      </w:pPr>
    </w:p>
    <w:p w14:paraId="00000062" w14:textId="77777777" w:rsidR="00D15563" w:rsidRDefault="00374D22">
      <w:pPr>
        <w:spacing w:after="0" w:line="240" w:lineRule="auto"/>
        <w:ind w:right="5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Academic Honesty and Integrity Policy: </w:t>
      </w:r>
      <w:r>
        <w:rPr>
          <w:rFonts w:ascii="Times New Roman" w:eastAsia="Times New Roman" w:hAnsi="Times New Roman" w:cs="Times New Roman"/>
          <w:sz w:val="24"/>
          <w:szCs w:val="24"/>
        </w:rPr>
        <w:t>Academic honesty and integrity are to be maintained by all the students throughout the</w:t>
      </w:r>
      <w:r>
        <w:rPr>
          <w:rFonts w:ascii="Times New Roman" w:eastAsia="Times New Roman" w:hAnsi="Times New Roman" w:cs="Times New Roman"/>
          <w:sz w:val="24"/>
          <w:szCs w:val="24"/>
        </w:rPr>
        <w:t xml:space="preserve"> semester and no type of academic dishonesty is acceptable.  </w:t>
      </w:r>
    </w:p>
    <w:p w14:paraId="00000063" w14:textId="77777777" w:rsidR="00D15563" w:rsidRDefault="00D15563">
      <w:pPr>
        <w:spacing w:after="0" w:line="240" w:lineRule="auto"/>
        <w:ind w:right="45"/>
        <w:jc w:val="right"/>
        <w:rPr>
          <w:rFonts w:ascii="Times New Roman" w:eastAsia="Times New Roman" w:hAnsi="Times New Roman" w:cs="Times New Roman"/>
          <w:sz w:val="24"/>
          <w:szCs w:val="24"/>
        </w:rPr>
      </w:pPr>
    </w:p>
    <w:p w14:paraId="00000064" w14:textId="77777777" w:rsidR="00D15563" w:rsidRDefault="00374D22">
      <w:pPr>
        <w:spacing w:after="0" w:line="240" w:lineRule="auto"/>
        <w:ind w:right="45"/>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Vijay Kumar </w:t>
      </w:r>
    </w:p>
    <w:p w14:paraId="00000065" w14:textId="77777777" w:rsidR="00D15563" w:rsidRDefault="00374D22">
      <w:pPr>
        <w:spacing w:after="0" w:line="240" w:lineRule="auto"/>
        <w:ind w:right="62"/>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INSTRUCTOR-IN-CHARGE </w:t>
      </w:r>
    </w:p>
    <w:p w14:paraId="00000066" w14:textId="77777777" w:rsidR="00D15563" w:rsidRDefault="00D15563">
      <w:pPr>
        <w:spacing w:after="0" w:line="240" w:lineRule="auto"/>
        <w:jc w:val="both"/>
        <w:rPr>
          <w:rFonts w:ascii="Times New Roman" w:eastAsia="Times New Roman" w:hAnsi="Times New Roman" w:cs="Times New Roman"/>
          <w:b/>
          <w:sz w:val="24"/>
          <w:szCs w:val="24"/>
        </w:rPr>
      </w:pPr>
    </w:p>
    <w:p w14:paraId="00000067" w14:textId="77777777" w:rsidR="00D15563" w:rsidRDefault="00D15563">
      <w:pPr>
        <w:spacing w:after="0" w:line="240" w:lineRule="auto"/>
        <w:jc w:val="both"/>
        <w:rPr>
          <w:rFonts w:ascii="Times New Roman" w:eastAsia="Times New Roman" w:hAnsi="Times New Roman" w:cs="Times New Roman"/>
          <w:b/>
          <w:sz w:val="24"/>
          <w:szCs w:val="24"/>
        </w:rPr>
      </w:pPr>
    </w:p>
    <w:p w14:paraId="00000068" w14:textId="77777777" w:rsidR="00D15563" w:rsidRDefault="00D15563">
      <w:pPr>
        <w:spacing w:after="0" w:line="240" w:lineRule="auto"/>
        <w:jc w:val="both"/>
        <w:rPr>
          <w:rFonts w:ascii="Times New Roman" w:eastAsia="Times New Roman" w:hAnsi="Times New Roman" w:cs="Times New Roman"/>
          <w:b/>
          <w:sz w:val="24"/>
          <w:szCs w:val="24"/>
        </w:rPr>
      </w:pPr>
    </w:p>
    <w:p w14:paraId="00000069" w14:textId="77777777" w:rsidR="00D15563" w:rsidRDefault="00D15563">
      <w:pPr>
        <w:spacing w:after="0" w:line="240" w:lineRule="auto"/>
        <w:rPr>
          <w:rFonts w:ascii="Times New Roman" w:eastAsia="Times New Roman" w:hAnsi="Times New Roman" w:cs="Times New Roman"/>
          <w:sz w:val="24"/>
          <w:szCs w:val="24"/>
        </w:rPr>
      </w:pPr>
    </w:p>
    <w:p w14:paraId="0000006A" w14:textId="77777777" w:rsidR="00D15563" w:rsidRDefault="00D15563">
      <w:pPr>
        <w:spacing w:after="0" w:line="240" w:lineRule="auto"/>
        <w:rPr>
          <w:rFonts w:ascii="Times New Roman" w:eastAsia="Times New Roman" w:hAnsi="Times New Roman" w:cs="Times New Roman"/>
          <w:sz w:val="24"/>
          <w:szCs w:val="24"/>
        </w:rPr>
      </w:pPr>
    </w:p>
    <w:sectPr w:rsidR="00D15563">
      <w:pgSz w:w="11906" w:h="16838"/>
      <w:pgMar w:top="720" w:right="720" w:bottom="720" w:left="72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hilpaa Anand" w:date="2023-08-08T06:28:00Z" w:initials="">
    <w:p w14:paraId="0000006B" w14:textId="77777777" w:rsidR="00D15563" w:rsidRDefault="00374D2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Ideally chapters need to be listed.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93251"/>
    <w:multiLevelType w:val="multilevel"/>
    <w:tmpl w:val="07F6CC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5EA7EE9"/>
    <w:multiLevelType w:val="multilevel"/>
    <w:tmpl w:val="12187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63"/>
    <w:rsid w:val="00374D22"/>
    <w:rsid w:val="008E71DD"/>
    <w:rsid w:val="00D15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3111"/>
  <w15:docId w15:val="{C7F094AD-F48B-416A-BEAD-EAA32732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07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1407B"/>
    <w:pPr>
      <w:ind w:left="720"/>
      <w:contextualSpacing/>
    </w:pPr>
  </w:style>
  <w:style w:type="table" w:styleId="TableGrid">
    <w:name w:val="Table Grid"/>
    <w:basedOn w:val="TableNormal"/>
    <w:uiPriority w:val="59"/>
    <w:rsid w:val="00714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4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07B"/>
    <w:rPr>
      <w:lang w:val="en-US"/>
    </w:rPr>
  </w:style>
  <w:style w:type="paragraph" w:styleId="FootnoteText">
    <w:name w:val="footnote text"/>
    <w:basedOn w:val="Normal"/>
    <w:link w:val="FootnoteTextChar"/>
    <w:uiPriority w:val="99"/>
    <w:unhideWhenUsed/>
    <w:rsid w:val="0071407B"/>
    <w:pPr>
      <w:spacing w:after="0" w:line="240" w:lineRule="auto"/>
    </w:pPr>
    <w:rPr>
      <w:rFonts w:eastAsiaTheme="minorEastAsia"/>
      <w:sz w:val="20"/>
      <w:szCs w:val="20"/>
      <w:lang w:val="en-IN"/>
    </w:rPr>
  </w:style>
  <w:style w:type="character" w:customStyle="1" w:styleId="FootnoteTextChar">
    <w:name w:val="Footnote Text Char"/>
    <w:basedOn w:val="DefaultParagraphFont"/>
    <w:link w:val="FootnoteText"/>
    <w:uiPriority w:val="99"/>
    <w:rsid w:val="0071407B"/>
    <w:rPr>
      <w:rFonts w:eastAsiaTheme="minorEastAsia"/>
      <w:sz w:val="20"/>
      <w:szCs w:val="20"/>
      <w:lang w:eastAsia="en-IN"/>
    </w:rPr>
  </w:style>
  <w:style w:type="character" w:styleId="Emphasis">
    <w:name w:val="Emphasis"/>
    <w:basedOn w:val="DefaultParagraphFont"/>
    <w:uiPriority w:val="20"/>
    <w:qFormat/>
    <w:rsid w:val="0071407B"/>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E7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1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4Mp47nXTJ8y0/z76nrCvINQsLA==">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3</cp:revision>
  <dcterms:created xsi:type="dcterms:W3CDTF">2023-08-04T15:09:00Z</dcterms:created>
  <dcterms:modified xsi:type="dcterms:W3CDTF">2023-08-10T10:29:00Z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dba357fb-ab17-4d3e-bba6-4419b8b9d73b</vt:lpwstr>
  </property>
</Properties>
</file>