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E2" w:rsidRDefault="00276594">
      <w:pPr>
        <w:jc w:val="center"/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E2" w:rsidRDefault="0027659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SEMESTER 2023-2024</w:t>
      </w:r>
    </w:p>
    <w:p w:rsidR="00801BE2" w:rsidRDefault="00276594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Handout Part II</w:t>
      </w:r>
    </w:p>
    <w:p w:rsidR="00801BE2" w:rsidRDefault="0027659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Date: </w:t>
      </w:r>
      <w:r w:rsidR="00BF52EA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.08.2023 </w:t>
      </w:r>
    </w:p>
    <w:p w:rsidR="00801BE2" w:rsidRDefault="0027659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 addition to Part-I (General Handout for all courses appended to the time table) this portion gives further specific details regarding the course.</w:t>
      </w:r>
    </w:p>
    <w:p w:rsidR="00801BE2" w:rsidRDefault="00801BE2">
      <w:pPr>
        <w:rPr>
          <w:rFonts w:ascii="Arial" w:hAnsi="Arial" w:cs="Arial"/>
        </w:rPr>
      </w:pPr>
    </w:p>
    <w:p w:rsidR="00801BE2" w:rsidRDefault="0027659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Course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 xml:space="preserve">MATH </w:t>
      </w:r>
      <w:r>
        <w:rPr>
          <w:rFonts w:ascii="Arial" w:hAnsi="Arial" w:cs="Arial"/>
          <w:iCs/>
        </w:rPr>
        <w:t>F424</w:t>
      </w:r>
    </w:p>
    <w:p w:rsidR="00801BE2" w:rsidRDefault="00276594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Course Title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>:  Applied Stochastic Process</w:t>
      </w:r>
    </w:p>
    <w:p w:rsidR="00801BE2" w:rsidRDefault="00276594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Instructor-in-Charge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 xml:space="preserve">:  </w:t>
      </w:r>
      <w:proofErr w:type="spellStart"/>
      <w:r>
        <w:rPr>
          <w:rFonts w:ascii="Arial" w:hAnsi="Arial" w:cs="Arial"/>
          <w:i w:val="0"/>
          <w:iCs w:val="0"/>
        </w:rPr>
        <w:t>Sayan</w:t>
      </w:r>
      <w:proofErr w:type="spellEnd"/>
      <w:r>
        <w:rPr>
          <w:rFonts w:ascii="Arial" w:hAnsi="Arial" w:cs="Arial"/>
          <w:i w:val="0"/>
          <w:iCs w:val="0"/>
        </w:rPr>
        <w:t xml:space="preserve"> Ghosh</w:t>
      </w:r>
    </w:p>
    <w:p w:rsidR="00801BE2" w:rsidRDefault="00801BE2">
      <w:pPr>
        <w:rPr>
          <w:rFonts w:ascii="Arial" w:hAnsi="Arial" w:cs="Arial"/>
        </w:rPr>
      </w:pPr>
    </w:p>
    <w:p w:rsidR="00801BE2" w:rsidRDefault="0027659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Scope and Objective of the Course: </w:t>
      </w:r>
      <w:r>
        <w:rPr>
          <w:rFonts w:ascii="Arial" w:hAnsi="Arial" w:cs="Arial"/>
          <w:bCs/>
        </w:rPr>
        <w:t xml:space="preserve">A stochastic process is a random process. This course will provide an introduction to various stochastic processes, and will give an </w:t>
      </w:r>
      <w:r>
        <w:rPr>
          <w:rFonts w:ascii="Arial" w:hAnsi="Arial" w:cs="Arial"/>
          <w:bCs/>
        </w:rPr>
        <w:t>understanding of relevant mathematical principles, which will enable the students to construct predictive models and apply to real-world situations. It includes a review of elementary probability theory and detailed coverage of Poisson, Gaussian, Markov an</w:t>
      </w:r>
      <w:r>
        <w:rPr>
          <w:rFonts w:ascii="Arial" w:hAnsi="Arial" w:cs="Arial"/>
          <w:bCs/>
        </w:rPr>
        <w:t>d Renewal processes.</w:t>
      </w:r>
    </w:p>
    <w:p w:rsidR="00801BE2" w:rsidRDefault="0027659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01BE2" w:rsidRDefault="00276594">
      <w:pPr>
        <w:pStyle w:val="BodyTex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Textbook:</w:t>
      </w:r>
    </w:p>
    <w:p w:rsidR="00801BE2" w:rsidRDefault="00276594">
      <w:pPr>
        <w:numPr>
          <w:ilvl w:val="0"/>
          <w:numId w:val="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Stochastic Processes-Theory for Applications, Robert G. </w:t>
      </w:r>
      <w:proofErr w:type="spellStart"/>
      <w:r>
        <w:rPr>
          <w:rFonts w:ascii="Arial" w:hAnsi="Arial" w:cs="Arial"/>
        </w:rPr>
        <w:t>Gallager</w:t>
      </w:r>
      <w:proofErr w:type="spellEnd"/>
      <w:r>
        <w:rPr>
          <w:rFonts w:ascii="Arial" w:hAnsi="Arial" w:cs="Arial"/>
        </w:rPr>
        <w:t>, Cambridge University Press</w:t>
      </w:r>
      <w:r>
        <w:rPr>
          <w:rFonts w:ascii="Arial" w:hAnsi="Arial" w:cs="Arial"/>
          <w:bCs/>
        </w:rPr>
        <w:t>, First South Asia Edition 2016.</w:t>
      </w:r>
    </w:p>
    <w:p w:rsidR="00801BE2" w:rsidRDefault="00801BE2">
      <w:pPr>
        <w:jc w:val="both"/>
        <w:rPr>
          <w:rFonts w:ascii="Arial" w:hAnsi="Arial" w:cs="Arial"/>
          <w:b/>
          <w:bCs/>
        </w:rPr>
      </w:pPr>
    </w:p>
    <w:p w:rsidR="00801BE2" w:rsidRDefault="0027659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 books</w:t>
      </w:r>
    </w:p>
    <w:p w:rsidR="00801BE2" w:rsidRDefault="00276594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Sheldon M. Ross, Wiley and Sons. </w:t>
      </w:r>
    </w:p>
    <w:p w:rsidR="00801BE2" w:rsidRDefault="00276594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First Cour</w:t>
      </w:r>
      <w:r>
        <w:rPr>
          <w:rFonts w:ascii="Arial" w:hAnsi="Arial" w:cs="Arial"/>
        </w:rPr>
        <w:t>se in 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Samuel </w:t>
      </w:r>
      <w:proofErr w:type="spellStart"/>
      <w:r>
        <w:rPr>
          <w:rFonts w:ascii="Arial" w:hAnsi="Arial" w:cs="Arial"/>
        </w:rPr>
        <w:t>Karlin</w:t>
      </w:r>
      <w:proofErr w:type="spellEnd"/>
      <w:r>
        <w:rPr>
          <w:rFonts w:ascii="Arial" w:hAnsi="Arial" w:cs="Arial"/>
        </w:rPr>
        <w:t xml:space="preserve"> and Howard E. Taylor, Academic Press.</w:t>
      </w:r>
    </w:p>
    <w:p w:rsidR="00801BE2" w:rsidRDefault="002765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Probability, Random Variables and Stochastic Processes,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edition, Athanasios Papoulis and</w:t>
      </w:r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Arial" w:hAnsi="Arial" w:cs="Arial"/>
        </w:rPr>
        <w:t>Unnikrishna</w:t>
      </w:r>
      <w:proofErr w:type="spellEnd"/>
      <w:r>
        <w:rPr>
          <w:rFonts w:ascii="Arial" w:hAnsi="Arial" w:cs="Arial"/>
        </w:rPr>
        <w:t xml:space="preserve"> Pillai, McGraw-Hill. </w:t>
      </w:r>
    </w:p>
    <w:p w:rsidR="00801BE2" w:rsidRDefault="00801BE2">
      <w:pPr>
        <w:ind w:left="720"/>
        <w:jc w:val="both"/>
        <w:rPr>
          <w:rFonts w:ascii="Arial" w:hAnsi="Arial" w:cs="Arial"/>
        </w:rPr>
      </w:pPr>
    </w:p>
    <w:p w:rsidR="00801BE2" w:rsidRDefault="00801BE2">
      <w:pPr>
        <w:ind w:left="720"/>
        <w:jc w:val="both"/>
        <w:rPr>
          <w:rFonts w:ascii="Arial" w:hAnsi="Arial" w:cs="Arial"/>
          <w:b/>
          <w:bCs/>
        </w:rPr>
      </w:pPr>
    </w:p>
    <w:p w:rsidR="00801BE2" w:rsidRDefault="0027659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 Plan:</w:t>
      </w:r>
    </w:p>
    <w:tbl>
      <w:tblPr>
        <w:tblW w:w="10198" w:type="dxa"/>
        <w:jc w:val="center"/>
        <w:tblLayout w:type="fixed"/>
        <w:tblLook w:val="0000" w:firstRow="0" w:lastRow="0" w:firstColumn="0" w:lastColumn="0" w:noHBand="0" w:noVBand="0"/>
      </w:tblPr>
      <w:tblGrid>
        <w:gridCol w:w="1087"/>
        <w:gridCol w:w="2339"/>
        <w:gridCol w:w="4325"/>
        <w:gridCol w:w="2447"/>
      </w:tblGrid>
      <w:tr w:rsidR="00801BE2">
        <w:trPr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Lecture No.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Learning </w:t>
            </w:r>
            <w:r>
              <w:rPr>
                <w:rFonts w:ascii="Arial" w:hAnsi="Arial" w:cs="Arial"/>
                <w:b/>
                <w:bCs/>
              </w:rPr>
              <w:t>objectives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Topics to be covered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801BE2">
        <w:trPr>
          <w:trHeight w:val="576"/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1-7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learn the characteristics of probability models and fundamental inequalities.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 Models, Bernoulli process, Expectation , Inequalities , Law of large numbers , Central Limit Theorem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1.1 – 1.7</w:t>
            </w: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801BE2">
        <w:trPr>
          <w:trHeight w:val="576"/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8-14 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understand the definition and implications of </w:t>
            </w:r>
            <w:r>
              <w:rPr>
                <w:rFonts w:ascii="Arial" w:hAnsi="Arial" w:cs="Arial"/>
              </w:rPr>
              <w:lastRenderedPageBreak/>
              <w:t>Poisson processes.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Poisson process, Arrival processes, Properties of Poisson Processes, Combination of Poisson </w:t>
            </w:r>
            <w:r>
              <w:rPr>
                <w:rFonts w:ascii="Arial" w:hAnsi="Arial" w:cs="Arial"/>
              </w:rPr>
              <w:lastRenderedPageBreak/>
              <w:t>processes, Conditional Poisson Processes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Sections 2.1 - </w:t>
            </w:r>
            <w:r>
              <w:rPr>
                <w:rFonts w:ascii="Arial" w:hAnsi="Arial" w:cs="Arial"/>
              </w:rPr>
              <w:t>2.5</w:t>
            </w:r>
          </w:p>
        </w:tc>
      </w:tr>
      <w:tr w:rsidR="00801BE2">
        <w:trPr>
          <w:trHeight w:val="576"/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15-21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understand Gaussian processes.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Gaussian random variables, Gaussian random vectors, Properties of covariance matrices, Conditional PDFs for Gaussian random vectors, Brownian Motion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3.1 - 3.5 and 3.6.9</w:t>
            </w: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801BE2">
        <w:trPr>
          <w:trHeight w:val="576"/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22-28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compute transition pr</w:t>
            </w:r>
            <w:r>
              <w:rPr>
                <w:rFonts w:ascii="Arial" w:hAnsi="Arial" w:cs="Arial"/>
              </w:rPr>
              <w:t>obabilities and their implications in Markov processes.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Definition of Markov chains, Classification of states, The matrix representation, Stochastic matrices, Markov chains with rewards, Applications in programming.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4.1 – 4.5 </w:t>
            </w:r>
          </w:p>
        </w:tc>
      </w:tr>
      <w:tr w:rsidR="00801BE2">
        <w:trPr>
          <w:trHeight w:val="576"/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29-35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comprehen</w:t>
            </w:r>
            <w:r>
              <w:rPr>
                <w:rFonts w:ascii="Arial" w:hAnsi="Arial" w:cs="Arial"/>
              </w:rPr>
              <w:t xml:space="preserve">d countable state  Markov chains and application of Renewal theory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Renewal Processes, Renewal reward processes, Countable state Markov chains, Renewal theory applied to Markov chains.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5.1-5.4</w:t>
            </w:r>
          </w:p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6.1-6.3</w:t>
            </w:r>
          </w:p>
        </w:tc>
      </w:tr>
      <w:tr w:rsidR="00801BE2">
        <w:trPr>
          <w:trHeight w:val="576"/>
          <w:jc w:val="center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36-40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gain knowledge of random walks and Martingales </w:t>
            </w:r>
          </w:p>
        </w:tc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random walks,  Integer-valued random walks, Martingales, Scaled Branching processes, Sub-Martingales and Super-Martingales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9.1, 9.6, 9.7</w:t>
            </w:r>
          </w:p>
          <w:p w:rsidR="00801BE2" w:rsidRDefault="00801BE2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</w:tbl>
    <w:p w:rsidR="00801BE2" w:rsidRDefault="00801BE2">
      <w:pPr>
        <w:jc w:val="both"/>
        <w:rPr>
          <w:rFonts w:ascii="Arial" w:hAnsi="Arial" w:cs="Arial"/>
        </w:rPr>
      </w:pPr>
    </w:p>
    <w:p w:rsidR="00801BE2" w:rsidRDefault="0027659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Evaluation Scheme:</w:t>
      </w:r>
    </w:p>
    <w:p w:rsidR="00801BE2" w:rsidRDefault="00801BE2">
      <w:pPr>
        <w:jc w:val="both"/>
        <w:rPr>
          <w:rFonts w:ascii="Arial" w:hAnsi="Arial" w:cs="Arial"/>
          <w:b/>
          <w:bCs/>
        </w:rPr>
      </w:pPr>
    </w:p>
    <w:tbl>
      <w:tblPr>
        <w:tblW w:w="9227" w:type="dxa"/>
        <w:jc w:val="center"/>
        <w:tblLayout w:type="fixed"/>
        <w:tblLook w:val="0000" w:firstRow="0" w:lastRow="0" w:firstColumn="0" w:lastColumn="0" w:noHBand="0" w:noVBand="0"/>
      </w:tblPr>
      <w:tblGrid>
        <w:gridCol w:w="2206"/>
        <w:gridCol w:w="1662"/>
        <w:gridCol w:w="1431"/>
        <w:gridCol w:w="2207"/>
        <w:gridCol w:w="1721"/>
      </w:tblGrid>
      <w:tr w:rsidR="00801BE2">
        <w:trPr>
          <w:trHeight w:val="422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Weightage </w:t>
            </w:r>
            <w:r>
              <w:rPr>
                <w:rFonts w:ascii="Arial" w:hAnsi="Arial" w:cs="Arial"/>
                <w:b/>
                <w:bCs/>
              </w:rPr>
              <w:t>(%)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&amp; Time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 of Component</w:t>
            </w:r>
          </w:p>
        </w:tc>
      </w:tr>
      <w:tr w:rsidR="00801BE2">
        <w:trPr>
          <w:trHeight w:val="53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69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Quizzes (2)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proofErr w:type="spellStart"/>
            <w:r>
              <w:rPr>
                <w:rFonts w:ascii="Arial" w:hAnsi="Arial" w:cs="Arial"/>
              </w:rPr>
              <w:t>mins</w:t>
            </w:r>
            <w:proofErr w:type="spellEnd"/>
            <w:r>
              <w:rPr>
                <w:rFonts w:ascii="Arial" w:hAnsi="Arial" w:cs="Arial"/>
              </w:rPr>
              <w:t xml:space="preserve"> each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20%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69" w:lineRule="exact"/>
              <w:ind w:left="120"/>
              <w:rPr>
                <w:rFonts w:ascii="Arial" w:hAnsi="Arial" w:cs="Arial"/>
                <w:sz w:val="22"/>
                <w:szCs w:val="17"/>
              </w:rPr>
            </w:pPr>
            <w:r>
              <w:rPr>
                <w:rFonts w:ascii="Arial" w:hAnsi="Arial" w:cs="Arial"/>
                <w:sz w:val="22"/>
                <w:szCs w:val="17"/>
              </w:rPr>
              <w:t>To be announced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801BE2">
        <w:trPr>
          <w:trHeight w:val="53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Mid-semester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90 </w:t>
            </w:r>
            <w:proofErr w:type="spellStart"/>
            <w:r>
              <w:rPr>
                <w:rFonts w:ascii="Arial" w:hAnsi="Arial" w:cs="Arial"/>
              </w:rPr>
              <w:t>mins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30%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BF52EA">
            <w:pPr>
              <w:widowControl w:val="0"/>
              <w:spacing w:line="258" w:lineRule="exact"/>
              <w:ind w:left="120"/>
              <w:rPr>
                <w:rFonts w:ascii="Arial" w:hAnsi="Arial" w:cs="Arial"/>
                <w:sz w:val="22"/>
              </w:rPr>
            </w:pPr>
            <w:r>
              <w:t>13/10 - 4.00 - 5.30PM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BE2" w:rsidRDefault="00276594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801BE2">
        <w:trPr>
          <w:trHeight w:val="53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Assignment (1)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announced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10%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58" w:lineRule="exact"/>
              <w:ind w:left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 be announced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801BE2">
        <w:trPr>
          <w:trHeight w:val="530"/>
          <w:jc w:val="center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71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  <w:w w:val="97"/>
              </w:rPr>
              <w:t>Comprehensive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 w:rsidP="00BF52EA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 1</w:t>
            </w:r>
            <w:r w:rsidR="00BF52EA">
              <w:rPr>
                <w:rFonts w:ascii="Arial" w:hAnsi="Arial" w:cs="Arial"/>
                <w:color w:val="00000A"/>
              </w:rPr>
              <w:t>8</w:t>
            </w:r>
            <w:bookmarkStart w:id="0" w:name="_GoBack"/>
            <w:bookmarkEnd w:id="0"/>
            <w:r>
              <w:rPr>
                <w:rFonts w:ascii="Arial" w:hAnsi="Arial" w:cs="Arial"/>
                <w:color w:val="00000A"/>
              </w:rPr>
              <w:t xml:space="preserve">0 </w:t>
            </w:r>
            <w:proofErr w:type="spellStart"/>
            <w:r>
              <w:rPr>
                <w:rFonts w:ascii="Arial" w:hAnsi="Arial" w:cs="Arial"/>
                <w:color w:val="00000A"/>
              </w:rPr>
              <w:t>mins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276594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4</w:t>
            </w:r>
            <w:r>
              <w:rPr>
                <w:rFonts w:ascii="Arial" w:hAnsi="Arial" w:cs="Arial"/>
                <w:color w:val="00000A"/>
              </w:rPr>
              <w:t>0%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1BE2" w:rsidRDefault="00BF52EA">
            <w:pPr>
              <w:widowControl w:val="0"/>
              <w:spacing w:line="271" w:lineRule="exact"/>
              <w:ind w:left="120"/>
              <w:rPr>
                <w:rFonts w:ascii="Arial" w:hAnsi="Arial" w:cs="Arial"/>
                <w:sz w:val="22"/>
              </w:rPr>
            </w:pPr>
            <w:r>
              <w:t>19/12 AN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1BE2" w:rsidRDefault="00276594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  <w:r>
              <w:rPr>
                <w:rFonts w:ascii="Arial" w:hAnsi="Arial" w:cs="Arial"/>
              </w:rPr>
              <w:t xml:space="preserve"> Book</w:t>
            </w:r>
          </w:p>
        </w:tc>
      </w:tr>
    </w:tbl>
    <w:p w:rsidR="00801BE2" w:rsidRDefault="0027659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Note: Total marks with all the evaluation components taken together will be 100.</w:t>
      </w:r>
    </w:p>
    <w:p w:rsidR="00801BE2" w:rsidRDefault="0027659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  <w:r>
        <w:rPr>
          <w:rFonts w:ascii="Arial" w:hAnsi="Arial" w:cs="Arial"/>
          <w:bCs/>
        </w:rPr>
        <w:t>For the 1 credit practical class, related computational problems will be assigned at the end of each chapter.</w:t>
      </w:r>
    </w:p>
    <w:p w:rsidR="00801BE2" w:rsidRDefault="00801BE2">
      <w:pPr>
        <w:jc w:val="both"/>
        <w:rPr>
          <w:rFonts w:ascii="Arial" w:hAnsi="Arial" w:cs="Arial"/>
          <w:b/>
          <w:bCs/>
        </w:rPr>
      </w:pPr>
    </w:p>
    <w:p w:rsidR="00801BE2" w:rsidRDefault="0027659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Chamber Consultation Hour:</w:t>
      </w:r>
      <w:r>
        <w:rPr>
          <w:rFonts w:ascii="Arial" w:hAnsi="Arial" w:cs="Arial"/>
        </w:rPr>
        <w:t xml:space="preserve"> To be announ</w:t>
      </w:r>
      <w:r>
        <w:rPr>
          <w:rFonts w:ascii="Arial" w:hAnsi="Arial" w:cs="Arial"/>
        </w:rPr>
        <w:t>ced in class.</w:t>
      </w:r>
    </w:p>
    <w:p w:rsidR="00801BE2" w:rsidRDefault="0027659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Notices:</w:t>
      </w:r>
      <w:r>
        <w:rPr>
          <w:rFonts w:ascii="Arial" w:hAnsi="Arial" w:cs="Arial"/>
        </w:rPr>
        <w:t xml:space="preserve"> Students will be notified through CMS.  </w:t>
      </w:r>
    </w:p>
    <w:p w:rsidR="00801BE2" w:rsidRDefault="0027659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Make-up Policy:</w:t>
      </w:r>
      <w:r>
        <w:t xml:space="preserve"> </w:t>
      </w:r>
      <w:r>
        <w:rPr>
          <w:rFonts w:ascii="Arial" w:hAnsi="Arial" w:cs="Arial"/>
        </w:rPr>
        <w:t>Make-up for any component of evaluation will be given only in genuine cases of absence. [Prior permission is required]</w:t>
      </w:r>
    </w:p>
    <w:p w:rsidR="00801BE2" w:rsidRDefault="00276594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Academic Honesty and Integrity Policy:</w:t>
      </w:r>
      <w:r>
        <w:rPr>
          <w:rFonts w:ascii="Arial" w:hAnsi="Arial" w:cs="Arial"/>
          <w:color w:val="000000"/>
          <w:shd w:val="clear" w:color="auto" w:fill="FFFFFF"/>
        </w:rPr>
        <w:t> Academic honesty a</w:t>
      </w:r>
      <w:r>
        <w:rPr>
          <w:rFonts w:ascii="Arial" w:hAnsi="Arial" w:cs="Arial"/>
          <w:color w:val="000000"/>
          <w:shd w:val="clear" w:color="auto" w:fill="FFFFFF"/>
        </w:rPr>
        <w:t>nd integrity are to be maintained by all the students throughout the semester and no type of academic dishonesty is acceptable.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</w:p>
    <w:p w:rsidR="00801BE2" w:rsidRDefault="00801BE2">
      <w:pPr>
        <w:jc w:val="both"/>
        <w:rPr>
          <w:rFonts w:ascii="Arial" w:hAnsi="Arial" w:cs="Arial"/>
        </w:rPr>
      </w:pPr>
    </w:p>
    <w:p w:rsidR="00801BE2" w:rsidRDefault="00801BE2">
      <w:pPr>
        <w:jc w:val="right"/>
        <w:rPr>
          <w:rFonts w:ascii="Arial" w:hAnsi="Arial" w:cs="Arial"/>
        </w:rPr>
      </w:pPr>
    </w:p>
    <w:p w:rsidR="00801BE2" w:rsidRDefault="0027659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INSTRUCTOR-IN-CHARGE</w:t>
      </w:r>
    </w:p>
    <w:sectPr w:rsidR="00801BE2">
      <w:headerReference w:type="default" r:id="rId8"/>
      <w:footerReference w:type="default" r:id="rId9"/>
      <w:pgSz w:w="12240" w:h="15840"/>
      <w:pgMar w:top="720" w:right="720" w:bottom="720" w:left="720" w:header="624" w:footer="6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94" w:rsidRDefault="00276594">
      <w:r>
        <w:separator/>
      </w:r>
    </w:p>
  </w:endnote>
  <w:endnote w:type="continuationSeparator" w:id="0">
    <w:p w:rsidR="00276594" w:rsidRDefault="0027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E2" w:rsidRDefault="00276594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94" w:rsidRDefault="00276594">
      <w:r>
        <w:separator/>
      </w:r>
    </w:p>
  </w:footnote>
  <w:footnote w:type="continuationSeparator" w:id="0">
    <w:p w:rsidR="00276594" w:rsidRDefault="0027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E2" w:rsidRDefault="00801BE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A298C"/>
    <w:multiLevelType w:val="multilevel"/>
    <w:tmpl w:val="1A847F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F220BE9"/>
    <w:multiLevelType w:val="multilevel"/>
    <w:tmpl w:val="5AFE59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F765074"/>
    <w:multiLevelType w:val="multilevel"/>
    <w:tmpl w:val="6FF2FD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E2"/>
    <w:rsid w:val="00276594"/>
    <w:rsid w:val="00801BE2"/>
    <w:rsid w:val="00B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210B"/>
  <w15:docId w15:val="{D6CE53DD-263A-45F7-85A6-DBDA776B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3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01390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B01390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1390"/>
    <w:rPr>
      <w:rFonts w:ascii="Times New Roman" w:eastAsia="Times New Roman" w:hAnsi="Times New Roman" w:cs="Times New Roman"/>
      <w:kern w:val="0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qFormat/>
    <w:rsid w:val="00B01390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erChar">
    <w:name w:val="Header Char"/>
    <w:link w:val="Header"/>
    <w:uiPriority w:val="99"/>
    <w:qFormat/>
    <w:rsid w:val="00B01390"/>
    <w:rPr>
      <w:lang w:val="en-US"/>
    </w:rPr>
  </w:style>
  <w:style w:type="character" w:customStyle="1" w:styleId="FooterChar">
    <w:name w:val="Footer Char"/>
    <w:link w:val="Footer"/>
    <w:uiPriority w:val="99"/>
    <w:qFormat/>
    <w:rsid w:val="00B01390"/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qFormat/>
    <w:rsid w:val="00B0139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Char1">
    <w:name w:val="Header Char1"/>
    <w:basedOn w:val="DefaultParagraphFont"/>
    <w:uiPriority w:val="99"/>
    <w:semiHidden/>
    <w:qFormat/>
    <w:rsid w:val="00B0139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1">
    <w:name w:val="Footer Char1"/>
    <w:basedOn w:val="DefaultParagraphFont"/>
    <w:uiPriority w:val="99"/>
    <w:semiHidden/>
    <w:qFormat/>
    <w:rsid w:val="00B013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rsid w:val="00B01390"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0139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0139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B0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סאיאן גוש</dc:creator>
  <dc:description/>
  <cp:lastModifiedBy>Windows User</cp:lastModifiedBy>
  <cp:revision>3</cp:revision>
  <dcterms:created xsi:type="dcterms:W3CDTF">2023-08-03T08:04:00Z</dcterms:created>
  <dcterms:modified xsi:type="dcterms:W3CDTF">2023-08-11T05:24:00Z</dcterms:modified>
  <dc:language>en-IN</dc:language>
</cp:coreProperties>
</file>