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0E" w:rsidRDefault="008C17FB">
      <w:pPr>
        <w:pStyle w:val="normal0"/>
        <w:jc w:val="center"/>
        <w:rPr>
          <w:rFonts w:ascii="Helvetica Neue" w:eastAsia="Helvetica Neue" w:hAnsi="Helvetica Neue" w:cs="Helvetica Neue"/>
          <w:b/>
          <w:sz w:val="22"/>
          <w:szCs w:val="22"/>
        </w:rPr>
      </w:pPr>
      <w:bookmarkStart w:id="0" w:name="_heading=h.y7ttnuavqm6p" w:colFirst="0" w:colLast="0"/>
      <w:bookmarkEnd w:id="0"/>
      <w:r>
        <w:rPr>
          <w:rFonts w:ascii="Helvetica Neue" w:eastAsia="Helvetica Neue" w:hAnsi="Helvetica Neue" w:cs="Helvetica Neue"/>
          <w:b/>
          <w:sz w:val="22"/>
          <w:szCs w:val="22"/>
        </w:rPr>
        <w:t>SECOND SEMESTER 2023-2024</w:t>
      </w:r>
    </w:p>
    <w:p w:rsidR="009D000E" w:rsidRDefault="008C17FB">
      <w:pPr>
        <w:pStyle w:val="Heading1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Course Handout Part II</w:t>
      </w:r>
    </w:p>
    <w:p w:rsidR="009D000E" w:rsidRDefault="008C17FB">
      <w:pPr>
        <w:pStyle w:val="normal0"/>
        <w:jc w:val="right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  <w:t xml:space="preserve">    Date: </w:t>
      </w:r>
      <w:r w:rsidR="00EC7A0E">
        <w:rPr>
          <w:rFonts w:ascii="Helvetica Neue" w:eastAsia="Helvetica Neue" w:hAnsi="Helvetica Neue" w:cs="Helvetica Neue"/>
          <w:sz w:val="22"/>
          <w:szCs w:val="22"/>
        </w:rPr>
        <w:t>09</w:t>
      </w:r>
      <w:r>
        <w:rPr>
          <w:rFonts w:ascii="Helvetica Neue" w:eastAsia="Helvetica Neue" w:hAnsi="Helvetica Neue" w:cs="Helvetica Neue"/>
          <w:sz w:val="22"/>
          <w:szCs w:val="22"/>
        </w:rPr>
        <w:t>-</w:t>
      </w:r>
      <w:r w:rsidR="00EC7A0E">
        <w:rPr>
          <w:rFonts w:ascii="Helvetica Neue" w:eastAsia="Helvetica Neue" w:hAnsi="Helvetica Neue" w:cs="Helvetica Neue"/>
          <w:sz w:val="22"/>
          <w:szCs w:val="22"/>
        </w:rPr>
        <w:t>01</w:t>
      </w:r>
      <w:r>
        <w:rPr>
          <w:rFonts w:ascii="Helvetica Neue" w:eastAsia="Helvetica Neue" w:hAnsi="Helvetica Neue" w:cs="Helvetica Neue"/>
          <w:sz w:val="22"/>
          <w:szCs w:val="22"/>
        </w:rPr>
        <w:t>-202</w:t>
      </w:r>
      <w:r w:rsidR="00EC7A0E">
        <w:rPr>
          <w:rFonts w:ascii="Helvetica Neue" w:eastAsia="Helvetica Neue" w:hAnsi="Helvetica Neue" w:cs="Helvetica Neue"/>
          <w:sz w:val="22"/>
          <w:szCs w:val="22"/>
        </w:rPr>
        <w:t>4</w:t>
      </w:r>
    </w:p>
    <w:p w:rsidR="009D000E" w:rsidRDefault="008C17F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In addition to Part-I (General Handout for all courses appended to the timetable), this portion gives further specific details regarding the course.</w:t>
      </w:r>
    </w:p>
    <w:p w:rsidR="009D000E" w:rsidRDefault="009D000E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Course No.</w:t>
      </w:r>
      <w:r>
        <w:rPr>
          <w:rFonts w:ascii="Helvetica Neue" w:eastAsia="Helvetica Neue" w:hAnsi="Helvetica Neue" w:cs="Helvetica Neue"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ab/>
        <w:t xml:space="preserve">: </w:t>
      </w:r>
      <w:r>
        <w:rPr>
          <w:rFonts w:ascii="Helvetica Neue" w:eastAsia="Helvetica Neue" w:hAnsi="Helvetica Neue" w:cs="Helvetica Neue"/>
          <w:b/>
          <w:sz w:val="22"/>
          <w:szCs w:val="22"/>
        </w:rPr>
        <w:t>CE F342</w:t>
      </w:r>
    </w:p>
    <w:p w:rsidR="009D000E" w:rsidRDefault="008C17FB">
      <w:pPr>
        <w:pStyle w:val="Heading2"/>
        <w:rPr>
          <w:rFonts w:ascii="Helvetica Neue" w:eastAsia="Helvetica Neue" w:hAnsi="Helvetica Neue" w:cs="Helvetica Neue"/>
          <w:b/>
          <w:i w:val="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Course Title</w:t>
      </w:r>
      <w:r>
        <w:rPr>
          <w:rFonts w:ascii="Helvetica Neue" w:eastAsia="Helvetica Neue" w:hAnsi="Helvetica Neue" w:cs="Helvetica Neue"/>
          <w:i w:val="0"/>
          <w:sz w:val="22"/>
          <w:szCs w:val="22"/>
        </w:rPr>
        <w:tab/>
      </w:r>
      <w:r>
        <w:rPr>
          <w:rFonts w:ascii="Helvetica Neue" w:eastAsia="Helvetica Neue" w:hAnsi="Helvetica Neue" w:cs="Helvetica Neue"/>
          <w:i w:val="0"/>
          <w:sz w:val="22"/>
          <w:szCs w:val="22"/>
        </w:rPr>
        <w:tab/>
        <w:t xml:space="preserve">: </w:t>
      </w:r>
      <w:r>
        <w:rPr>
          <w:rFonts w:ascii="Helvetica Neue" w:eastAsia="Helvetica Neue" w:hAnsi="Helvetica Neue" w:cs="Helvetica Neue"/>
          <w:b/>
          <w:i w:val="0"/>
          <w:sz w:val="22"/>
          <w:szCs w:val="22"/>
        </w:rPr>
        <w:t>Water and Wastewater Treatment</w:t>
      </w:r>
    </w:p>
    <w:p w:rsidR="009D000E" w:rsidRDefault="008C17FB">
      <w:pPr>
        <w:pStyle w:val="Heading2"/>
        <w:rPr>
          <w:rFonts w:ascii="Helvetica Neue" w:eastAsia="Helvetica Neue" w:hAnsi="Helvetica Neue" w:cs="Helvetica Neue"/>
          <w:i w:val="0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Instructor-in-Charge</w:t>
      </w:r>
      <w:r>
        <w:rPr>
          <w:rFonts w:ascii="Helvetica Neue" w:eastAsia="Helvetica Neue" w:hAnsi="Helvetica Neue" w:cs="Helvetica Neue"/>
          <w:i w:val="0"/>
          <w:sz w:val="22"/>
          <w:szCs w:val="22"/>
        </w:rPr>
        <w:tab/>
        <w:t>: Murari R R Varma</w:t>
      </w:r>
    </w:p>
    <w:p w:rsidR="009D000E" w:rsidRDefault="009D000E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i/>
          <w:sz w:val="22"/>
          <w:szCs w:val="22"/>
        </w:rPr>
        <w:t>Laboratory Instructors</w:t>
      </w:r>
      <w:r>
        <w:rPr>
          <w:rFonts w:ascii="Helvetica Neue" w:eastAsia="Helvetica Neue" w:hAnsi="Helvetica Neue" w:cs="Helvetica Neue"/>
          <w:i/>
          <w:sz w:val="22"/>
          <w:szCs w:val="22"/>
        </w:rPr>
        <w:tab/>
      </w:r>
      <w:r>
        <w:rPr>
          <w:rFonts w:ascii="Helvetica Neue" w:eastAsia="Helvetica Neue" w:hAnsi="Helvetica Neue" w:cs="Helvetica Neue"/>
          <w:sz w:val="22"/>
          <w:szCs w:val="22"/>
        </w:rPr>
        <w:t>:N Satish, TBA</w:t>
      </w:r>
    </w:p>
    <w:p w:rsidR="009D000E" w:rsidRDefault="009D000E">
      <w:pPr>
        <w:pStyle w:val="normal0"/>
        <w:ind w:left="288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Scope and Objective of the Course:</w:t>
      </w:r>
    </w:p>
    <w:p w:rsidR="009D000E" w:rsidRDefault="009D000E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ind w:left="720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The course is designed to give a preliminary understanding of concepts and basics of the wate</w:t>
      </w:r>
      <w:r>
        <w:rPr>
          <w:rFonts w:ascii="Helvetica Neue" w:eastAsia="Helvetica Neue" w:hAnsi="Helvetica Neue" w:cs="Helvetica Neue"/>
          <w:sz w:val="22"/>
          <w:szCs w:val="22"/>
        </w:rPr>
        <w:t>r supply and wastewater systems design for a given town/city/locality. The unit operations and processes required in treating water, depending on the sources of the raw water, are given more emphasis than the distribution network. Similarly, the sewage col</w:t>
      </w:r>
      <w:r>
        <w:rPr>
          <w:rFonts w:ascii="Helvetica Neue" w:eastAsia="Helvetica Neue" w:hAnsi="Helvetica Neue" w:cs="Helvetica Neue"/>
          <w:sz w:val="22"/>
          <w:szCs w:val="22"/>
        </w:rPr>
        <w:t>lection from municipal households and processes involved in treating the sewage before it can be let out into surface water bodies are discussed. A brief introduction to advances in treatment technologies is included in the relevant sections.</w:t>
      </w:r>
    </w:p>
    <w:p w:rsidR="009D000E" w:rsidRDefault="009D000E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222222"/>
          <w:sz w:val="22"/>
          <w:szCs w:val="22"/>
          <w:highlight w:val="white"/>
        </w:rPr>
        <w:t>Course outcomes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: </w:t>
      </w:r>
    </w:p>
    <w:p w:rsidR="009D000E" w:rsidRDefault="009D000E">
      <w:pPr>
        <w:pStyle w:val="normal0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At the end of the course, the student will be able to</w:t>
      </w: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>.</w:t>
      </w:r>
    </w:p>
    <w:p w:rsidR="009D000E" w:rsidRDefault="008C17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 xml:space="preserve">Identify and measure major pollutants and corresponding parameters in the water source. </w:t>
      </w:r>
    </w:p>
    <w:p w:rsidR="009D000E" w:rsidRDefault="008C17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 xml:space="preserve">Establish treatment operations to remove specific pollutants depending on the surface or </w:t>
      </w:r>
      <w:r>
        <w:rPr>
          <w:rFonts w:ascii="Helvetica Neue" w:eastAsia="Helvetica Neue" w:hAnsi="Helvetica Neue" w:cs="Helvetica Neue"/>
          <w:sz w:val="22"/>
          <w:szCs w:val="22"/>
          <w:highlight w:val="white"/>
        </w:rPr>
        <w:t>groundwater</w:t>
      </w: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 xml:space="preserve"> source.</w:t>
      </w:r>
    </w:p>
    <w:p w:rsidR="009D000E" w:rsidRDefault="008C17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>Evaluate the extent and kind of treatment required for municipal wastewater depending on its characteristics and where it will be discharged.</w:t>
      </w:r>
    </w:p>
    <w:p w:rsidR="009D000E" w:rsidRDefault="008C17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>Applying the concepts to design simple water and wastewater treatment operations.</w:t>
      </w:r>
    </w:p>
    <w:p w:rsidR="009D000E" w:rsidRDefault="009D000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9D000E" w:rsidRDefault="008C17F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Textbooks:</w:t>
      </w:r>
    </w:p>
    <w:p w:rsidR="009D000E" w:rsidRDefault="009D000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9D000E" w:rsidRDefault="008C17FB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Garg, S. K. (2020).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Environmental Engineering - (Vol. I)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Water Supply Engineering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(34th ed., Vol. 1) Khanna</w:t>
      </w:r>
    </w:p>
    <w:p w:rsidR="009D000E" w:rsidRDefault="008C17FB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Garg, K. S. (2021).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Environmental Engineering (Vol. II) Sewage Waste Disposal and Air Pollution Engineering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(39th ed., Vol. 2). Khanna.</w:t>
      </w:r>
    </w:p>
    <w:p w:rsidR="009D000E" w:rsidRDefault="008C17FB">
      <w:pPr>
        <w:pStyle w:val="normal0"/>
        <w:widowControl w:val="0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Reference books</w:t>
      </w:r>
    </w:p>
    <w:p w:rsidR="009D000E" w:rsidRDefault="008C17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Davis, M. L., 2013.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 xml:space="preserve">Water and Wastewater Engineering - Design Principles and Practice.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1st ed. New Delhi: Tata McGraw-Hill Education.</w:t>
      </w:r>
    </w:p>
    <w:p w:rsidR="009D000E" w:rsidRDefault="008C17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Metcalf &amp; Eddy, Inc., George Tchobanoglous, H. Stensel, Ryujiro Tsuchihashi, Franklin Burton, 2014. Wastew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ater Engineering: Treatment and Resource Recovery, Fifth. Ed.</w:t>
      </w:r>
    </w:p>
    <w:p w:rsidR="009D000E" w:rsidRDefault="008C17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Online articles and other publications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</w:p>
    <w:p w:rsidR="009D000E" w:rsidRDefault="008C17FB">
      <w:pPr>
        <w:pStyle w:val="normal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Course Plan: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</w:p>
    <w:tbl>
      <w:tblPr>
        <w:tblStyle w:val="a"/>
        <w:tblW w:w="10766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992"/>
        <w:gridCol w:w="3853"/>
        <w:gridCol w:w="3660"/>
        <w:gridCol w:w="1418"/>
        <w:gridCol w:w="843"/>
      </w:tblGrid>
      <w:tr w:rsidR="009D000E">
        <w:trPr>
          <w:cantSplit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Learning objectives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Topics to be covered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SLOs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1-3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 xml:space="preserve">Classify different sources of water and their stressors.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Sources of water, wastewater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CH-3(T1)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CH-1(T2)</w:t>
            </w:r>
          </w:p>
          <w:p w:rsidR="009D000E" w:rsidRDefault="009D000E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c, f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4-6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Determine the minimum and desirable amounts of water required for different uses like domestic, public, industrial, institutional, etc.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Predict the population of a given community for the design period using an appropriate/justifiable method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Population forecasting methods, factors affecting the rate of demand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CH-2(T1)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7-8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Identify pollutants present in water and the levels to which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they need to be removed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Common impurities in water, physical and chemical analysis, Standards of purified water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CH-8(T1)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b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9-10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Define and describe different methods for estimating oxygen demand in wastewater, their importance and applications: ThOD, C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OD and BOD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Wastewater - Physical, chemical and biological characteristics, BOD, COD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CH-7(T2)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b, c, e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11-20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Analyze water quality and determine treatment needs using appropriate standards.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Explain the different types of settling that are encountered in water and wastewater treatment.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Explain the mechanisms and importance of coagulation and flocculation in water and wastewater treatment plants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Design appropriate treatment processes to achieve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 xml:space="preserve"> treatment objectives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Important Unit Operations in Water Treatment: Screening, aeration, Sedimentation tanks. Coagulation and flocculation, Design of sedimentation tanks,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Filtration: Filtration hydraulics, porous media filters, Softening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CH9(T1), CH-9 (T2)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, R1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c, e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21-22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Describe the need for disinfection in water or wastewater treatment.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Evaluate the merits and demerits of different types of disinfectants.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Define terms such as chlorine demand, breakpoint chlorination, and chlorine residuals.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Various approaches for disinfection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CH-9(T1)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b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23-24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Describe types of sewerage systems and components of sewerage system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Differentiate sewage and septage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Separate and combined Sewerage systems. Characteristics of Faecal sludge and septage. Estimation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of design sewer discharge.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CH-2,5 (T2), R3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25-34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Differentiate unit processes and unit operations.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Estimate the quantity and quality of wastewater generated in a community.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Unit operations and chemical processes in wastewater treatment: Screening procedures, Grit Chamber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CH-9(T2)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35-38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Describe the differences between suspended and attached growth processes. Explain aerobic, anoxic and anaerobic treatments.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Select an ap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propriate biological process for water or wastewater treatment.</w:t>
            </w: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 xml:space="preserve"> Design a complete suspended/attached growth process for wastewater treatment.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Unit processes: Biological treatment-Trickling Filters, Recirculation, Aeration tanks, Activated sludge systems, v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arious design procedures; miscellaneous processes: Oxidation ditches and ponds, Aerobic and anaerobic ponds, Sludge Treatment, Thickening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CH-9(T2), R2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c, e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39-41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Explain the various aspects of faecal sludge and septage management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Collection and disposa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 of excreta in unsewered urban and rural areas, Septic tanks, Faecal sludge and septage management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CH-12,13 (T2), R3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</w:t>
            </w:r>
          </w:p>
        </w:tc>
      </w:tr>
      <w:tr w:rsidR="009D000E">
        <w:trPr>
          <w:cantSplit/>
          <w:trHeight w:val="576"/>
          <w:tblHeader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42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Describe the different methods for analyzing flows or head losses in distribution networks.</w:t>
            </w:r>
          </w:p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highlight w:val="white"/>
              </w:rPr>
              <w:t>Make use of criteria like self-cleansing and maximum velocity to design sewers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Various approaches to the design of water distribution systems, Design of Sewers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CH-6(T1), CH-4(T2)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a, c</w:t>
            </w:r>
          </w:p>
        </w:tc>
      </w:tr>
    </w:tbl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Evaluation Scheme: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</w:p>
    <w:tbl>
      <w:tblPr>
        <w:tblStyle w:val="a0"/>
        <w:tblW w:w="10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131"/>
        <w:gridCol w:w="2551"/>
        <w:gridCol w:w="1418"/>
        <w:gridCol w:w="2835"/>
        <w:gridCol w:w="1559"/>
      </w:tblGrid>
      <w:tr w:rsidR="009D000E">
        <w:trPr>
          <w:cantSplit/>
          <w:trHeight w:val="422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Component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Weightage (%)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D000E" w:rsidRDefault="008C17FB">
            <w:pPr>
              <w:pStyle w:val="normal0"/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Nature of Component</w:t>
            </w:r>
          </w:p>
        </w:tc>
      </w:tr>
      <w:tr w:rsidR="009D000E">
        <w:trPr>
          <w:cantSplit/>
          <w:trHeight w:val="530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Mid Semester Test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90 minutes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11/03 - 9.30 - 11.00AM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CB</w:t>
            </w:r>
          </w:p>
        </w:tc>
      </w:tr>
      <w:tr w:rsidR="009D000E">
        <w:trPr>
          <w:cantSplit/>
          <w:trHeight w:val="905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Quiz / Tutorial Assignments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During lecture/ tutorial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Most of the Tutorials will be graded</w:t>
            </w: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  <w:vertAlign w:val="superscript"/>
              </w:rPr>
              <w:t>@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OB</w:t>
            </w:r>
          </w:p>
        </w:tc>
      </w:tr>
      <w:tr w:rsidR="009D000E">
        <w:trPr>
          <w:cantSplit/>
          <w:trHeight w:val="530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Project (Group projects)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Two Evaluations ( Mid and Final)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2"/>
                <w:szCs w:val="22"/>
                <w:highlight w:val="white"/>
              </w:rPr>
              <w:t>TBA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OB </w:t>
            </w:r>
          </w:p>
        </w:tc>
      </w:tr>
      <w:tr w:rsidR="009D000E">
        <w:trPr>
          <w:cantSplit/>
          <w:trHeight w:val="530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Laboratory  (Lab work/ Viva/ Quiz)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TBA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TBA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OB/ CB#</w:t>
            </w:r>
          </w:p>
        </w:tc>
      </w:tr>
      <w:tr w:rsidR="009D000E">
        <w:trPr>
          <w:cantSplit/>
          <w:trHeight w:val="530"/>
          <w:tblHeader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Comprehensive exam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180 minutes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35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06/05 FN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00E" w:rsidRDefault="008C17FB">
            <w:pPr>
              <w:pStyle w:val="normal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OB</w:t>
            </w:r>
          </w:p>
        </w:tc>
      </w:tr>
    </w:tbl>
    <w:p w:rsidR="009D000E" w:rsidRDefault="008C17FB">
      <w:pPr>
        <w:pStyle w:val="normal0"/>
        <w:spacing w:before="120" w:after="120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  <w:vertAlign w:val="superscript"/>
        </w:rPr>
        <w:t xml:space="preserve">@ 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Evaluation in Tutorials and Quizzes may be announced/ unannounced. Quizzes can be held during lecture hour too. There </w:t>
      </w:r>
      <w:r>
        <w:rPr>
          <w:rFonts w:ascii="Helvetica Neue" w:eastAsia="Helvetica Neue" w:hAnsi="Helvetica Neue" w:cs="Helvetica Neue"/>
          <w:sz w:val="22"/>
          <w:szCs w:val="22"/>
          <w:u w:val="single"/>
        </w:rPr>
        <w:t>will not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be any make up for tuto</w:t>
      </w:r>
      <w:r>
        <w:rPr>
          <w:rFonts w:ascii="Helvetica Neue" w:eastAsia="Helvetica Neue" w:hAnsi="Helvetica Neue" w:cs="Helvetica Neue"/>
          <w:sz w:val="22"/>
          <w:szCs w:val="22"/>
        </w:rPr>
        <w:t>rial evaluation and quizzes.</w:t>
      </w:r>
    </w:p>
    <w:p w:rsidR="009D000E" w:rsidRDefault="008C17FB">
      <w:pPr>
        <w:pStyle w:val="normal0"/>
        <w:spacing w:before="120" w:after="12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# Lab Viva / Skill test/ Quiz will be Closed book.</w:t>
      </w:r>
    </w:p>
    <w:p w:rsidR="009D000E" w:rsidRDefault="008C17FB">
      <w:pPr>
        <w:pStyle w:val="normal0"/>
        <w:spacing w:before="120" w:after="120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List of Experiments:</w:t>
      </w:r>
    </w:p>
    <w:tbl>
      <w:tblPr>
        <w:tblStyle w:val="a1"/>
        <w:tblW w:w="9090" w:type="dxa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20"/>
        <w:gridCol w:w="6840"/>
        <w:gridCol w:w="1530"/>
      </w:tblGrid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Calcium/ Magnesium in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Alkalinity of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3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Determination of Dissolved Oxygen (DO) in water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Iron content in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Chloride content in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Sulphate content in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Determination of Residual Chlorine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Nitrate / Phosphate content in wastewater 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rHeight w:val="284"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COD content in wastewater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rHeight w:val="284"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Determination Solids in Wastewater (TDS, TSS, SVI)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11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the Optimum dose of a coagulant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rHeight w:val="413"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12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  <w:highlight w:val="white"/>
              </w:rPr>
              <w:t xml:space="preserve">Microbiological examination (Coliform test)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rHeight w:val="450"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13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Determination of Fluoride content in water 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  <w:tr w:rsidR="009D000E">
        <w:trPr>
          <w:cantSplit/>
          <w:trHeight w:val="413"/>
          <w:tblHeader/>
        </w:trPr>
        <w:tc>
          <w:tcPr>
            <w:tcW w:w="720" w:type="dxa"/>
          </w:tcPr>
          <w:p w:rsidR="009D000E" w:rsidRDefault="008C17FB">
            <w:pPr>
              <w:pStyle w:val="normal0"/>
              <w:spacing w:line="360" w:lineRule="auto"/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14</w:t>
            </w:r>
          </w:p>
        </w:tc>
        <w:tc>
          <w:tcPr>
            <w:tcW w:w="684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Determination of BOD content in wastewater</w:t>
            </w:r>
          </w:p>
        </w:tc>
        <w:tc>
          <w:tcPr>
            <w:tcW w:w="1530" w:type="dxa"/>
          </w:tcPr>
          <w:p w:rsidR="009D000E" w:rsidRDefault="008C17FB">
            <w:pPr>
              <w:pStyle w:val="normal0"/>
              <w:spacing w:line="360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1 Turn</w:t>
            </w:r>
          </w:p>
        </w:tc>
      </w:tr>
    </w:tbl>
    <w:p w:rsidR="009D000E" w:rsidRDefault="009D000E">
      <w:pPr>
        <w:pStyle w:val="normal0"/>
        <w:spacing w:before="6"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</w:p>
    <w:p w:rsidR="009D000E" w:rsidRDefault="008C17FB">
      <w:pPr>
        <w:pStyle w:val="normal0"/>
        <w:spacing w:before="6"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* Student Learning Outcomes (SLOs):</w:t>
      </w:r>
    </w:p>
    <w:p w:rsidR="009D000E" w:rsidRDefault="008C17FB">
      <w:pPr>
        <w:pStyle w:val="normal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SLOs are outcomes (a) through (k) plus any additional outcomes that may be articulated by the program.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ability to apply knowledge of mathematics, science and engineering.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an ability to design and conduct experiments, as well as to analyze and interpret </w:t>
      </w:r>
      <w:r>
        <w:rPr>
          <w:rFonts w:ascii="Helvetica Neue" w:eastAsia="Helvetica Neue" w:hAnsi="Helvetica Neue" w:cs="Helvetica Neue"/>
          <w:sz w:val="22"/>
          <w:szCs w:val="22"/>
        </w:rPr>
        <w:t>data.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ability to function on m</w:t>
      </w:r>
      <w:r>
        <w:rPr>
          <w:rFonts w:ascii="Helvetica Neue" w:eastAsia="Helvetica Neue" w:hAnsi="Helvetica Neue" w:cs="Helvetica Neue"/>
          <w:sz w:val="22"/>
          <w:szCs w:val="22"/>
        </w:rPr>
        <w:t>ultidisciplinary teams.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ability to identify, formulate, and solve engineering problems.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understanding of professional and ethical responsibility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an ability to communicate effectively. 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the broad education necessary to understand the impact of enginee</w:t>
      </w:r>
      <w:r>
        <w:rPr>
          <w:rFonts w:ascii="Helvetica Neue" w:eastAsia="Helvetica Neue" w:hAnsi="Helvetica Neue" w:cs="Helvetica Neue"/>
          <w:sz w:val="22"/>
          <w:szCs w:val="22"/>
        </w:rPr>
        <w:t>ring solutions in a global, economic, environmental, and societal context.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 recognition of the need for and an ability to engage in life-long learning.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 knowledge of contemporary issues</w:t>
      </w:r>
    </w:p>
    <w:p w:rsidR="009D000E" w:rsidRDefault="008C17FB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an ability to use the techniques, skills, and modern engineering too</w:t>
      </w:r>
      <w:r>
        <w:rPr>
          <w:rFonts w:ascii="Helvetica Neue" w:eastAsia="Helvetica Neue" w:hAnsi="Helvetica Neue" w:cs="Helvetica Neue"/>
          <w:sz w:val="22"/>
          <w:szCs w:val="22"/>
        </w:rPr>
        <w:t>ls necessary for engineering practice.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spacing w:before="40" w:after="60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Chamber/Online Consultation Hour: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Tuesday 5-6 PM. 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ind w:left="270" w:hanging="270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Notices: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  <w:u w:val="single"/>
        </w:rPr>
        <w:t xml:space="preserve">Notices concerning the course will be displayed on </w:t>
      </w:r>
      <w:r>
        <w:rPr>
          <w:rFonts w:ascii="Helvetica Neue" w:eastAsia="Helvetica Neue" w:hAnsi="Helvetica Neue" w:cs="Helvetica Neue"/>
          <w:b/>
          <w:sz w:val="22"/>
          <w:szCs w:val="22"/>
          <w:u w:val="single"/>
        </w:rPr>
        <w:t>Google Classroom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</w:t>
      </w:r>
    </w:p>
    <w:p w:rsidR="009D000E" w:rsidRDefault="009D000E">
      <w:pPr>
        <w:pStyle w:val="normal0"/>
        <w:ind w:left="284" w:hanging="284"/>
        <w:jc w:val="both"/>
        <w:rPr>
          <w:rFonts w:ascii="Helvetica Neue" w:eastAsia="Helvetica Neue" w:hAnsi="Helvetica Neue" w:cs="Helvetica Neue"/>
          <w:b/>
          <w:color w:val="000000"/>
          <w:sz w:val="22"/>
          <w:szCs w:val="22"/>
          <w:highlight w:val="white"/>
        </w:rPr>
      </w:pPr>
    </w:p>
    <w:p w:rsidR="009D000E" w:rsidRDefault="008C17FB">
      <w:pPr>
        <w:pStyle w:val="normal0"/>
        <w:ind w:left="709" w:hanging="709"/>
        <w:jc w:val="both"/>
        <w:rPr>
          <w:rFonts w:ascii="Helvetica Neue" w:eastAsia="Helvetica Neue" w:hAnsi="Helvetica Neue" w:cs="Helvetica Neue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  <w:highlight w:val="white"/>
        </w:rPr>
        <w:t>Academic Honesty and Integrity Policy</w:t>
      </w:r>
      <w:r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  <w:t>: Academic honesty and integrity are to be maintained by all the students</w:t>
      </w:r>
      <w:r>
        <w:rPr>
          <w:rFonts w:ascii="Helvetica Neue" w:eastAsia="Helvetica Neue" w:hAnsi="Helvetica Neue" w:cs="Helvetica Neue"/>
          <w:sz w:val="22"/>
          <w:szCs w:val="22"/>
          <w:highlight w:val="white"/>
        </w:rPr>
        <w:t xml:space="preserve"> throughout the semester, and any academic dishonesty is unacceptable.</w:t>
      </w:r>
    </w:p>
    <w:p w:rsidR="009D000E" w:rsidRDefault="009D000E">
      <w:pPr>
        <w:pStyle w:val="normal0"/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:rsidR="009D000E" w:rsidRDefault="008C17FB">
      <w:pPr>
        <w:pStyle w:val="normal0"/>
        <w:ind w:left="709" w:hanging="709"/>
        <w:jc w:val="both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Make-up Policy: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</w:p>
    <w:p w:rsidR="009D000E" w:rsidRDefault="008C17F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Please avoid frivolous make-ups. Make-up is strongly discouraged. </w:t>
      </w:r>
    </w:p>
    <w:p w:rsidR="009D000E" w:rsidRDefault="008C17F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lastRenderedPageBreak/>
        <w:t xml:space="preserve">In case of unavoidable reasons, requests for the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m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  <w:u w:val="single"/>
        </w:rPr>
        <w:t xml:space="preserve">ake-up of lab sessions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must be made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before the lab date (which makeup is requested) in the provided format </w:t>
      </w:r>
      <w:r>
        <w:rPr>
          <w:rFonts w:ascii="Helvetica Neue" w:eastAsia="Helvetica Neue" w:hAnsi="Helvetica Neue" w:cs="Helvetica Neue"/>
          <w:b/>
          <w:color w:val="000000"/>
          <w:sz w:val="22"/>
          <w:szCs w:val="22"/>
          <w:u w:val="single"/>
        </w:rPr>
        <w:t>to the lab instructor with a copy to IC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. In medical emergencies, the requests must be communicated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within two days. In case of medical emergencies, requests must be supported by valid certificates. </w:t>
      </w:r>
    </w:p>
    <w:p w:rsidR="009D000E" w:rsidRDefault="008C17F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Make-up </w:t>
      </w:r>
      <w:r>
        <w:rPr>
          <w:rFonts w:ascii="Helvetica Neue" w:eastAsia="Helvetica Neue" w:hAnsi="Helvetica Neue" w:cs="Helvetica Neue"/>
          <w:color w:val="000000"/>
          <w:sz w:val="22"/>
          <w:szCs w:val="22"/>
          <w:u w:val="single"/>
        </w:rPr>
        <w:t>will not be provided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in the case of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 xml:space="preserve">tutorial evaluation/quiz. 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The </w:t>
      </w:r>
      <w:r>
        <w:rPr>
          <w:rFonts w:ascii="Helvetica Neue" w:eastAsia="Helvetica Neue" w:hAnsi="Helvetica Neue" w:cs="Helvetica Neue"/>
          <w:color w:val="000000"/>
          <w:sz w:val="22"/>
          <w:szCs w:val="22"/>
          <w:u w:val="single"/>
        </w:rPr>
        <w:t>best n evaluation out of a minimum n+2 (usually 12)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will be considered. Students are requested to make an effort to attend the maximum no of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assessments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to avoid the need for makeup.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ab/>
      </w:r>
    </w:p>
    <w:p w:rsidR="009D000E" w:rsidRDefault="008C17FB">
      <w:pPr>
        <w:pStyle w:val="normal0"/>
        <w:ind w:left="709" w:hanging="709"/>
        <w:jc w:val="both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               </w:t>
      </w:r>
    </w:p>
    <w:p w:rsidR="009D000E" w:rsidRDefault="008C17FB">
      <w:pPr>
        <w:pStyle w:val="normal0"/>
        <w:ind w:left="6480" w:firstLine="720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INSTRUCTOR-IN-CHARGE</w:t>
      </w:r>
    </w:p>
    <w:p w:rsidR="009D000E" w:rsidRDefault="009D000E">
      <w:pPr>
        <w:pStyle w:val="normal0"/>
        <w:jc w:val="right"/>
        <w:rPr>
          <w:rFonts w:ascii="Helvetica Neue" w:eastAsia="Helvetica Neue" w:hAnsi="Helvetica Neue" w:cs="Helvetica Neue"/>
          <w:b/>
          <w:sz w:val="22"/>
          <w:szCs w:val="22"/>
        </w:rPr>
      </w:pPr>
    </w:p>
    <w:p w:rsidR="009D000E" w:rsidRDefault="008C17FB">
      <w:pPr>
        <w:pStyle w:val="normal0"/>
        <w:ind w:left="7920" w:firstLine="720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CE F342</w:t>
      </w:r>
    </w:p>
    <w:p w:rsidR="009D000E" w:rsidRDefault="009D000E">
      <w:pPr>
        <w:pStyle w:val="normal0"/>
        <w:jc w:val="right"/>
        <w:rPr>
          <w:rFonts w:ascii="Helvetica Neue" w:eastAsia="Helvetica Neue" w:hAnsi="Helvetica Neue" w:cs="Helvetica Neue"/>
          <w:b/>
        </w:rPr>
      </w:pPr>
    </w:p>
    <w:sectPr w:rsidR="009D000E" w:rsidSect="009D000E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340" w:footer="283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FB" w:rsidRDefault="008C17FB" w:rsidP="009D000E">
      <w:r>
        <w:separator/>
      </w:r>
    </w:p>
  </w:endnote>
  <w:endnote w:type="continuationSeparator" w:id="1">
    <w:p w:rsidR="008C17FB" w:rsidRDefault="008C17FB" w:rsidP="009D0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0E" w:rsidRDefault="008C17F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1647825" cy="600075"/>
          <wp:effectExtent l="0" t="0" r="0" b="0"/>
          <wp:docPr id="2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FB" w:rsidRDefault="008C17FB" w:rsidP="009D000E">
      <w:r>
        <w:separator/>
      </w:r>
    </w:p>
  </w:footnote>
  <w:footnote w:type="continuationSeparator" w:id="1">
    <w:p w:rsidR="008C17FB" w:rsidRDefault="008C17FB" w:rsidP="009D0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0E" w:rsidRDefault="009D00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0E" w:rsidRDefault="008C17F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971550</wp:posOffset>
          </wp:positionH>
          <wp:positionV relativeFrom="paragraph">
            <wp:posOffset>-34921</wp:posOffset>
          </wp:positionV>
          <wp:extent cx="4924425" cy="1019175"/>
          <wp:effectExtent l="0" t="0" r="0" b="0"/>
          <wp:wrapTopAndBottom distT="0" distB="0"/>
          <wp:docPr id="1" name="image1.jpg" descr="Logo_Horizontal_longVers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_Horizontal_longVers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2F24"/>
    <w:multiLevelType w:val="multilevel"/>
    <w:tmpl w:val="7966C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FB5"/>
    <w:multiLevelType w:val="multilevel"/>
    <w:tmpl w:val="A84C0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2264F"/>
    <w:multiLevelType w:val="multilevel"/>
    <w:tmpl w:val="C430E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B5D45"/>
    <w:multiLevelType w:val="multilevel"/>
    <w:tmpl w:val="FABA7C9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">
    <w:nsid w:val="6D7E57F2"/>
    <w:multiLevelType w:val="multilevel"/>
    <w:tmpl w:val="5B9E5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000E"/>
    <w:rsid w:val="008C17FB"/>
    <w:rsid w:val="009D000E"/>
    <w:rsid w:val="00EC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000E"/>
    <w:pPr>
      <w:keepNext/>
      <w:outlineLvl w:val="0"/>
    </w:pPr>
    <w:rPr>
      <w:u w:val="single"/>
    </w:rPr>
  </w:style>
  <w:style w:type="paragraph" w:styleId="Heading2">
    <w:name w:val="heading 2"/>
    <w:basedOn w:val="normal0"/>
    <w:next w:val="normal0"/>
    <w:rsid w:val="009D000E"/>
    <w:pPr>
      <w:keepNext/>
      <w:outlineLvl w:val="1"/>
    </w:pPr>
    <w:rPr>
      <w:i/>
    </w:rPr>
  </w:style>
  <w:style w:type="paragraph" w:styleId="Heading3">
    <w:name w:val="heading 3"/>
    <w:basedOn w:val="normal0"/>
    <w:next w:val="normal0"/>
    <w:rsid w:val="009D000E"/>
    <w:pPr>
      <w:keepNext/>
      <w:jc w:val="center"/>
      <w:outlineLvl w:val="2"/>
    </w:pPr>
    <w:rPr>
      <w:b/>
    </w:rPr>
  </w:style>
  <w:style w:type="paragraph" w:styleId="Heading4">
    <w:name w:val="heading 4"/>
    <w:basedOn w:val="normal0"/>
    <w:next w:val="normal0"/>
    <w:rsid w:val="009D000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D00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D00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000E"/>
  </w:style>
  <w:style w:type="paragraph" w:styleId="Title">
    <w:name w:val="Title"/>
    <w:basedOn w:val="normal0"/>
    <w:next w:val="normal0"/>
    <w:rsid w:val="009D00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D00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00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D00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D00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Le7bIO1ZsN0wqMRb9i4BT+hag==">CgMxLjAyDmgueTd0dG51YXZxbTZwMghoLmdqZGd4czIJaC4zMGowemxsOAByITFLSVJ2WWQ5MXA4VnR2Q1ZGUTZhVkJHU1U4Qi1ycnpGcQ==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2024-01-08T17:24:00Z</dcterms:created>
  <dcterms:modified xsi:type="dcterms:W3CDTF">2024-01-08T17:25:00Z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GrammarlyDocumentId">
    <vt:lpwstr>416f4ab7164fed330a1bbb179d69d186118be8a8b3323250073080c176aad8d0</vt:lpwstr>
  </property>
  <property fmtid="{D5CDD505-2E9C-101B-9397-08002B2CF9AE}" pid="4" name="Mendeley Recent Style Name 8_1">
    <vt:lpwstr>Modern Language Association 8th edition</vt:lpwstr>
  </property>
  <property fmtid="{D5CDD505-2E9C-101B-9397-08002B2CF9AE}" pid="5" name="Mendeley Recent Style Name 9_1">
    <vt:lpwstr>Nature</vt:lpwstr>
  </property>
  <property fmtid="{D5CDD505-2E9C-101B-9397-08002B2CF9AE}" pid="6" name="ZOTERO_PREF_1">
    <vt:lpwstr>&lt;data data-version="3" zotero-version="5.0.94"&gt;&lt;session id="41GN8zlN"/&gt;&lt;style id="http://www.zotero.org/styles/harvard-cite-them-right" hasBibliography="1" bibliographyStyleHasBeenSet="1"/&gt;&lt;prefs&gt;&lt;pref name="fieldType" value="Field"/&gt;&lt;/prefs&gt;&lt;/data&gt;</vt:lpwstr>
  </property>
  <property fmtid="{D5CDD505-2E9C-101B-9397-08002B2CF9AE}" pid="7" name="Mendeley Recent Style Name 6_1">
    <vt:lpwstr>IEEE</vt:lpwstr>
  </property>
  <property fmtid="{D5CDD505-2E9C-101B-9397-08002B2CF9AE}" pid="8" name="Mendeley Recent Style Name 7_1">
    <vt:lpwstr>Modern Humanities Research Association 3rd edition (note with bibliography)</vt:lpwstr>
  </property>
  <property fmtid="{D5CDD505-2E9C-101B-9397-08002B2CF9AE}" pid="9" name="Mendeley Citation Style_1">
    <vt:lpwstr>http://www.zotero.org/styles/apa</vt:lpwstr>
  </property>
  <property fmtid="{D5CDD505-2E9C-101B-9397-08002B2CF9AE}" pid="10" name="Mendeley Recent Style Name 0_1">
    <vt:lpwstr>American Medical Association</vt:lpwstr>
  </property>
  <property fmtid="{D5CDD505-2E9C-101B-9397-08002B2CF9AE}" pid="11" name="Mendeley Recent Style Name 1_1">
    <vt:lpwstr>American Political Science Association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Name 2_1">
    <vt:lpwstr>American Psychological Association 6th edition</vt:lpwstr>
  </property>
  <property fmtid="{D5CDD505-2E9C-101B-9397-08002B2CF9AE}" pid="15" name="Mendeley Recent Style Name 3_1">
    <vt:lpwstr>American Sociological Association</vt:lpwstr>
  </property>
  <property fmtid="{D5CDD505-2E9C-101B-9397-08002B2CF9AE}" pid="16" name="Mendeley Recent Style Id 2_1">
    <vt:lpwstr>http://www.zotero.org/styles/apa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Id 0_1">
    <vt:lpwstr>http://www.zotero.org/styles/american-medical-association</vt:lpwstr>
  </property>
  <property fmtid="{D5CDD505-2E9C-101B-9397-08002B2CF9AE}" pid="21" name="Mendeley Recent Style Id 1_1">
    <vt:lpwstr>http://www.zotero.org/styles/american-political-science-association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Unique User Id_1">
    <vt:lpwstr>e6bee593-dbea-3b13-9c27-b0d0f76a92e4</vt:lpwstr>
  </property>
</Properties>
</file>