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Neuromarketing Insights Report</w:t>
      </w:r>
    </w:p>
    <w:p>
      <w:r>
        <w:t>Prepared for: Client</w:t>
      </w:r>
    </w:p>
    <w:p>
      <w:r>
        <w:t>Date: 2026-09-24</w:t>
      </w:r>
    </w:p>
    <w:p>
      <w:pPr>
        <w:pStyle w:val="Heading1"/>
      </w:pPr>
      <w:r>
        <w:t>1. Overview</w:t>
      </w:r>
    </w:p>
    <w:p>
      <w:r>
        <w:t>This report summarizes emotional and visual-attention data from 185 trials across 25 participants.</w:t>
      </w:r>
    </w:p>
    <w:p>
      <w:r>
        <w:t>Average engagement score: 2.131</w:t>
      </w:r>
    </w:p>
    <w:p>
      <w:r>
        <w:t>Average attention time: 1.606s</w:t>
      </w:r>
    </w:p>
    <w:p>
      <w:pPr>
        <w:pStyle w:val="Heading1"/>
      </w:pPr>
      <w:r>
        <w:t>2. Emotional Response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Emotion</w:t>
            </w:r>
          </w:p>
        </w:tc>
        <w:tc>
          <w:tcPr>
            <w:tcW w:type="dxa" w:w="4320"/>
          </w:tcPr>
          <w:p>
            <w:r>
              <w:t>Share of Trials</w:t>
            </w:r>
          </w:p>
        </w:tc>
      </w:tr>
      <w:tr>
        <w:tc>
          <w:tcPr>
            <w:tcW w:type="dxa" w:w="4320"/>
          </w:tcPr>
          <w:p>
            <w:r>
              <w:t>Neutral</w:t>
            </w:r>
          </w:p>
        </w:tc>
        <w:tc>
          <w:tcPr>
            <w:tcW w:type="dxa" w:w="4320"/>
          </w:tcPr>
          <w:p>
            <w:r>
              <w:t>55.1%</w:t>
            </w:r>
          </w:p>
        </w:tc>
      </w:tr>
      <w:tr>
        <w:tc>
          <w:tcPr>
            <w:tcW w:type="dxa" w:w="4320"/>
          </w:tcPr>
          <w:p>
            <w:r>
              <w:t>Happy</w:t>
            </w:r>
          </w:p>
        </w:tc>
        <w:tc>
          <w:tcPr>
            <w:tcW w:type="dxa" w:w="4320"/>
          </w:tcPr>
          <w:p>
            <w:r>
              <w:t>23.8%</w:t>
            </w:r>
          </w:p>
        </w:tc>
      </w:tr>
      <w:tr>
        <w:tc>
          <w:tcPr>
            <w:tcW w:type="dxa" w:w="4320"/>
          </w:tcPr>
          <w:p>
            <w:r>
              <w:t>Sad</w:t>
            </w:r>
          </w:p>
        </w:tc>
        <w:tc>
          <w:tcPr>
            <w:tcW w:type="dxa" w:w="4320"/>
          </w:tcPr>
          <w:p>
            <w:r>
              <w:t>9.7%</w:t>
            </w:r>
          </w:p>
        </w:tc>
      </w:tr>
      <w:tr>
        <w:tc>
          <w:tcPr>
            <w:tcW w:type="dxa" w:w="4320"/>
          </w:tcPr>
          <w:p>
            <w:r>
              <w:t>Angry</w:t>
            </w:r>
          </w:p>
        </w:tc>
        <w:tc>
          <w:tcPr>
            <w:tcW w:type="dxa" w:w="4320"/>
          </w:tcPr>
          <w:p>
            <w:r>
              <w:t>7.6%</w:t>
            </w:r>
          </w:p>
        </w:tc>
      </w:tr>
      <w:tr>
        <w:tc>
          <w:tcPr>
            <w:tcW w:type="dxa" w:w="4320"/>
          </w:tcPr>
          <w:p>
            <w:r>
              <w:t>Fear</w:t>
            </w:r>
          </w:p>
        </w:tc>
        <w:tc>
          <w:tcPr>
            <w:tcW w:type="dxa" w:w="4320"/>
          </w:tcPr>
          <w:p>
            <w:r>
              <w:t>2.2%</w:t>
            </w:r>
          </w:p>
        </w:tc>
      </w:tr>
      <w:tr>
        <w:tc>
          <w:tcPr>
            <w:tcW w:type="dxa" w:w="4320"/>
          </w:tcPr>
          <w:p>
            <w:r>
              <w:t>Surprise</w:t>
            </w:r>
          </w:p>
        </w:tc>
        <w:tc>
          <w:tcPr>
            <w:tcW w:type="dxa" w:w="4320"/>
          </w:tcPr>
          <w:p>
            <w:r>
              <w:t>1.6%</w:t>
            </w:r>
          </w:p>
        </w:tc>
      </w:tr>
    </w:tbl>
    <w:p>
      <w:pPr>
        <w:pStyle w:val="Heading1"/>
      </w:pPr>
      <w:r>
        <w:t>3. Engagement by Creative Variant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Avg Engagement Score</w:t>
            </w:r>
          </w:p>
        </w:tc>
      </w:tr>
      <w:tr>
        <w:tc>
          <w:tcPr>
            <w:tcW w:type="dxa" w:w="4320"/>
          </w:tcPr>
          <w:p>
            <w:r>
              <w:t>A</w:t>
            </w:r>
          </w:p>
        </w:tc>
        <w:tc>
          <w:tcPr>
            <w:tcW w:type="dxa" w:w="4320"/>
          </w:tcPr>
          <w:p>
            <w:r>
              <w:t>2.04</w:t>
            </w:r>
          </w:p>
        </w:tc>
      </w:tr>
      <w:tr>
        <w:tc>
          <w:tcPr>
            <w:tcW w:type="dxa" w:w="4320"/>
          </w:tcPr>
          <w:p>
            <w:r>
              <w:t>B</w:t>
            </w:r>
          </w:p>
        </w:tc>
        <w:tc>
          <w:tcPr>
            <w:tcW w:type="dxa" w:w="4320"/>
          </w:tcPr>
          <w:p>
            <w:r>
              <w:t>2.394</w:t>
            </w:r>
          </w:p>
        </w:tc>
      </w:tr>
      <w:tr>
        <w:tc>
          <w:tcPr>
            <w:tcW w:type="dxa" w:w="4320"/>
          </w:tcPr>
          <w:p>
            <w:r>
              <w:t>C</w:t>
            </w:r>
          </w:p>
        </w:tc>
        <w:tc>
          <w:tcPr>
            <w:tcW w:type="dxa" w:w="4320"/>
          </w:tcPr>
          <w:p>
            <w:r>
              <w:t>2.781</w:t>
            </w:r>
          </w:p>
        </w:tc>
      </w:tr>
    </w:tbl>
    <w:p>
      <w:pPr>
        <w:pStyle w:val="Heading1"/>
      </w:pPr>
      <w:r>
        <w:t>4. A/B Test Findings</w:t>
      </w:r>
    </w:p>
    <w:p>
      <w:r>
        <w:t>A (avg 2.04) vs B (avg 2.394): No statistically significant difference (p=0.2685)</w:t>
      </w:r>
    </w:p>
    <w:p>
      <w:r>
        <w:t>A (avg 2.04) vs C (avg 2.781): C performed better (p=0.0169)</w:t>
      </w:r>
    </w:p>
    <w:p>
      <w:r>
        <w:t>B (avg 2.394) vs C (avg 2.781): No statistically significant difference (p=0.2199)</w:t>
      </w:r>
    </w:p>
    <w:p>
      <w:pPr>
        <w:pStyle w:val="Heading1"/>
      </w:pPr>
      <w:r>
        <w:t>5. Consumer Segments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Segment</w:t>
            </w:r>
          </w:p>
        </w:tc>
        <w:tc>
          <w:tcPr>
            <w:tcW w:type="dxa" w:w="2160"/>
          </w:tcPr>
          <w:p>
            <w:r>
              <w:t>Avg Emotion Score</w:t>
            </w:r>
          </w:p>
        </w:tc>
        <w:tc>
          <w:tcPr>
            <w:tcW w:type="dxa" w:w="2160"/>
          </w:tcPr>
          <w:p>
            <w:r>
              <w:t>Avg Attention Time</w:t>
            </w:r>
          </w:p>
        </w:tc>
        <w:tc>
          <w:tcPr>
            <w:tcW w:type="dxa" w:w="2160"/>
          </w:tcPr>
          <w:p>
            <w:r>
              <w:t>Avg Engagement Score</w:t>
            </w:r>
          </w:p>
        </w:tc>
      </w:tr>
      <w:tr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0.398</w:t>
            </w:r>
          </w:p>
        </w:tc>
        <w:tc>
          <w:tcPr>
            <w:tcW w:type="dxa" w:w="2160"/>
          </w:tcPr>
          <w:p>
            <w:r>
              <w:t>0.464</w:t>
            </w:r>
          </w:p>
        </w:tc>
        <w:tc>
          <w:tcPr>
            <w:tcW w:type="dxa" w:w="2160"/>
          </w:tcPr>
          <w:p>
            <w:r>
              <w:t>0.862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0.537</w:t>
            </w:r>
          </w:p>
        </w:tc>
        <w:tc>
          <w:tcPr>
            <w:tcW w:type="dxa" w:w="2160"/>
          </w:tcPr>
          <w:p>
            <w:r>
              <w:t>2.322</w:t>
            </w:r>
          </w:p>
        </w:tc>
        <w:tc>
          <w:tcPr>
            <w:tcW w:type="dxa" w:w="2160"/>
          </w:tcPr>
          <w:p>
            <w:r>
              <w:t>2.859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0.621</w:t>
            </w:r>
          </w:p>
        </w:tc>
        <w:tc>
          <w:tcPr>
            <w:tcW w:type="dxa" w:w="2160"/>
          </w:tcPr>
          <w:p>
            <w:r>
              <w:t>0.462</w:t>
            </w:r>
          </w:p>
        </w:tc>
        <w:tc>
          <w:tcPr>
            <w:tcW w:type="dxa" w:w="2160"/>
          </w:tcPr>
          <w:p>
            <w:r>
              <w:t>1.083</w:t>
            </w:r>
          </w:p>
        </w:tc>
      </w:tr>
    </w:tbl>
    <w:p>
      <w:pPr>
        <w:pStyle w:val="Heading1"/>
      </w:pPr>
      <w:r>
        <w:t>6. Recommendations</w:t>
      </w:r>
    </w:p>
    <w:p>
      <w:r>
        <w:t>Recommendations should be filled in based on the significant A/B findings above and which creative variant/product feature drove the strongest positive-emotion + attention combination.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