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color w:val="1F2A44"/>
        </w:rPr>
        <w:t>Neuromarketing Study — Product Packaging Test</w:t>
      </w:r>
    </w:p>
    <w:p>
      <w:pPr>
        <w:jc w:val="center"/>
      </w:pPr>
      <w:r>
        <w:rPr>
          <w:i/>
          <w:color w:val="C08A2E"/>
          <w:sz w:val="32"/>
        </w:rPr>
        <w:t>Neuromarketing Analysis Report</w:t>
      </w:r>
    </w:p>
    <w:p/>
    <w:p>
      <w:pPr>
        <w:jc w:val="center"/>
      </w:pPr>
      <w:r>
        <w:rPr>
          <w:color w:val="5A5A5A"/>
          <w:sz w:val="22"/>
        </w:rPr>
        <w:t>Prepared for: Client Stakeholders</w:t>
        <w:br/>
        <w:t>Report generated: August 13, 2026 at 12:07</w:t>
        <w:br/>
        <w:t>Revision 3 of 3  ·  Based on 1064 trials across 647 participants</w:t>
      </w:r>
    </w:p>
    <w:p>
      <w:r>
        <w:br w:type="page"/>
      </w:r>
    </w:p>
    <w:p>
      <w:pPr>
        <w:pStyle w:val="Heading1"/>
      </w:pPr>
      <w:r>
        <w:t>Table of Contents</w:t>
      </w:r>
    </w:p>
    <w:p>
      <w:r>
        <w:fldChar w:fldCharType="begin"/>
        <w:instrText xml:space="preserve">TOC \o "1-2" \h \z \u</w:instrText>
        <w:fldChar w:fldCharType="separate"/>
        <w:t>Right-click and choose 'Update Field' to populate the table of contents.</w:t>
        <w:fldChar w:fldCharType="end"/>
      </w:r>
    </w:p>
    <w:p>
      <w:r>
        <w:br w:type="page"/>
      </w:r>
    </w:p>
    <w:p>
      <w:pPr>
        <w:pStyle w:val="Heading1"/>
      </w:pPr>
      <w:r>
        <w:t>Document Control &amp; Revision History</w:t>
      </w:r>
    </w:p>
    <w:p>
      <w:r>
        <w:t>This report is automatically regenerated after every analysis run against the live dataset. It is cumulative: nothing from a prior run is lost — the table below lists every analysis run recorded to date, and the Appendix contains the full narrative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fill="1F2A44"/>
          </w:tcPr>
          <w:p>
            <w:r/>
            <w:r>
              <w:rPr>
                <w:b/>
                <w:color w:val="FFFFFF"/>
                <w:sz w:val="20"/>
              </w:rPr>
              <w:t>Rev #</w:t>
            </w:r>
          </w:p>
        </w:tc>
        <w:tc>
          <w:tcPr>
            <w:tcW w:type="dxa" w:w="2448"/>
            <w:shd w:fill="1F2A44"/>
          </w:tcPr>
          <w:p>
            <w:r/>
            <w:r>
              <w:rPr>
                <w:b/>
                <w:color w:val="FFFFFF"/>
                <w:sz w:val="20"/>
              </w:rPr>
              <w:t>Date / Time</w:t>
            </w:r>
          </w:p>
        </w:tc>
        <w:tc>
          <w:tcPr>
            <w:tcW w:type="dxa" w:w="1728"/>
            <w:shd w:fill="1F2A44"/>
          </w:tcPr>
          <w:p>
            <w:r/>
            <w:r>
              <w:rPr>
                <w:b/>
                <w:color w:val="FFFFFF"/>
                <w:sz w:val="20"/>
              </w:rPr>
              <w:t>Total Trials</w:t>
            </w:r>
          </w:p>
        </w:tc>
        <w:tc>
          <w:tcPr>
            <w:tcW w:type="dxa" w:w="1728"/>
            <w:shd w:fill="1F2A44"/>
          </w:tcPr>
          <w:p>
            <w:r/>
            <w:r>
              <w:rPr>
                <w:b/>
                <w:color w:val="FFFFFF"/>
                <w:sz w:val="20"/>
              </w:rPr>
              <w:t>Participants</w:t>
            </w:r>
          </w:p>
        </w:tc>
        <w:tc>
          <w:tcPr>
            <w:tcW w:type="dxa" w:w="2016"/>
            <w:shd w:fill="1F2A44"/>
          </w:tcPr>
          <w:p>
            <w:r/>
            <w:r>
              <w:rPr>
                <w:b/>
                <w:color w:val="FFFFFF"/>
                <w:sz w:val="20"/>
              </w:rPr>
              <w:t>Avg Engagement</w:t>
            </w:r>
          </w:p>
        </w:tc>
      </w:tr>
      <w:tr>
        <w:tc>
          <w:tcPr>
            <w:tcW w:type="dxa" w:w="864"/>
          </w:tcPr>
          <w:p>
            <w:r>
              <w:rPr>
                <w:sz w:val="20"/>
              </w:rPr>
              <w:t>1</w:t>
            </w:r>
          </w:p>
        </w:tc>
        <w:tc>
          <w:tcPr>
            <w:tcW w:type="dxa" w:w="2448"/>
          </w:tcPr>
          <w:p>
            <w:r>
              <w:rPr>
                <w:sz w:val="20"/>
              </w:rPr>
              <w:t>2026-07-23 06:09</w:t>
            </w:r>
          </w:p>
        </w:tc>
        <w:tc>
          <w:tcPr>
            <w:tcW w:type="dxa" w:w="1728"/>
          </w:tcPr>
          <w:p>
            <w:r>
              <w:rPr>
                <w:sz w:val="20"/>
              </w:rPr>
              <w:t>1052</w:t>
            </w:r>
          </w:p>
        </w:tc>
        <w:tc>
          <w:tcPr>
            <w:tcW w:type="dxa" w:w="1728"/>
          </w:tcPr>
          <w:p>
            <w:r>
              <w:rPr>
                <w:sz w:val="20"/>
              </w:rPr>
              <w:t>645</w:t>
            </w:r>
          </w:p>
        </w:tc>
        <w:tc>
          <w:tcPr>
            <w:tcW w:type="dxa" w:w="2016"/>
          </w:tcPr>
          <w:p>
            <w:r>
              <w:rPr>
                <w:sz w:val="20"/>
              </w:rPr>
              <w:t>3.59</w:t>
            </w:r>
          </w:p>
        </w:tc>
      </w:tr>
      <w:tr>
        <w:tc>
          <w:tcPr>
            <w:tcW w:type="dxa" w:w="864"/>
          </w:tcPr>
          <w:p>
            <w:r>
              <w:rPr>
                <w:sz w:val="20"/>
              </w:rPr>
              <w:t>2</w:t>
            </w:r>
          </w:p>
        </w:tc>
        <w:tc>
          <w:tcPr>
            <w:tcW w:type="dxa" w:w="2448"/>
          </w:tcPr>
          <w:p>
            <w:r>
              <w:rPr>
                <w:sz w:val="20"/>
              </w:rPr>
              <w:t>2026-07-23 06:49</w:t>
            </w:r>
          </w:p>
        </w:tc>
        <w:tc>
          <w:tcPr>
            <w:tcW w:type="dxa" w:w="1728"/>
          </w:tcPr>
          <w:p>
            <w:r>
              <w:rPr>
                <w:sz w:val="20"/>
              </w:rPr>
              <w:t>1052</w:t>
            </w:r>
          </w:p>
        </w:tc>
        <w:tc>
          <w:tcPr>
            <w:tcW w:type="dxa" w:w="1728"/>
          </w:tcPr>
          <w:p>
            <w:r>
              <w:rPr>
                <w:sz w:val="20"/>
              </w:rPr>
              <w:t>645</w:t>
            </w:r>
          </w:p>
        </w:tc>
        <w:tc>
          <w:tcPr>
            <w:tcW w:type="dxa" w:w="2016"/>
          </w:tcPr>
          <w:p>
            <w:r>
              <w:rPr>
                <w:sz w:val="20"/>
              </w:rPr>
              <w:t>3.59</w:t>
            </w:r>
          </w:p>
        </w:tc>
      </w:tr>
      <w:tr>
        <w:tc>
          <w:tcPr>
            <w:tcW w:type="dxa" w:w="864"/>
          </w:tcPr>
          <w:p>
            <w:r>
              <w:rPr>
                <w:sz w:val="20"/>
              </w:rPr>
              <w:t>3</w:t>
            </w:r>
          </w:p>
        </w:tc>
        <w:tc>
          <w:tcPr>
            <w:tcW w:type="dxa" w:w="2448"/>
          </w:tcPr>
          <w:p>
            <w:r>
              <w:rPr>
                <w:sz w:val="20"/>
              </w:rPr>
              <w:t>2026-08-13 12:05</w:t>
            </w:r>
          </w:p>
        </w:tc>
        <w:tc>
          <w:tcPr>
            <w:tcW w:type="dxa" w:w="1728"/>
          </w:tcPr>
          <w:p>
            <w:r>
              <w:rPr>
                <w:sz w:val="20"/>
              </w:rPr>
              <w:t>1064</w:t>
            </w:r>
          </w:p>
        </w:tc>
        <w:tc>
          <w:tcPr>
            <w:tcW w:type="dxa" w:w="1728"/>
          </w:tcPr>
          <w:p>
            <w:r>
              <w:rPr>
                <w:sz w:val="20"/>
              </w:rPr>
              <w:t>647</w:t>
            </w:r>
          </w:p>
        </w:tc>
        <w:tc>
          <w:tcPr>
            <w:tcW w:type="dxa" w:w="2016"/>
          </w:tcPr>
          <w:p>
            <w:r>
              <w:rPr>
                <w:sz w:val="20"/>
              </w:rPr>
              <w:t>3.66</w:t>
            </w:r>
          </w:p>
        </w:tc>
      </w:tr>
    </w:tbl>
    <w:p>
      <w:r>
        <w:br w:type="page"/>
      </w:r>
    </w:p>
    <w:p>
      <w:pPr>
        <w:pStyle w:val="Heading1"/>
      </w:pPr>
      <w:r>
        <w:t>1. Executive Summary</w:t>
      </w:r>
    </w:p>
    <w:tbl>
      <w:tblPr>
        <w:tblW w:type="auto" w:w="0"/>
        <w:jc w:val="center"/>
        <w:tblLook w:firstColumn="1" w:firstRow="1" w:lastColumn="0" w:lastRow="0" w:noHBand="0" w:noVBand="1" w:val="04A0"/>
        <w:tblBorders>
          <w:top w:val="single" w:sz="12" w:color="1F2A44"/>
          <w:left w:val="single" w:sz="12" w:color="1F2A44"/>
          <w:bottom w:val="single" w:sz="12" w:color="1F2A44"/>
          <w:right w:val="single" w:sz="12" w:color="1F2A44"/>
        </w:tblBorders>
      </w:tblPr>
      <w:tblGrid>
        <w:gridCol w:w="8640"/>
      </w:tblGrid>
      <w:tr>
        <w:tc>
          <w:tcPr>
            <w:tcW w:type="dxa" w:w="8640"/>
            <w:shd w:fill="F0EDE4"/>
          </w:tcPr>
          <w:p>
            <w:r>
              <w:rPr>
                <w:sz w:val="22"/>
              </w:rPr>
            </w:r>
            <w:r>
              <w:rPr>
                <w:sz w:val="22"/>
              </w:rPr>
              <w:t xml:space="preserve">12 new row(s) added, from 4 participant(s). Among just the new data, the dominant emotion was </w:t>
            </w:r>
            <w:r>
              <w:rPr>
                <w:b/>
                <w:sz w:val="22"/>
              </w:rPr>
              <w:t>neutral</w:t>
            </w:r>
            <w:r>
              <w:rPr>
                <w:sz w:val="22"/>
              </w:rPr>
              <w:t xml:space="preserve"> and average engagement score was 9.14. Overall average engagement score moved up from 3.59 to 3.66 (+1.7%) across the whole dataset. </w:t>
            </w:r>
            <w:r>
              <w:rPr>
                <w:b/>
                <w:sz w:val="22"/>
              </w:rPr>
              <w:t>C (Neutral)</w:t>
            </w:r>
            <w:r>
              <w:rPr>
                <w:sz w:val="22"/>
              </w:rPr>
              <w:t xml:space="preserve"> currently leads in engagement (6.62) vs </w:t>
            </w:r>
            <w:r>
              <w:rPr>
                <w:b/>
                <w:sz w:val="22"/>
              </w:rPr>
              <w:t>B (Right)</w:t>
            </w:r>
            <w:r>
              <w:rPr>
                <w:sz w:val="22"/>
              </w:rPr>
              <w:t xml:space="preserve"> (5.02). Most frequent emotion overall: </w:t>
            </w:r>
            <w:r>
              <w:rPr>
                <w:b/>
                <w:sz w:val="22"/>
              </w:rPr>
              <w:t>surprise</w:t>
            </w:r>
            <w:r>
              <w:rPr>
                <w:sz w:val="22"/>
              </w:rPr>
              <w:t xml:space="preserve"> (21.2%). Significant A/B findings: emotion score: A (Left) (p=0.027); emotion score: A (Left) (p=0.0383).</w:t>
            </w:r>
          </w:p>
        </w:tc>
      </w:tr>
    </w:tbl>
    <w:p/>
    <w:p>
      <w:r>
        <w:t>This section is regenerated automatically after every analysis and always reflects the most recently collected data. See Section 8 (Appendix) for the complete run-by-run history of how these findings have evolved.</w:t>
      </w:r>
    </w:p>
    <w:p>
      <w:pPr>
        <w:pStyle w:val="Heading1"/>
      </w:pPr>
      <w:r>
        <w:t>2. Objectives &amp; Scope</w:t>
      </w:r>
    </w:p>
    <w:p>
      <w:r>
        <w:t>This study evaluates customer response to a single product's design variants using non-intrusive eye-tracking (gaze and fixation analysis) and facial emotion recognition. The objective is to identify which visual design (stimulus variant) drives the strongest attention and the most positive emotional engagement, in order to inform the final packaging and design decision with quantitative, behavioral evidence rather than opinion alone.</w:t>
      </w:r>
    </w:p>
    <w:p>
      <w:r>
        <w:t>The scope covers all participant sessions recorded to date in the underlying dataset, and is updated automatically as new sessions are added — this report always reflects the complete, current body of evidence.</w:t>
      </w:r>
    </w:p>
    <w:p>
      <w:pPr>
        <w:pStyle w:val="Heading1"/>
      </w:pPr>
      <w:r>
        <w:t>3. Methodology</w:t>
      </w:r>
    </w:p>
    <w:p>
      <w:r>
        <w:t>Data was collected and analyzed using the following pipeline:</w:t>
      </w:r>
    </w:p>
    <w:p>
      <w:pPr>
        <w:pStyle w:val="ListBullet"/>
      </w:pPr>
      <w:r>
        <w:rPr>
          <w:b/>
        </w:rPr>
        <w:t>Eye tracking:</w:t>
      </w:r>
      <w:r>
        <w:t xml:space="preserve"> gaze position (x/y) and fixation duration captured via OpenCV + MediaPipe face/eye landmark detection.</w:t>
      </w:r>
    </w:p>
    <w:p>
      <w:pPr>
        <w:pStyle w:val="ListBullet"/>
      </w:pPr>
      <w:r>
        <w:rPr>
          <w:b/>
        </w:rPr>
        <w:t>Facial emotion recognition:</w:t>
      </w:r>
      <w:r>
        <w:t xml:space="preserve"> frame-level emotion classification via DeepFace, producing one of five categories per trial — happy, sad, angry, surprise, or neutral.</w:t>
      </w:r>
    </w:p>
    <w:p>
      <w:pPr>
        <w:pStyle w:val="ListBullet"/>
      </w:pPr>
      <w:r>
        <w:rPr>
          <w:b/>
        </w:rPr>
        <w:t>Engagement score:</w:t>
      </w:r>
      <w:r>
        <w:t xml:space="preserve"> a composite metric combining attention time and emotion valence, capturing both how long and how positively a participant engaged with the stimulus.</w:t>
      </w:r>
    </w:p>
    <w:p>
      <w:pPr>
        <w:pStyle w:val="ListBullet"/>
      </w:pPr>
      <w:r>
        <w:rPr>
          <w:b/>
        </w:rPr>
        <w:t>A/B(/C) testing:</w:t>
      </w:r>
      <w:r>
        <w:t xml:space="preserve"> independent two-sample t-tests (Welch's) comparing engagement, emotion, and attention-time means across stimulus variants (A, B, C).</w:t>
      </w:r>
    </w:p>
    <w:p>
      <w:pPr>
        <w:pStyle w:val="ListBullet"/>
      </w:pPr>
      <w:r>
        <w:rPr>
          <w:b/>
        </w:rPr>
        <w:t>Segmentation:</w:t>
      </w:r>
      <w:r>
        <w:t xml:space="preserve"> K-means clustering (k=3) of all participants based on emotion score, attention time, and engagement score, to identify distinct behavioral profiles.</w:t>
      </w:r>
    </w:p>
    <w:p>
      <w:r>
        <w:t>All figures in this report are computed directly from the underlying dataset at generation time — no manual data entry is involved.</w:t>
      </w:r>
    </w:p>
    <w:p>
      <w:pPr>
        <w:pStyle w:val="Heading1"/>
      </w:pPr>
      <w:r>
        <w:t>4. Key Metrics Snapshot (Current)</w:t>
      </w:r>
    </w:p>
    <w:tbl>
      <w:tblPr>
        <w:tblStyle w:val="TableGrid"/>
        <w:tblW w:type="auto" w:w="0"/>
        <w:jc w:val="center"/>
        <w:tblLook w:firstColumn="1" w:firstRow="1" w:lastColumn="0" w:lastRow="0" w:noHBand="0" w:noVBand="1" w:val="04A0"/>
      </w:tblPr>
      <w:tblGrid>
        <w:gridCol w:w="4320"/>
        <w:gridCol w:w="4320"/>
      </w:tblGrid>
      <w:tr>
        <w:tc>
          <w:tcPr>
            <w:tcW w:type="dxa" w:w="5040"/>
            <w:shd w:fill="1F2A44"/>
          </w:tcPr>
          <w:p>
            <w:r/>
            <w:r>
              <w:rPr>
                <w:b/>
                <w:color w:val="FFFFFF"/>
                <w:sz w:val="20"/>
              </w:rPr>
              <w:t>Metric</w:t>
            </w:r>
          </w:p>
        </w:tc>
        <w:tc>
          <w:tcPr>
            <w:tcW w:type="dxa" w:w="3600"/>
            <w:shd w:fill="1F2A44"/>
          </w:tcPr>
          <w:p>
            <w:r/>
            <w:r>
              <w:rPr>
                <w:b/>
                <w:color w:val="FFFFFF"/>
                <w:sz w:val="20"/>
              </w:rPr>
              <w:t>Value</w:t>
            </w:r>
          </w:p>
        </w:tc>
      </w:tr>
      <w:tr>
        <w:tc>
          <w:tcPr>
            <w:tcW w:type="dxa" w:w="5040"/>
          </w:tcPr>
          <w:p>
            <w:r>
              <w:rPr>
                <w:sz w:val="20"/>
              </w:rPr>
              <w:t>Total Trials</w:t>
            </w:r>
          </w:p>
        </w:tc>
        <w:tc>
          <w:tcPr>
            <w:tcW w:type="dxa" w:w="3600"/>
          </w:tcPr>
          <w:p>
            <w:r>
              <w:rPr>
                <w:sz w:val="20"/>
              </w:rPr>
              <w:t>1,064</w:t>
            </w:r>
          </w:p>
        </w:tc>
      </w:tr>
      <w:tr>
        <w:tc>
          <w:tcPr>
            <w:tcW w:type="dxa" w:w="5040"/>
          </w:tcPr>
          <w:p>
            <w:r>
              <w:rPr>
                <w:sz w:val="20"/>
              </w:rPr>
              <w:t>Total Participants</w:t>
            </w:r>
          </w:p>
        </w:tc>
        <w:tc>
          <w:tcPr>
            <w:tcW w:type="dxa" w:w="3600"/>
          </w:tcPr>
          <w:p>
            <w:r>
              <w:rPr>
                <w:sz w:val="20"/>
              </w:rPr>
              <w:t>647</w:t>
            </w:r>
          </w:p>
        </w:tc>
      </w:tr>
      <w:tr>
        <w:tc>
          <w:tcPr>
            <w:tcW w:type="dxa" w:w="5040"/>
          </w:tcPr>
          <w:p>
            <w:r>
              <w:rPr>
                <w:sz w:val="20"/>
              </w:rPr>
              <w:t>Avg Engagement Score</w:t>
            </w:r>
          </w:p>
        </w:tc>
        <w:tc>
          <w:tcPr>
            <w:tcW w:type="dxa" w:w="3600"/>
          </w:tcPr>
          <w:p>
            <w:r>
              <w:rPr>
                <w:sz w:val="20"/>
              </w:rPr>
              <w:t>3.66</w:t>
            </w:r>
          </w:p>
        </w:tc>
      </w:tr>
      <w:tr>
        <w:tc>
          <w:tcPr>
            <w:tcW w:type="dxa" w:w="5040"/>
          </w:tcPr>
          <w:p>
            <w:r>
              <w:rPr>
                <w:sz w:val="20"/>
              </w:rPr>
              <w:t>Avg Attention Time (s)</w:t>
            </w:r>
          </w:p>
        </w:tc>
        <w:tc>
          <w:tcPr>
            <w:tcW w:type="dxa" w:w="3600"/>
          </w:tcPr>
          <w:p>
            <w:r>
              <w:rPr>
                <w:sz w:val="20"/>
              </w:rPr>
              <w:t>3.11</w:t>
            </w:r>
          </w:p>
        </w:tc>
      </w:tr>
      <w:tr>
        <w:tc>
          <w:tcPr>
            <w:tcW w:type="dxa" w:w="5040"/>
          </w:tcPr>
          <w:p>
            <w:r>
              <w:rPr>
                <w:sz w:val="20"/>
              </w:rPr>
              <w:t>Analysis Runs Logged</w:t>
            </w:r>
          </w:p>
        </w:tc>
        <w:tc>
          <w:tcPr>
            <w:tcW w:type="dxa" w:w="3600"/>
          </w:tcPr>
          <w:p>
            <w:r>
              <w:rPr>
                <w:sz w:val="20"/>
              </w:rPr>
              <w:t>3</w:t>
            </w:r>
          </w:p>
        </w:tc>
      </w:tr>
    </w:tbl>
    <w:p/>
    <w:p>
      <w:pPr>
        <w:pStyle w:val="Heading2"/>
      </w:pPr>
      <w:r>
        <w:t>Trend Across Analysis Runs</w:t>
      </w:r>
    </w:p>
    <w:p>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trend.png"/>
                    <pic:cNvPicPr/>
                  </pic:nvPicPr>
                  <pic:blipFill>
                    <a:blip r:embed="rId9"/>
                    <a:stretch>
                      <a:fillRect/>
                    </a:stretch>
                  </pic:blipFill>
                  <pic:spPr>
                    <a:xfrm>
                      <a:off x="0" y="0"/>
                      <a:ext cx="5760720" cy="2592324"/>
                    </a:xfrm>
                    <a:prstGeom prst="rect"/>
                  </pic:spPr>
                </pic:pic>
              </a:graphicData>
            </a:graphic>
          </wp:inline>
        </w:drawing>
      </w:r>
    </w:p>
    <w:p>
      <w:r>
        <w:br w:type="page"/>
      </w:r>
    </w:p>
    <w:p>
      <w:pPr>
        <w:pStyle w:val="Heading1"/>
      </w:pPr>
      <w:r>
        <w:t>5. Findings</w:t>
      </w:r>
    </w:p>
    <w:p>
      <w:pPr>
        <w:pStyle w:val="Heading2"/>
      </w:pPr>
      <w:r>
        <w:t>5.1 Emotion Distribution</w:t>
      </w:r>
    </w:p>
    <w:p>
      <w:r>
        <w:t xml:space="preserve">Across all recorded trials, </w:t>
      </w:r>
      <w:r>
        <w:rPr>
          <w:b/>
        </w:rPr>
        <w:t>Surprise</w:t>
      </w:r>
      <w:r>
        <w:t xml:space="preserve"> was the most frequently detected emotion, accounting for 21.2% of reactions.</w:t>
      </w:r>
    </w:p>
    <w:p>
      <w:r>
        <w:drawing>
          <wp:inline xmlns:a="http://schemas.openxmlformats.org/drawingml/2006/main" xmlns:pic="http://schemas.openxmlformats.org/drawingml/2006/picture">
            <wp:extent cx="3840480" cy="3072384"/>
            <wp:docPr id="2" name="Picture 2"/>
            <wp:cNvGraphicFramePr>
              <a:graphicFrameLocks noChangeAspect="1"/>
            </wp:cNvGraphicFramePr>
            <a:graphic>
              <a:graphicData uri="http://schemas.openxmlformats.org/drawingml/2006/picture">
                <pic:pic>
                  <pic:nvPicPr>
                    <pic:cNvPr id="0" name="emotion.png"/>
                    <pic:cNvPicPr/>
                  </pic:nvPicPr>
                  <pic:blipFill>
                    <a:blip r:embed="rId10"/>
                    <a:stretch>
                      <a:fillRect/>
                    </a:stretch>
                  </pic:blipFill>
                  <pic:spPr>
                    <a:xfrm>
                      <a:off x="0" y="0"/>
                      <a:ext cx="3840480" cy="3072384"/>
                    </a:xfrm>
                    <a:prstGeom prst="rect"/>
                  </pic:spPr>
                </pic:pic>
              </a:graphicData>
            </a:graphic>
          </wp:inline>
        </w:drawing>
      </w:r>
    </w:p>
    <w:tbl>
      <w:tblPr>
        <w:tblStyle w:val="TableGrid"/>
        <w:tblW w:type="auto" w:w="0"/>
        <w:jc w:val="center"/>
        <w:tblLook w:firstColumn="1" w:firstRow="1" w:lastColumn="0" w:lastRow="0" w:noHBand="0" w:noVBand="1" w:val="04A0"/>
      </w:tblPr>
      <w:tblGrid>
        <w:gridCol w:w="4320"/>
        <w:gridCol w:w="4320"/>
      </w:tblGrid>
      <w:tr>
        <w:tc>
          <w:tcPr>
            <w:tcW w:type="dxa" w:w="5040"/>
            <w:shd w:fill="1F2A44"/>
          </w:tcPr>
          <w:p>
            <w:r/>
            <w:r>
              <w:rPr>
                <w:b/>
                <w:color w:val="FFFFFF"/>
                <w:sz w:val="20"/>
              </w:rPr>
              <w:t>Emotion</w:t>
            </w:r>
          </w:p>
        </w:tc>
        <w:tc>
          <w:tcPr>
            <w:tcW w:type="dxa" w:w="3600"/>
            <w:shd w:fill="1F2A44"/>
          </w:tcPr>
          <w:p>
            <w:r/>
            <w:r>
              <w:rPr>
                <w:b/>
                <w:color w:val="FFFFFF"/>
                <w:sz w:val="20"/>
              </w:rPr>
              <w:t>Share of Trials</w:t>
            </w:r>
          </w:p>
        </w:tc>
      </w:tr>
      <w:tr>
        <w:tc>
          <w:tcPr>
            <w:tcW w:type="dxa" w:w="5040"/>
          </w:tcPr>
          <w:p>
            <w:r>
              <w:rPr>
                <w:sz w:val="20"/>
              </w:rPr>
              <w:t>Surprise</w:t>
            </w:r>
          </w:p>
        </w:tc>
        <w:tc>
          <w:tcPr>
            <w:tcW w:type="dxa" w:w="3600"/>
          </w:tcPr>
          <w:p>
            <w:r>
              <w:rPr>
                <w:sz w:val="20"/>
              </w:rPr>
              <w:t>21.2%</w:t>
            </w:r>
          </w:p>
        </w:tc>
      </w:tr>
      <w:tr>
        <w:tc>
          <w:tcPr>
            <w:tcW w:type="dxa" w:w="5040"/>
          </w:tcPr>
          <w:p>
            <w:r>
              <w:rPr>
                <w:sz w:val="20"/>
              </w:rPr>
              <w:t>Happy</w:t>
            </w:r>
          </w:p>
        </w:tc>
        <w:tc>
          <w:tcPr>
            <w:tcW w:type="dxa" w:w="3600"/>
          </w:tcPr>
          <w:p>
            <w:r>
              <w:rPr>
                <w:sz w:val="20"/>
              </w:rPr>
              <w:t>20.7%</w:t>
            </w:r>
          </w:p>
        </w:tc>
      </w:tr>
      <w:tr>
        <w:tc>
          <w:tcPr>
            <w:tcW w:type="dxa" w:w="5040"/>
          </w:tcPr>
          <w:p>
            <w:r>
              <w:rPr>
                <w:sz w:val="20"/>
              </w:rPr>
              <w:t>Angry</w:t>
            </w:r>
          </w:p>
        </w:tc>
        <w:tc>
          <w:tcPr>
            <w:tcW w:type="dxa" w:w="3600"/>
          </w:tcPr>
          <w:p>
            <w:r>
              <w:rPr>
                <w:sz w:val="20"/>
              </w:rPr>
              <w:t>20.3%</w:t>
            </w:r>
          </w:p>
        </w:tc>
      </w:tr>
      <w:tr>
        <w:tc>
          <w:tcPr>
            <w:tcW w:type="dxa" w:w="5040"/>
          </w:tcPr>
          <w:p>
            <w:r>
              <w:rPr>
                <w:sz w:val="20"/>
              </w:rPr>
              <w:t>Neutral</w:t>
            </w:r>
          </w:p>
        </w:tc>
        <w:tc>
          <w:tcPr>
            <w:tcW w:type="dxa" w:w="3600"/>
          </w:tcPr>
          <w:p>
            <w:r>
              <w:rPr>
                <w:sz w:val="20"/>
              </w:rPr>
              <w:t>19.8%</w:t>
            </w:r>
          </w:p>
        </w:tc>
      </w:tr>
      <w:tr>
        <w:tc>
          <w:tcPr>
            <w:tcW w:type="dxa" w:w="5040"/>
          </w:tcPr>
          <w:p>
            <w:r>
              <w:rPr>
                <w:sz w:val="20"/>
              </w:rPr>
              <w:t>Sad</w:t>
            </w:r>
          </w:p>
        </w:tc>
        <w:tc>
          <w:tcPr>
            <w:tcW w:type="dxa" w:w="3600"/>
          </w:tcPr>
          <w:p>
            <w:r>
              <w:rPr>
                <w:sz w:val="20"/>
              </w:rPr>
              <w:t>17.9%</w:t>
            </w:r>
          </w:p>
        </w:tc>
      </w:tr>
    </w:tbl>
    <w:p>
      <w:pPr>
        <w:pStyle w:val="Heading2"/>
      </w:pPr>
      <w:r>
        <w:t>5.2 Engagement &amp; Attention by Stimulus</w:t>
      </w:r>
    </w:p>
    <w:p>
      <w:r>
        <w:rPr>
          <w:b/>
        </w:rPr>
        <w:t>C (Neutral)</w:t>
      </w:r>
      <w:r>
        <w:t xml:space="preserve"> currently leads in average engagement (6.62), while </w:t>
      </w:r>
      <w:r>
        <w:rPr>
          <w:b/>
        </w:rPr>
        <w:t>B (Right)</w:t>
      </w:r>
      <w:r>
        <w:t xml:space="preserve"> trails (5.02). This comparison is based on the subset of trials where a stimulus variant was explicitly assigned.</w:t>
      </w:r>
    </w:p>
    <w:p>
      <w:r>
        <w:drawing>
          <wp:inline xmlns:a="http://schemas.openxmlformats.org/drawingml/2006/main" xmlns:pic="http://schemas.openxmlformats.org/drawingml/2006/picture">
            <wp:extent cx="5760720" cy="2592324"/>
            <wp:docPr id="3" name="Picture 3"/>
            <wp:cNvGraphicFramePr>
              <a:graphicFrameLocks noChangeAspect="1"/>
            </wp:cNvGraphicFramePr>
            <a:graphic>
              <a:graphicData uri="http://schemas.openxmlformats.org/drawingml/2006/picture">
                <pic:pic>
                  <pic:nvPicPr>
                    <pic:cNvPr id="0" name="stimulus.png"/>
                    <pic:cNvPicPr/>
                  </pic:nvPicPr>
                  <pic:blipFill>
                    <a:blip r:embed="rId11"/>
                    <a:stretch>
                      <a:fillRect/>
                    </a:stretch>
                  </pic:blipFill>
                  <pic:spPr>
                    <a:xfrm>
                      <a:off x="0" y="0"/>
                      <a:ext cx="5760720" cy="2592324"/>
                    </a:xfrm>
                    <a:prstGeom prst="rect"/>
                  </pic:spPr>
                </pic:pic>
              </a:graphicData>
            </a:graphic>
          </wp:inline>
        </w:drawing>
      </w:r>
    </w:p>
    <w:tbl>
      <w:tblPr>
        <w:tblStyle w:val="TableGrid"/>
        <w:tblW w:type="auto" w:w="0"/>
        <w:jc w:val="center"/>
        <w:tblLook w:firstColumn="1" w:firstRow="1" w:lastColumn="0" w:lastRow="0" w:noHBand="0" w:noVBand="1" w:val="04A0"/>
      </w:tblPr>
      <w:tblGrid>
        <w:gridCol w:w="2880"/>
        <w:gridCol w:w="2880"/>
        <w:gridCol w:w="2880"/>
      </w:tblGrid>
      <w:tr>
        <w:tc>
          <w:tcPr>
            <w:tcW w:type="dxa" w:w="3312"/>
            <w:shd w:fill="1F2A44"/>
          </w:tcPr>
          <w:p>
            <w:r/>
            <w:r>
              <w:rPr>
                <w:b/>
                <w:color w:val="FFFFFF"/>
                <w:sz w:val="20"/>
              </w:rPr>
              <w:t>Stimulus</w:t>
            </w:r>
          </w:p>
        </w:tc>
        <w:tc>
          <w:tcPr>
            <w:tcW w:type="dxa" w:w="3312"/>
            <w:shd w:fill="1F2A44"/>
          </w:tcPr>
          <w:p>
            <w:r/>
            <w:r>
              <w:rPr>
                <w:b/>
                <w:color w:val="FFFFFF"/>
                <w:sz w:val="20"/>
              </w:rPr>
              <w:t>Avg Engagement</w:t>
            </w:r>
          </w:p>
        </w:tc>
        <w:tc>
          <w:tcPr>
            <w:tcW w:type="dxa" w:w="3456"/>
            <w:shd w:fill="1F2A44"/>
          </w:tcPr>
          <w:p>
            <w:r/>
            <w:r>
              <w:rPr>
                <w:b/>
                <w:color w:val="FFFFFF"/>
                <w:sz w:val="20"/>
              </w:rPr>
              <w:t>Avg Attention Time (s)</w:t>
            </w:r>
          </w:p>
        </w:tc>
      </w:tr>
      <w:tr>
        <w:tc>
          <w:tcPr>
            <w:tcW w:type="dxa" w:w="3312"/>
          </w:tcPr>
          <w:p>
            <w:r>
              <w:rPr>
                <w:sz w:val="20"/>
              </w:rPr>
              <w:t>A (Left)</w:t>
            </w:r>
          </w:p>
        </w:tc>
        <w:tc>
          <w:tcPr>
            <w:tcW w:type="dxa" w:w="3312"/>
          </w:tcPr>
          <w:p>
            <w:r>
              <w:rPr>
                <w:sz w:val="20"/>
              </w:rPr>
              <w:t>5.09</w:t>
            </w:r>
          </w:p>
        </w:tc>
        <w:tc>
          <w:tcPr>
            <w:tcW w:type="dxa" w:w="3456"/>
          </w:tcPr>
          <w:p>
            <w:r>
              <w:rPr>
                <w:sz w:val="20"/>
              </w:rPr>
              <w:t>4.45</w:t>
            </w:r>
          </w:p>
        </w:tc>
      </w:tr>
      <w:tr>
        <w:tc>
          <w:tcPr>
            <w:tcW w:type="dxa" w:w="3312"/>
          </w:tcPr>
          <w:p>
            <w:r>
              <w:rPr>
                <w:sz w:val="20"/>
              </w:rPr>
              <w:t>B (Right)</w:t>
            </w:r>
          </w:p>
        </w:tc>
        <w:tc>
          <w:tcPr>
            <w:tcW w:type="dxa" w:w="3312"/>
          </w:tcPr>
          <w:p>
            <w:r>
              <w:rPr>
                <w:sz w:val="20"/>
              </w:rPr>
              <w:t>5.02</w:t>
            </w:r>
          </w:p>
        </w:tc>
        <w:tc>
          <w:tcPr>
            <w:tcW w:type="dxa" w:w="3456"/>
          </w:tcPr>
          <w:p>
            <w:r>
              <w:rPr>
                <w:sz w:val="20"/>
              </w:rPr>
              <w:t>4.58</w:t>
            </w:r>
          </w:p>
        </w:tc>
      </w:tr>
      <w:tr>
        <w:tc>
          <w:tcPr>
            <w:tcW w:type="dxa" w:w="3312"/>
          </w:tcPr>
          <w:p>
            <w:r>
              <w:rPr>
                <w:sz w:val="20"/>
              </w:rPr>
              <w:t>C (Neutral)</w:t>
            </w:r>
          </w:p>
        </w:tc>
        <w:tc>
          <w:tcPr>
            <w:tcW w:type="dxa" w:w="3312"/>
          </w:tcPr>
          <w:p>
            <w:r>
              <w:rPr>
                <w:sz w:val="20"/>
              </w:rPr>
              <w:t>6.62</w:t>
            </w:r>
          </w:p>
        </w:tc>
        <w:tc>
          <w:tcPr>
            <w:tcW w:type="dxa" w:w="3456"/>
          </w:tcPr>
          <w:p>
            <w:r>
              <w:rPr>
                <w:sz w:val="20"/>
              </w:rPr>
              <w:t>4.54</w:t>
            </w:r>
          </w:p>
        </w:tc>
      </w:tr>
    </w:tbl>
    <w:p>
      <w:r>
        <w:br w:type="page"/>
      </w:r>
    </w:p>
    <w:p>
      <w:pPr>
        <w:pStyle w:val="Heading2"/>
      </w:pPr>
      <w:r>
        <w:t>5.3 Participant Segmentation</w:t>
      </w:r>
    </w:p>
    <w:p>
      <w:r>
        <w:t xml:space="preserve">Three behavioral segments were identified via clustering. Segment </w:t>
      </w:r>
      <w:r>
        <w:rPr>
          <w:b/>
        </w:rPr>
        <w:t>1</w:t>
      </w:r>
      <w:r>
        <w:t xml:space="preserve"> shows the highest engagement (4.75) and represents 46% of all trials — the strongest-responding audience profile. Segment </w:t>
      </w:r>
      <w:r>
        <w:rPr>
          <w:b/>
        </w:rPr>
        <w:t>0</w:t>
      </w:r>
      <w:r>
        <w:t xml:space="preserve"> shows the lowest engagement (2.25) and may warrant a different creative or messaging approach.</w:t>
      </w:r>
    </w:p>
    <w:p>
      <w:r>
        <w:drawing>
          <wp:inline xmlns:a="http://schemas.openxmlformats.org/drawingml/2006/main" xmlns:pic="http://schemas.openxmlformats.org/drawingml/2006/picture">
            <wp:extent cx="3840480" cy="3072384"/>
            <wp:docPr id="4" name="Picture 4"/>
            <wp:cNvGraphicFramePr>
              <a:graphicFrameLocks noChangeAspect="1"/>
            </wp:cNvGraphicFramePr>
            <a:graphic>
              <a:graphicData uri="http://schemas.openxmlformats.org/drawingml/2006/picture">
                <pic:pic>
                  <pic:nvPicPr>
                    <pic:cNvPr id="0" name="segments.png"/>
                    <pic:cNvPicPr/>
                  </pic:nvPicPr>
                  <pic:blipFill>
                    <a:blip r:embed="rId12"/>
                    <a:stretch>
                      <a:fillRect/>
                    </a:stretch>
                  </pic:blipFill>
                  <pic:spPr>
                    <a:xfrm>
                      <a:off x="0" y="0"/>
                      <a:ext cx="3840480" cy="3072384"/>
                    </a:xfrm>
                    <a:prstGeom prst="rect"/>
                  </pic:spPr>
                </pic:pic>
              </a:graphicData>
            </a:graphic>
          </wp:inline>
        </w:drawing>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2A44"/>
          </w:tcPr>
          <w:p>
            <w:r/>
            <w:r>
              <w:rPr>
                <w:b/>
                <w:color w:val="FFFFFF"/>
                <w:sz w:val="20"/>
              </w:rPr>
              <w:t>Segment</w:t>
            </w:r>
          </w:p>
        </w:tc>
        <w:tc>
          <w:tcPr>
            <w:tcW w:type="dxa" w:w="1440"/>
            <w:shd w:fill="1F2A44"/>
          </w:tcPr>
          <w:p>
            <w:r/>
            <w:r>
              <w:rPr>
                <w:b/>
                <w:color w:val="FFFFFF"/>
                <w:sz w:val="20"/>
              </w:rPr>
              <w:t>Size</w:t>
            </w:r>
          </w:p>
        </w:tc>
        <w:tc>
          <w:tcPr>
            <w:tcW w:type="dxa" w:w="1872"/>
            <w:shd w:fill="1F2A44"/>
          </w:tcPr>
          <w:p>
            <w:r/>
            <w:r>
              <w:rPr>
                <w:b/>
                <w:color w:val="FFFFFF"/>
                <w:sz w:val="20"/>
              </w:rPr>
              <w:t>Avg Emotion</w:t>
            </w:r>
          </w:p>
        </w:tc>
        <w:tc>
          <w:tcPr>
            <w:tcW w:type="dxa" w:w="1872"/>
            <w:shd w:fill="1F2A44"/>
          </w:tcPr>
          <w:p>
            <w:r/>
            <w:r>
              <w:rPr>
                <w:b/>
                <w:color w:val="FFFFFF"/>
                <w:sz w:val="20"/>
              </w:rPr>
              <w:t>Avg Attention</w:t>
            </w:r>
          </w:p>
        </w:tc>
        <w:tc>
          <w:tcPr>
            <w:tcW w:type="dxa" w:w="2016"/>
            <w:shd w:fill="1F2A44"/>
          </w:tcPr>
          <w:p>
            <w:r/>
            <w:r>
              <w:rPr>
                <w:b/>
                <w:color w:val="FFFFFF"/>
                <w:sz w:val="20"/>
              </w:rPr>
              <w:t>Avg Engagement</w:t>
            </w:r>
          </w:p>
        </w:tc>
      </w:tr>
      <w:tr>
        <w:tc>
          <w:tcPr>
            <w:tcW w:type="dxa" w:w="1728"/>
          </w:tcPr>
          <w:p>
            <w:r>
              <w:rPr>
                <w:sz w:val="20"/>
              </w:rPr>
              <w:t>0</w:t>
            </w:r>
          </w:p>
        </w:tc>
        <w:tc>
          <w:tcPr>
            <w:tcW w:type="dxa" w:w="1440"/>
          </w:tcPr>
          <w:p>
            <w:r>
              <w:rPr>
                <w:sz w:val="20"/>
              </w:rPr>
              <w:t>283</w:t>
            </w:r>
          </w:p>
        </w:tc>
        <w:tc>
          <w:tcPr>
            <w:tcW w:type="dxa" w:w="1872"/>
          </w:tcPr>
          <w:p>
            <w:r>
              <w:rPr>
                <w:sz w:val="20"/>
              </w:rPr>
              <w:t>0.15</w:t>
            </w:r>
          </w:p>
        </w:tc>
        <w:tc>
          <w:tcPr>
            <w:tcW w:type="dxa" w:w="1872"/>
          </w:tcPr>
          <w:p>
            <w:r>
              <w:rPr>
                <w:sz w:val="20"/>
              </w:rPr>
              <w:t>2.10</w:t>
            </w:r>
          </w:p>
        </w:tc>
        <w:tc>
          <w:tcPr>
            <w:tcW w:type="dxa" w:w="2016"/>
          </w:tcPr>
          <w:p>
            <w:r>
              <w:rPr>
                <w:sz w:val="20"/>
              </w:rPr>
              <w:t>2.25</w:t>
            </w:r>
          </w:p>
        </w:tc>
      </w:tr>
      <w:tr>
        <w:tc>
          <w:tcPr>
            <w:tcW w:type="dxa" w:w="1728"/>
          </w:tcPr>
          <w:p>
            <w:r>
              <w:rPr>
                <w:sz w:val="20"/>
              </w:rPr>
              <w:t>1</w:t>
            </w:r>
          </w:p>
        </w:tc>
        <w:tc>
          <w:tcPr>
            <w:tcW w:type="dxa" w:w="1440"/>
          </w:tcPr>
          <w:p>
            <w:r>
              <w:rPr>
                <w:sz w:val="20"/>
              </w:rPr>
              <w:t>482</w:t>
            </w:r>
          </w:p>
        </w:tc>
        <w:tc>
          <w:tcPr>
            <w:tcW w:type="dxa" w:w="1872"/>
          </w:tcPr>
          <w:p>
            <w:r>
              <w:rPr>
                <w:sz w:val="20"/>
              </w:rPr>
              <w:t>0.54</w:t>
            </w:r>
          </w:p>
        </w:tc>
        <w:tc>
          <w:tcPr>
            <w:tcW w:type="dxa" w:w="1872"/>
          </w:tcPr>
          <w:p>
            <w:r>
              <w:rPr>
                <w:sz w:val="20"/>
              </w:rPr>
              <w:t>4.20</w:t>
            </w:r>
          </w:p>
        </w:tc>
        <w:tc>
          <w:tcPr>
            <w:tcW w:type="dxa" w:w="2016"/>
          </w:tcPr>
          <w:p>
            <w:r>
              <w:rPr>
                <w:sz w:val="20"/>
              </w:rPr>
              <w:t>4.75</w:t>
            </w:r>
          </w:p>
        </w:tc>
      </w:tr>
      <w:tr>
        <w:tc>
          <w:tcPr>
            <w:tcW w:type="dxa" w:w="1728"/>
          </w:tcPr>
          <w:p>
            <w:r>
              <w:rPr>
                <w:sz w:val="20"/>
              </w:rPr>
              <w:t>2</w:t>
            </w:r>
          </w:p>
        </w:tc>
        <w:tc>
          <w:tcPr>
            <w:tcW w:type="dxa" w:w="1440"/>
          </w:tcPr>
          <w:p>
            <w:r>
              <w:rPr>
                <w:sz w:val="20"/>
              </w:rPr>
              <w:t>289</w:t>
            </w:r>
          </w:p>
        </w:tc>
        <w:tc>
          <w:tcPr>
            <w:tcW w:type="dxa" w:w="1872"/>
          </w:tcPr>
          <w:p>
            <w:r>
              <w:rPr>
                <w:sz w:val="20"/>
              </w:rPr>
              <w:t>0.81</w:t>
            </w:r>
          </w:p>
        </w:tc>
        <w:tc>
          <w:tcPr>
            <w:tcW w:type="dxa" w:w="1872"/>
          </w:tcPr>
          <w:p>
            <w:r>
              <w:rPr>
                <w:sz w:val="20"/>
              </w:rPr>
              <w:t>2.20</w:t>
            </w:r>
          </w:p>
        </w:tc>
        <w:tc>
          <w:tcPr>
            <w:tcW w:type="dxa" w:w="2016"/>
          </w:tcPr>
          <w:p>
            <w:r>
              <w:rPr>
                <w:sz w:val="20"/>
              </w:rPr>
              <w:t>3.01</w:t>
            </w:r>
          </w:p>
        </w:tc>
      </w:tr>
    </w:tbl>
    <w:p>
      <w:r>
        <w:br w:type="page"/>
      </w:r>
    </w:p>
    <w:p>
      <w:pPr>
        <w:pStyle w:val="Heading1"/>
      </w:pPr>
      <w:r>
        <w:t>6. A/B Test Results</w:t>
      </w:r>
    </w:p>
    <w:p>
      <w:r>
        <w:t>Each stimulus pair was compared using an independent two-sample t-test. A result is marked significant only when p &lt; 0.05; comparisons with fewer than 3 samples per variant are marked as not tested rather than "no difference", since significance cannot be meaningfully assessed on that little data.</w:t>
      </w:r>
    </w:p>
    <w:p>
      <w:pPr>
        <w:pStyle w:val="Heading2"/>
      </w:pPr>
      <w:r>
        <w:t>Engagement Score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shd w:fill="1F2A44"/>
          </w:tcPr>
          <w:p>
            <w:r/>
            <w:r>
              <w:rPr>
                <w:b/>
                <w:color w:val="FFFFFF"/>
                <w:sz w:val="20"/>
              </w:rPr>
              <w:t>Variant A</w:t>
            </w:r>
          </w:p>
        </w:tc>
        <w:tc>
          <w:tcPr>
            <w:tcW w:type="dxa" w:w="1296"/>
            <w:shd w:fill="1F2A44"/>
          </w:tcPr>
          <w:p>
            <w:r/>
            <w:r>
              <w:rPr>
                <w:b/>
                <w:color w:val="FFFFFF"/>
                <w:sz w:val="20"/>
              </w:rPr>
              <w:t>Variant B</w:t>
            </w:r>
          </w:p>
        </w:tc>
        <w:tc>
          <w:tcPr>
            <w:tcW w:type="dxa" w:w="1008"/>
            <w:shd w:fill="1F2A44"/>
          </w:tcPr>
          <w:p>
            <w:r/>
            <w:r>
              <w:rPr>
                <w:b/>
                <w:color w:val="FFFFFF"/>
                <w:sz w:val="20"/>
              </w:rPr>
              <w:t>Mean A</w:t>
            </w:r>
          </w:p>
        </w:tc>
        <w:tc>
          <w:tcPr>
            <w:tcW w:type="dxa" w:w="1008"/>
            <w:shd w:fill="1F2A44"/>
          </w:tcPr>
          <w:p>
            <w:r/>
            <w:r>
              <w:rPr>
                <w:b/>
                <w:color w:val="FFFFFF"/>
                <w:sz w:val="20"/>
              </w:rPr>
              <w:t>Mean B</w:t>
            </w:r>
          </w:p>
        </w:tc>
        <w:tc>
          <w:tcPr>
            <w:tcW w:type="dxa" w:w="1008"/>
            <w:shd w:fill="1F2A44"/>
          </w:tcPr>
          <w:p>
            <w:r/>
            <w:r>
              <w:rPr>
                <w:b/>
                <w:color w:val="FFFFFF"/>
                <w:sz w:val="20"/>
              </w:rPr>
              <w:t>p-value</w:t>
            </w:r>
          </w:p>
        </w:tc>
        <w:tc>
          <w:tcPr>
            <w:tcW w:type="dxa" w:w="1152"/>
            <w:shd w:fill="1F2A44"/>
          </w:tcPr>
          <w:p>
            <w:r/>
            <w:r>
              <w:rPr>
                <w:b/>
                <w:color w:val="FFFFFF"/>
                <w:sz w:val="20"/>
              </w:rPr>
              <w:t>Sig.?</w:t>
            </w:r>
          </w:p>
        </w:tc>
        <w:tc>
          <w:tcPr>
            <w:tcW w:type="dxa" w:w="3312"/>
            <w:shd w:fill="1F2A44"/>
          </w:tcPr>
          <w:p>
            <w:r/>
            <w:r>
              <w:rPr>
                <w:b/>
                <w:color w:val="FFFFFF"/>
                <w:sz w:val="20"/>
              </w:rPr>
              <w:t>Result / Note</w:t>
            </w:r>
          </w:p>
        </w:tc>
      </w:tr>
      <w:tr>
        <w:tc>
          <w:tcPr>
            <w:tcW w:type="dxa" w:w="1296"/>
          </w:tcPr>
          <w:p>
            <w:r>
              <w:rPr>
                <w:sz w:val="20"/>
              </w:rPr>
              <w:t>A (Left)</w:t>
            </w:r>
          </w:p>
        </w:tc>
        <w:tc>
          <w:tcPr>
            <w:tcW w:type="dxa" w:w="1296"/>
          </w:tcPr>
          <w:p>
            <w:r>
              <w:rPr>
                <w:sz w:val="20"/>
              </w:rPr>
              <w:t>B (Right)</w:t>
            </w:r>
          </w:p>
        </w:tc>
        <w:tc>
          <w:tcPr>
            <w:tcW w:type="dxa" w:w="1008"/>
          </w:tcPr>
          <w:p>
            <w:r>
              <w:rPr>
                <w:sz w:val="20"/>
              </w:rPr>
              <w:t>5.095</w:t>
            </w:r>
          </w:p>
        </w:tc>
        <w:tc>
          <w:tcPr>
            <w:tcW w:type="dxa" w:w="1008"/>
          </w:tcPr>
          <w:p>
            <w:r>
              <w:rPr>
                <w:sz w:val="20"/>
              </w:rPr>
              <w:t>5.02</w:t>
            </w:r>
          </w:p>
        </w:tc>
        <w:tc>
          <w:tcPr>
            <w:tcW w:type="dxa" w:w="1008"/>
          </w:tcPr>
          <w:p>
            <w:r>
              <w:rPr>
                <w:sz w:val="20"/>
              </w:rPr>
              <w:t>0.7907</w:t>
            </w:r>
          </w:p>
        </w:tc>
        <w:tc>
          <w:tcPr>
            <w:tcW w:type="dxa" w:w="1152"/>
          </w:tcPr>
          <w:p>
            <w:r>
              <w:rPr>
                <w:sz w:val="20"/>
              </w:rPr>
              <w:t>No</w:t>
            </w:r>
          </w:p>
        </w:tc>
        <w:tc>
          <w:tcPr>
            <w:tcW w:type="dxa" w:w="3312"/>
          </w:tcPr>
          <w:p>
            <w:r>
              <w:rPr>
                <w:sz w:val="20"/>
              </w:rPr>
              <w:t>no significant difference</w:t>
            </w:r>
          </w:p>
        </w:tc>
      </w:tr>
      <w:tr>
        <w:tc>
          <w:tcPr>
            <w:tcW w:type="dxa" w:w="1296"/>
          </w:tcPr>
          <w:p>
            <w:r>
              <w:rPr>
                <w:sz w:val="20"/>
              </w:rPr>
              <w:t>A (Left)</w:t>
            </w:r>
          </w:p>
        </w:tc>
        <w:tc>
          <w:tcPr>
            <w:tcW w:type="dxa" w:w="1296"/>
          </w:tcPr>
          <w:p>
            <w:r>
              <w:rPr>
                <w:sz w:val="20"/>
              </w:rPr>
              <w:t>C (Neutral)</w:t>
            </w:r>
          </w:p>
        </w:tc>
        <w:tc>
          <w:tcPr>
            <w:tcW w:type="dxa" w:w="1008"/>
          </w:tcPr>
          <w:p>
            <w:r>
              <w:rPr>
                <w:sz w:val="20"/>
              </w:rPr>
              <w:t>5.095</w:t>
            </w:r>
          </w:p>
        </w:tc>
        <w:tc>
          <w:tcPr>
            <w:tcW w:type="dxa" w:w="1008"/>
          </w:tcPr>
          <w:p>
            <w:r>
              <w:rPr>
                <w:sz w:val="20"/>
              </w:rPr>
              <w:t>6.617</w:t>
            </w:r>
          </w:p>
        </w:tc>
        <w:tc>
          <w:tcPr>
            <w:tcW w:type="dxa" w:w="1008"/>
          </w:tcPr>
          <w:p>
            <w:r>
              <w:rPr>
                <w:sz w:val="20"/>
              </w:rPr>
              <w:t>0.1758</w:t>
            </w:r>
          </w:p>
        </w:tc>
        <w:tc>
          <w:tcPr>
            <w:tcW w:type="dxa" w:w="1152"/>
          </w:tcPr>
          <w:p>
            <w:r>
              <w:rPr>
                <w:sz w:val="20"/>
              </w:rPr>
              <w:t>No</w:t>
            </w:r>
          </w:p>
        </w:tc>
        <w:tc>
          <w:tcPr>
            <w:tcW w:type="dxa" w:w="3312"/>
          </w:tcPr>
          <w:p>
            <w:r>
              <w:rPr>
                <w:sz w:val="20"/>
              </w:rPr>
              <w:t>no significant difference</w:t>
            </w:r>
          </w:p>
        </w:tc>
      </w:tr>
      <w:tr>
        <w:tc>
          <w:tcPr>
            <w:tcW w:type="dxa" w:w="1296"/>
          </w:tcPr>
          <w:p>
            <w:r>
              <w:rPr>
                <w:sz w:val="20"/>
              </w:rPr>
              <w:t>B (Right)</w:t>
            </w:r>
          </w:p>
        </w:tc>
        <w:tc>
          <w:tcPr>
            <w:tcW w:type="dxa" w:w="1296"/>
          </w:tcPr>
          <w:p>
            <w:r>
              <w:rPr>
                <w:sz w:val="20"/>
              </w:rPr>
              <w:t>C (Neutral)</w:t>
            </w:r>
          </w:p>
        </w:tc>
        <w:tc>
          <w:tcPr>
            <w:tcW w:type="dxa" w:w="1008"/>
          </w:tcPr>
          <w:p>
            <w:r>
              <w:rPr>
                <w:sz w:val="20"/>
              </w:rPr>
              <w:t>5.02</w:t>
            </w:r>
          </w:p>
        </w:tc>
        <w:tc>
          <w:tcPr>
            <w:tcW w:type="dxa" w:w="1008"/>
          </w:tcPr>
          <w:p>
            <w:r>
              <w:rPr>
                <w:sz w:val="20"/>
              </w:rPr>
              <w:t>6.617</w:t>
            </w:r>
          </w:p>
        </w:tc>
        <w:tc>
          <w:tcPr>
            <w:tcW w:type="dxa" w:w="1008"/>
          </w:tcPr>
          <w:p>
            <w:r>
              <w:rPr>
                <w:sz w:val="20"/>
              </w:rPr>
              <w:t>0.1614</w:t>
            </w:r>
          </w:p>
        </w:tc>
        <w:tc>
          <w:tcPr>
            <w:tcW w:type="dxa" w:w="1152"/>
          </w:tcPr>
          <w:p>
            <w:r>
              <w:rPr>
                <w:sz w:val="20"/>
              </w:rPr>
              <w:t>No</w:t>
            </w:r>
          </w:p>
        </w:tc>
        <w:tc>
          <w:tcPr>
            <w:tcW w:type="dxa" w:w="3312"/>
          </w:tcPr>
          <w:p>
            <w:r>
              <w:rPr>
                <w:sz w:val="20"/>
              </w:rPr>
              <w:t>no significant difference</w:t>
            </w:r>
          </w:p>
        </w:tc>
      </w:tr>
    </w:tbl>
    <w:p/>
    <w:p>
      <w:pPr>
        <w:pStyle w:val="Heading2"/>
      </w:pPr>
      <w:r>
        <w:t>Emotion Score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shd w:fill="1F2A44"/>
          </w:tcPr>
          <w:p>
            <w:r/>
            <w:r>
              <w:rPr>
                <w:b/>
                <w:color w:val="FFFFFF"/>
                <w:sz w:val="20"/>
              </w:rPr>
              <w:t>Variant A</w:t>
            </w:r>
          </w:p>
        </w:tc>
        <w:tc>
          <w:tcPr>
            <w:tcW w:type="dxa" w:w="1296"/>
            <w:shd w:fill="1F2A44"/>
          </w:tcPr>
          <w:p>
            <w:r/>
            <w:r>
              <w:rPr>
                <w:b/>
                <w:color w:val="FFFFFF"/>
                <w:sz w:val="20"/>
              </w:rPr>
              <w:t>Variant B</w:t>
            </w:r>
          </w:p>
        </w:tc>
        <w:tc>
          <w:tcPr>
            <w:tcW w:type="dxa" w:w="1008"/>
            <w:shd w:fill="1F2A44"/>
          </w:tcPr>
          <w:p>
            <w:r/>
            <w:r>
              <w:rPr>
                <w:b/>
                <w:color w:val="FFFFFF"/>
                <w:sz w:val="20"/>
              </w:rPr>
              <w:t>Mean A</w:t>
            </w:r>
          </w:p>
        </w:tc>
        <w:tc>
          <w:tcPr>
            <w:tcW w:type="dxa" w:w="1008"/>
            <w:shd w:fill="1F2A44"/>
          </w:tcPr>
          <w:p>
            <w:r/>
            <w:r>
              <w:rPr>
                <w:b/>
                <w:color w:val="FFFFFF"/>
                <w:sz w:val="20"/>
              </w:rPr>
              <w:t>Mean B</w:t>
            </w:r>
          </w:p>
        </w:tc>
        <w:tc>
          <w:tcPr>
            <w:tcW w:type="dxa" w:w="1008"/>
            <w:shd w:fill="1F2A44"/>
          </w:tcPr>
          <w:p>
            <w:r/>
            <w:r>
              <w:rPr>
                <w:b/>
                <w:color w:val="FFFFFF"/>
                <w:sz w:val="20"/>
              </w:rPr>
              <w:t>p-value</w:t>
            </w:r>
          </w:p>
        </w:tc>
        <w:tc>
          <w:tcPr>
            <w:tcW w:type="dxa" w:w="1152"/>
            <w:shd w:fill="1F2A44"/>
          </w:tcPr>
          <w:p>
            <w:r/>
            <w:r>
              <w:rPr>
                <w:b/>
                <w:color w:val="FFFFFF"/>
                <w:sz w:val="20"/>
              </w:rPr>
              <w:t>Sig.?</w:t>
            </w:r>
          </w:p>
        </w:tc>
        <w:tc>
          <w:tcPr>
            <w:tcW w:type="dxa" w:w="3312"/>
            <w:shd w:fill="1F2A44"/>
          </w:tcPr>
          <w:p>
            <w:r/>
            <w:r>
              <w:rPr>
                <w:b/>
                <w:color w:val="FFFFFF"/>
                <w:sz w:val="20"/>
              </w:rPr>
              <w:t>Result / Note</w:t>
            </w:r>
          </w:p>
        </w:tc>
      </w:tr>
      <w:tr>
        <w:tc>
          <w:tcPr>
            <w:tcW w:type="dxa" w:w="1296"/>
          </w:tcPr>
          <w:p>
            <w:r>
              <w:rPr>
                <w:sz w:val="20"/>
              </w:rPr>
              <w:t>A (Left)</w:t>
            </w:r>
          </w:p>
        </w:tc>
        <w:tc>
          <w:tcPr>
            <w:tcW w:type="dxa" w:w="1296"/>
          </w:tcPr>
          <w:p>
            <w:r>
              <w:rPr>
                <w:sz w:val="20"/>
              </w:rPr>
              <w:t>B (Right)</w:t>
            </w:r>
          </w:p>
        </w:tc>
        <w:tc>
          <w:tcPr>
            <w:tcW w:type="dxa" w:w="1008"/>
          </w:tcPr>
          <w:p>
            <w:r>
              <w:rPr>
                <w:sz w:val="20"/>
              </w:rPr>
              <w:t>0.65</w:t>
            </w:r>
          </w:p>
        </w:tc>
        <w:tc>
          <w:tcPr>
            <w:tcW w:type="dxa" w:w="1008"/>
          </w:tcPr>
          <w:p>
            <w:r>
              <w:rPr>
                <w:sz w:val="20"/>
              </w:rPr>
              <w:t>0.441</w:t>
            </w:r>
          </w:p>
        </w:tc>
        <w:tc>
          <w:tcPr>
            <w:tcW w:type="dxa" w:w="1008"/>
          </w:tcPr>
          <w:p>
            <w:r>
              <w:rPr>
                <w:sz w:val="20"/>
              </w:rPr>
              <w:t>0.027</w:t>
            </w:r>
          </w:p>
        </w:tc>
        <w:tc>
          <w:tcPr>
            <w:tcW w:type="dxa" w:w="1152"/>
          </w:tcPr>
          <w:p>
            <w:r>
              <w:rPr>
                <w:sz w:val="20"/>
              </w:rPr>
              <w:t>Yes</w:t>
            </w:r>
          </w:p>
        </w:tc>
        <w:tc>
          <w:tcPr>
            <w:tcW w:type="dxa" w:w="3312"/>
          </w:tcPr>
          <w:p>
            <w:r>
              <w:rPr>
                <w:sz w:val="20"/>
              </w:rPr>
              <w:t>A (Left)</w:t>
            </w:r>
          </w:p>
        </w:tc>
      </w:tr>
      <w:tr>
        <w:tc>
          <w:tcPr>
            <w:tcW w:type="dxa" w:w="1296"/>
          </w:tcPr>
          <w:p>
            <w:r>
              <w:rPr>
                <w:sz w:val="20"/>
              </w:rPr>
              <w:t>A (Left)</w:t>
            </w:r>
          </w:p>
        </w:tc>
        <w:tc>
          <w:tcPr>
            <w:tcW w:type="dxa" w:w="1296"/>
          </w:tcPr>
          <w:p>
            <w:r>
              <w:rPr>
                <w:sz w:val="20"/>
              </w:rPr>
              <w:t>C (Neutral)</w:t>
            </w:r>
          </w:p>
        </w:tc>
        <w:tc>
          <w:tcPr>
            <w:tcW w:type="dxa" w:w="1008"/>
          </w:tcPr>
          <w:p>
            <w:r>
              <w:rPr>
                <w:sz w:val="20"/>
              </w:rPr>
              <w:t>0.65</w:t>
            </w:r>
          </w:p>
        </w:tc>
        <w:tc>
          <w:tcPr>
            <w:tcW w:type="dxa" w:w="1008"/>
          </w:tcPr>
          <w:p>
            <w:r>
              <w:rPr>
                <w:sz w:val="20"/>
              </w:rPr>
              <w:t>0.5</w:t>
            </w:r>
          </w:p>
        </w:tc>
        <w:tc>
          <w:tcPr>
            <w:tcW w:type="dxa" w:w="1008"/>
          </w:tcPr>
          <w:p>
            <w:r>
              <w:rPr>
                <w:sz w:val="20"/>
              </w:rPr>
              <w:t>0.0383</w:t>
            </w:r>
          </w:p>
        </w:tc>
        <w:tc>
          <w:tcPr>
            <w:tcW w:type="dxa" w:w="1152"/>
          </w:tcPr>
          <w:p>
            <w:r>
              <w:rPr>
                <w:sz w:val="20"/>
              </w:rPr>
              <w:t>Yes</w:t>
            </w:r>
          </w:p>
        </w:tc>
        <w:tc>
          <w:tcPr>
            <w:tcW w:type="dxa" w:w="3312"/>
          </w:tcPr>
          <w:p>
            <w:r>
              <w:rPr>
                <w:sz w:val="20"/>
              </w:rPr>
              <w:t>A (Left)</w:t>
            </w:r>
          </w:p>
        </w:tc>
      </w:tr>
      <w:tr>
        <w:tc>
          <w:tcPr>
            <w:tcW w:type="dxa" w:w="1296"/>
          </w:tcPr>
          <w:p>
            <w:r>
              <w:rPr>
                <w:sz w:val="20"/>
              </w:rPr>
              <w:t>B (Right)</w:t>
            </w:r>
          </w:p>
        </w:tc>
        <w:tc>
          <w:tcPr>
            <w:tcW w:type="dxa" w:w="1296"/>
          </w:tcPr>
          <w:p>
            <w:r>
              <w:rPr>
                <w:sz w:val="20"/>
              </w:rPr>
              <w:t>C (Neutral)</w:t>
            </w:r>
          </w:p>
        </w:tc>
        <w:tc>
          <w:tcPr>
            <w:tcW w:type="dxa" w:w="1008"/>
          </w:tcPr>
          <w:p>
            <w:r>
              <w:rPr>
                <w:sz w:val="20"/>
              </w:rPr>
              <w:t>0.441</w:t>
            </w:r>
          </w:p>
        </w:tc>
        <w:tc>
          <w:tcPr>
            <w:tcW w:type="dxa" w:w="1008"/>
          </w:tcPr>
          <w:p>
            <w:r>
              <w:rPr>
                <w:sz w:val="20"/>
              </w:rPr>
              <w:t>0.5</w:t>
            </w:r>
          </w:p>
        </w:tc>
        <w:tc>
          <w:tcPr>
            <w:tcW w:type="dxa" w:w="1008"/>
          </w:tcPr>
          <w:p>
            <w:r>
              <w:rPr>
                <w:sz w:val="20"/>
              </w:rPr>
              <w:t>0.3432</w:t>
            </w:r>
          </w:p>
        </w:tc>
        <w:tc>
          <w:tcPr>
            <w:tcW w:type="dxa" w:w="1152"/>
          </w:tcPr>
          <w:p>
            <w:r>
              <w:rPr>
                <w:sz w:val="20"/>
              </w:rPr>
              <w:t>No</w:t>
            </w:r>
          </w:p>
        </w:tc>
        <w:tc>
          <w:tcPr>
            <w:tcW w:type="dxa" w:w="3312"/>
          </w:tcPr>
          <w:p>
            <w:r>
              <w:rPr>
                <w:sz w:val="20"/>
              </w:rPr>
              <w:t>no significant difference</w:t>
            </w:r>
          </w:p>
        </w:tc>
      </w:tr>
    </w:tbl>
    <w:p/>
    <w:p>
      <w:pPr>
        <w:pStyle w:val="Heading2"/>
      </w:pPr>
      <w:r>
        <w:t>Attention Time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shd w:fill="1F2A44"/>
          </w:tcPr>
          <w:p>
            <w:r/>
            <w:r>
              <w:rPr>
                <w:b/>
                <w:color w:val="FFFFFF"/>
                <w:sz w:val="20"/>
              </w:rPr>
              <w:t>Variant A</w:t>
            </w:r>
          </w:p>
        </w:tc>
        <w:tc>
          <w:tcPr>
            <w:tcW w:type="dxa" w:w="1296"/>
            <w:shd w:fill="1F2A44"/>
          </w:tcPr>
          <w:p>
            <w:r/>
            <w:r>
              <w:rPr>
                <w:b/>
                <w:color w:val="FFFFFF"/>
                <w:sz w:val="20"/>
              </w:rPr>
              <w:t>Variant B</w:t>
            </w:r>
          </w:p>
        </w:tc>
        <w:tc>
          <w:tcPr>
            <w:tcW w:type="dxa" w:w="1008"/>
            <w:shd w:fill="1F2A44"/>
          </w:tcPr>
          <w:p>
            <w:r/>
            <w:r>
              <w:rPr>
                <w:b/>
                <w:color w:val="FFFFFF"/>
                <w:sz w:val="20"/>
              </w:rPr>
              <w:t>Mean A</w:t>
            </w:r>
          </w:p>
        </w:tc>
        <w:tc>
          <w:tcPr>
            <w:tcW w:type="dxa" w:w="1008"/>
            <w:shd w:fill="1F2A44"/>
          </w:tcPr>
          <w:p>
            <w:r/>
            <w:r>
              <w:rPr>
                <w:b/>
                <w:color w:val="FFFFFF"/>
                <w:sz w:val="20"/>
              </w:rPr>
              <w:t>Mean B</w:t>
            </w:r>
          </w:p>
        </w:tc>
        <w:tc>
          <w:tcPr>
            <w:tcW w:type="dxa" w:w="1008"/>
            <w:shd w:fill="1F2A44"/>
          </w:tcPr>
          <w:p>
            <w:r/>
            <w:r>
              <w:rPr>
                <w:b/>
                <w:color w:val="FFFFFF"/>
                <w:sz w:val="20"/>
              </w:rPr>
              <w:t>p-value</w:t>
            </w:r>
          </w:p>
        </w:tc>
        <w:tc>
          <w:tcPr>
            <w:tcW w:type="dxa" w:w="1152"/>
            <w:shd w:fill="1F2A44"/>
          </w:tcPr>
          <w:p>
            <w:r/>
            <w:r>
              <w:rPr>
                <w:b/>
                <w:color w:val="FFFFFF"/>
                <w:sz w:val="20"/>
              </w:rPr>
              <w:t>Sig.?</w:t>
            </w:r>
          </w:p>
        </w:tc>
        <w:tc>
          <w:tcPr>
            <w:tcW w:type="dxa" w:w="3312"/>
            <w:shd w:fill="1F2A44"/>
          </w:tcPr>
          <w:p>
            <w:r/>
            <w:r>
              <w:rPr>
                <w:b/>
                <w:color w:val="FFFFFF"/>
                <w:sz w:val="20"/>
              </w:rPr>
              <w:t>Result / Note</w:t>
            </w:r>
          </w:p>
        </w:tc>
      </w:tr>
      <w:tr>
        <w:tc>
          <w:tcPr>
            <w:tcW w:type="dxa" w:w="1296"/>
          </w:tcPr>
          <w:p>
            <w:r>
              <w:rPr>
                <w:sz w:val="20"/>
              </w:rPr>
              <w:t>A (Left)</w:t>
            </w:r>
          </w:p>
        </w:tc>
        <w:tc>
          <w:tcPr>
            <w:tcW w:type="dxa" w:w="1296"/>
          </w:tcPr>
          <w:p>
            <w:r>
              <w:rPr>
                <w:sz w:val="20"/>
              </w:rPr>
              <w:t>B (Right)</w:t>
            </w:r>
          </w:p>
        </w:tc>
        <w:tc>
          <w:tcPr>
            <w:tcW w:type="dxa" w:w="1008"/>
          </w:tcPr>
          <w:p>
            <w:r>
              <w:rPr>
                <w:sz w:val="20"/>
              </w:rPr>
              <w:t>4.445</w:t>
            </w:r>
          </w:p>
        </w:tc>
        <w:tc>
          <w:tcPr>
            <w:tcW w:type="dxa" w:w="1008"/>
          </w:tcPr>
          <w:p>
            <w:r>
              <w:rPr>
                <w:sz w:val="20"/>
              </w:rPr>
              <w:t>4.579</w:t>
            </w:r>
          </w:p>
        </w:tc>
        <w:tc>
          <w:tcPr>
            <w:tcW w:type="dxa" w:w="1008"/>
          </w:tcPr>
          <w:p>
            <w:r>
              <w:rPr>
                <w:sz w:val="20"/>
              </w:rPr>
              <w:t>0.6404</w:t>
            </w:r>
          </w:p>
        </w:tc>
        <w:tc>
          <w:tcPr>
            <w:tcW w:type="dxa" w:w="1152"/>
          </w:tcPr>
          <w:p>
            <w:r>
              <w:rPr>
                <w:sz w:val="20"/>
              </w:rPr>
              <w:t>No</w:t>
            </w:r>
          </w:p>
        </w:tc>
        <w:tc>
          <w:tcPr>
            <w:tcW w:type="dxa" w:w="3312"/>
          </w:tcPr>
          <w:p>
            <w:r>
              <w:rPr>
                <w:sz w:val="20"/>
              </w:rPr>
              <w:t>no significant difference</w:t>
            </w:r>
          </w:p>
        </w:tc>
      </w:tr>
      <w:tr>
        <w:tc>
          <w:tcPr>
            <w:tcW w:type="dxa" w:w="1296"/>
          </w:tcPr>
          <w:p>
            <w:r>
              <w:rPr>
                <w:sz w:val="20"/>
              </w:rPr>
              <w:t>A (Left)</w:t>
            </w:r>
          </w:p>
        </w:tc>
        <w:tc>
          <w:tcPr>
            <w:tcW w:type="dxa" w:w="1296"/>
          </w:tcPr>
          <w:p>
            <w:r>
              <w:rPr>
                <w:sz w:val="20"/>
              </w:rPr>
              <w:t>C (Neutral)</w:t>
            </w:r>
          </w:p>
        </w:tc>
        <w:tc>
          <w:tcPr>
            <w:tcW w:type="dxa" w:w="1008"/>
          </w:tcPr>
          <w:p>
            <w:r>
              <w:rPr>
                <w:sz w:val="20"/>
              </w:rPr>
              <w:t>4.445</w:t>
            </w:r>
          </w:p>
        </w:tc>
        <w:tc>
          <w:tcPr>
            <w:tcW w:type="dxa" w:w="1008"/>
          </w:tcPr>
          <w:p>
            <w:r>
              <w:rPr>
                <w:sz w:val="20"/>
              </w:rPr>
              <w:t>4.537</w:t>
            </w:r>
          </w:p>
        </w:tc>
        <w:tc>
          <w:tcPr>
            <w:tcW w:type="dxa" w:w="1008"/>
          </w:tcPr>
          <w:p>
            <w:r>
              <w:rPr>
                <w:sz w:val="20"/>
              </w:rPr>
              <w:t>0.8457</w:t>
            </w:r>
          </w:p>
        </w:tc>
        <w:tc>
          <w:tcPr>
            <w:tcW w:type="dxa" w:w="1152"/>
          </w:tcPr>
          <w:p>
            <w:r>
              <w:rPr>
                <w:sz w:val="20"/>
              </w:rPr>
              <w:t>No</w:t>
            </w:r>
          </w:p>
        </w:tc>
        <w:tc>
          <w:tcPr>
            <w:tcW w:type="dxa" w:w="3312"/>
          </w:tcPr>
          <w:p>
            <w:r>
              <w:rPr>
                <w:sz w:val="20"/>
              </w:rPr>
              <w:t>no significant difference</w:t>
            </w:r>
          </w:p>
        </w:tc>
      </w:tr>
      <w:tr>
        <w:tc>
          <w:tcPr>
            <w:tcW w:type="dxa" w:w="1296"/>
          </w:tcPr>
          <w:p>
            <w:r>
              <w:rPr>
                <w:sz w:val="20"/>
              </w:rPr>
              <w:t>B (Right)</w:t>
            </w:r>
          </w:p>
        </w:tc>
        <w:tc>
          <w:tcPr>
            <w:tcW w:type="dxa" w:w="1296"/>
          </w:tcPr>
          <w:p>
            <w:r>
              <w:rPr>
                <w:sz w:val="20"/>
              </w:rPr>
              <w:t>C (Neutral)</w:t>
            </w:r>
          </w:p>
        </w:tc>
        <w:tc>
          <w:tcPr>
            <w:tcW w:type="dxa" w:w="1008"/>
          </w:tcPr>
          <w:p>
            <w:r>
              <w:rPr>
                <w:sz w:val="20"/>
              </w:rPr>
              <w:t>4.579</w:t>
            </w:r>
          </w:p>
        </w:tc>
        <w:tc>
          <w:tcPr>
            <w:tcW w:type="dxa" w:w="1008"/>
          </w:tcPr>
          <w:p>
            <w:r>
              <w:rPr>
                <w:sz w:val="20"/>
              </w:rPr>
              <w:t>4.537</w:t>
            </w:r>
          </w:p>
        </w:tc>
        <w:tc>
          <w:tcPr>
            <w:tcW w:type="dxa" w:w="1008"/>
          </w:tcPr>
          <w:p>
            <w:r>
              <w:rPr>
                <w:sz w:val="20"/>
              </w:rPr>
              <w:t>0.9288</w:t>
            </w:r>
          </w:p>
        </w:tc>
        <w:tc>
          <w:tcPr>
            <w:tcW w:type="dxa" w:w="1152"/>
          </w:tcPr>
          <w:p>
            <w:r>
              <w:rPr>
                <w:sz w:val="20"/>
              </w:rPr>
              <w:t>No</w:t>
            </w:r>
          </w:p>
        </w:tc>
        <w:tc>
          <w:tcPr>
            <w:tcW w:type="dxa" w:w="3312"/>
          </w:tcPr>
          <w:p>
            <w:r>
              <w:rPr>
                <w:sz w:val="20"/>
              </w:rPr>
              <w:t>no significant difference</w:t>
            </w:r>
          </w:p>
        </w:tc>
      </w:tr>
    </w:tbl>
    <w:p/>
    <w:p>
      <w:pPr>
        <w:pStyle w:val="Heading2"/>
      </w:pPr>
      <w:r>
        <w:t>Confidence &amp; Limitations</w:t>
      </w:r>
    </w:p>
    <w:p>
      <w:pPr>
        <w:pStyle w:val="ListBullet"/>
      </w:pPr>
      <w:r>
        <w:t>Several stimulus comparisons currently have small sample sizes (A (Left) vs B (Right) (n=22 / n=19); A (Left) vs C (Neutral) (n=22 / n=3); B (Right) vs C (Neutral) (n=19 / n=3)). Findings from these comparisons should be treated as directional, not conclusive, until more participants are tested.</w:t>
      </w:r>
    </w:p>
    <w:p>
      <w:pPr>
        <w:pStyle w:val="ListBullet"/>
      </w:pPr>
      <w:r>
        <w:t>Statistical significance is assessed at the standard p &lt; 0.05 threshold using independent two-sample t-tests (Welch's, unequal variance assumed).</w:t>
      </w:r>
    </w:p>
    <w:p>
      <w:r>
        <w:br w:type="page"/>
      </w:r>
    </w:p>
    <w:p>
      <w:pPr>
        <w:pStyle w:val="Heading1"/>
      </w:pPr>
      <w:r>
        <w:t>7. Recommendations</w:t>
      </w:r>
    </w:p>
    <w:p>
      <w:r>
        <w:t>Based on the current data, the following actions are recommended:</w:t>
      </w:r>
    </w:p>
    <w:p>
      <w:pPr>
        <w:pStyle w:val="ListBullet"/>
      </w:pPr>
      <w:r>
        <w:rPr>
          <w:b/>
        </w:rPr>
        <w:t>Prioritize C (Neutral)</w:t>
      </w:r>
      <w:r>
        <w:t xml:space="preserve"> — it currently shows the highest engagement score (6.62), outperforming B (Right) (5.02).</w:t>
      </w:r>
    </w:p>
    <w:p>
      <w:pPr>
        <w:pStyle w:val="ListBullet"/>
      </w:pPr>
      <w:r>
        <w:rPr>
          <w:b/>
        </w:rPr>
        <w:t>Act on statistically confirmed results:</w:t>
      </w:r>
      <w:r>
        <w:t xml:space="preserve"> emotion score: A (Left) (p=0.027); emotion score: A (Left) (p=0.0383).</w:t>
      </w:r>
    </w:p>
    <w:p>
      <w:pPr>
        <w:pStyle w:val="ListBullet"/>
      </w:pPr>
      <w:r>
        <w:rPr>
          <w:b/>
        </w:rPr>
        <w:t>Tailor messaging toward Segment 1</w:t>
      </w:r>
      <w:r>
        <w:t xml:space="preserve"> — it shows the highest average engagement (4.75) of all identified participant clusters.</w:t>
      </w:r>
    </w:p>
    <w:p>
      <w:r>
        <w:br w:type="page"/>
      </w:r>
    </w:p>
    <w:p>
      <w:pPr>
        <w:pStyle w:val="Heading1"/>
      </w:pPr>
      <w:r>
        <w:t>8. Appendix: Full Analysis Change Log</w:t>
      </w:r>
    </w:p>
    <w:p>
      <w:r>
        <w:t>Every analysis run ever recorded is listed below, oldest first, so the evolution of findings over time remains fully auditable.</w:t>
      </w:r>
    </w:p>
    <w:p>
      <w:pPr>
        <w:pStyle w:val="Heading3"/>
      </w:pPr>
      <w:r>
        <w:t>Run 1 — 2026-07-23 06:09  (1052 trials)</w:t>
      </w:r>
    </w:p>
    <w:p>
      <w:r>
        <w:t xml:space="preserve">First recorded analysis: 1052 total trials across 645 participants. </w:t>
      </w:r>
      <w:r>
        <w:rPr>
          <w:b/>
        </w:rPr>
        <w:t>C (Neutral)</w:t>
      </w:r>
      <w:r>
        <w:t xml:space="preserve"> currently leads in engagement (5.50) vs </w:t>
      </w:r>
      <w:r>
        <w:rPr>
          <w:b/>
        </w:rPr>
        <w:t>B (Right)</w:t>
      </w:r>
      <w:r>
        <w:t xml:space="preserve"> (5.02). Most frequent emotion overall: </w:t>
      </w:r>
      <w:r>
        <w:rPr>
          <w:b/>
        </w:rPr>
        <w:t>surprise</w:t>
      </w:r>
      <w:r>
        <w:t xml:space="preserve"> (21.3%). Significant A/B findings: emotion score: A (Left) (p=0.027).</w:t>
      </w:r>
    </w:p>
    <w:p>
      <w:pPr>
        <w:pStyle w:val="Heading3"/>
      </w:pPr>
      <w:r>
        <w:t>Run 2 — 2026-07-23 06:49  (1052 trials)</w:t>
      </w:r>
    </w:p>
    <w:p>
      <w:r>
        <w:t xml:space="preserve">No new rows since the last analysis — dataset size unchanged. Overall average engagement score moved unchanged from 3.59 to 3.59 (+0.0%) across the whole dataset. </w:t>
      </w:r>
      <w:r>
        <w:rPr>
          <w:b/>
        </w:rPr>
        <w:t>C (Neutral)</w:t>
      </w:r>
      <w:r>
        <w:t xml:space="preserve"> currently leads in engagement (5.50) vs </w:t>
      </w:r>
      <w:r>
        <w:rPr>
          <w:b/>
        </w:rPr>
        <w:t>B (Right)</w:t>
      </w:r>
      <w:r>
        <w:t xml:space="preserve"> (5.02). Most frequent emotion overall: </w:t>
      </w:r>
      <w:r>
        <w:rPr>
          <w:b/>
        </w:rPr>
        <w:t>surprise</w:t>
      </w:r>
      <w:r>
        <w:t xml:space="preserve"> (21.3%). Significant A/B findings: emotion score: A (Left) (p=0.027).</w:t>
      </w:r>
    </w:p>
    <w:p>
      <w:pPr>
        <w:pStyle w:val="Heading3"/>
      </w:pPr>
      <w:r>
        <w:t>Run 3 — 2026-08-13 12:05  (1064 trials)</w:t>
      </w:r>
    </w:p>
    <w:p>
      <w:r>
        <w:t xml:space="preserve">12 new row(s) added, from 4 participant(s). Among just the new data, the dominant emotion was </w:t>
      </w:r>
      <w:r>
        <w:rPr>
          <w:b/>
        </w:rPr>
        <w:t>neutral</w:t>
      </w:r>
      <w:r>
        <w:t xml:space="preserve"> and average engagement score was 9.14. Overall average engagement score moved up from 3.59 to 3.66 (+1.7%) across the whole dataset. </w:t>
      </w:r>
      <w:r>
        <w:rPr>
          <w:b/>
        </w:rPr>
        <w:t>C (Neutral)</w:t>
      </w:r>
      <w:r>
        <w:t xml:space="preserve"> currently leads in engagement (6.62) vs </w:t>
      </w:r>
      <w:r>
        <w:rPr>
          <w:b/>
        </w:rPr>
        <w:t>B (Right)</w:t>
      </w:r>
      <w:r>
        <w:t xml:space="preserve"> (5.02). Most frequent emotion overall: </w:t>
      </w:r>
      <w:r>
        <w:rPr>
          <w:b/>
        </w:rPr>
        <w:t>surprise</w:t>
      </w:r>
      <w:r>
        <w:t xml:space="preserve"> (21.2%). Significant A/B findings: emotion score: A (Left) (p=0.027); emotion score: A (Left) (p=0.0383).</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