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32"/>
          <w:szCs w:val="32"/>
        </w:rPr>
      </w:pPr>
      <w:r w:rsidDel="00000000" w:rsidR="00000000" w:rsidRPr="00000000">
        <w:rPr>
          <w:sz w:val="32"/>
          <w:szCs w:val="32"/>
          <w:rtl w:val="0"/>
        </w:rPr>
        <w:t xml:space="preserve">Software Engineering</w:t>
      </w:r>
    </w:p>
    <w:p w:rsidR="00000000" w:rsidDel="00000000" w:rsidP="00000000" w:rsidRDefault="00000000" w:rsidRPr="00000000" w14:paraId="00000002">
      <w:pPr>
        <w:jc w:val="center"/>
        <w:rPr>
          <w:sz w:val="32"/>
          <w:szCs w:val="32"/>
        </w:rPr>
      </w:pPr>
      <w:r w:rsidDel="00000000" w:rsidR="00000000" w:rsidRPr="00000000">
        <w:rPr>
          <w:sz w:val="32"/>
          <w:szCs w:val="32"/>
          <w:rtl w:val="0"/>
        </w:rPr>
        <w:t xml:space="preserve">Lab - 3</w:t>
      </w:r>
    </w:p>
    <w:p w:rsidR="00000000" w:rsidDel="00000000" w:rsidP="00000000" w:rsidRDefault="00000000" w:rsidRPr="00000000" w14:paraId="00000003">
      <w:pPr>
        <w:jc w:val="right"/>
        <w:rPr>
          <w:sz w:val="26"/>
          <w:szCs w:val="26"/>
        </w:rPr>
      </w:pPr>
      <w:r w:rsidDel="00000000" w:rsidR="00000000" w:rsidRPr="00000000">
        <w:rPr>
          <w:sz w:val="26"/>
          <w:szCs w:val="26"/>
          <w:rtl w:val="0"/>
        </w:rPr>
        <w:t xml:space="preserve">PES1UG24CS176</w:t>
      </w:r>
    </w:p>
    <w:p w:rsidR="00000000" w:rsidDel="00000000" w:rsidP="00000000" w:rsidRDefault="00000000" w:rsidRPr="00000000" w14:paraId="00000004">
      <w:pPr>
        <w:jc w:val="right"/>
        <w:rPr>
          <w:sz w:val="26"/>
          <w:szCs w:val="26"/>
        </w:rPr>
      </w:pPr>
      <w:r w:rsidDel="00000000" w:rsidR="00000000" w:rsidRPr="00000000">
        <w:rPr>
          <w:sz w:val="26"/>
          <w:szCs w:val="26"/>
          <w:rtl w:val="0"/>
        </w:rPr>
        <w:t xml:space="preserve">Aarush G</w:t>
      </w:r>
    </w:p>
    <w:p w:rsidR="00000000" w:rsidDel="00000000" w:rsidP="00000000" w:rsidRDefault="00000000" w:rsidRPr="00000000" w14:paraId="00000005">
      <w:pPr>
        <w:jc w:val="right"/>
        <w:rPr>
          <w:sz w:val="26"/>
          <w:szCs w:val="26"/>
        </w:rPr>
      </w:pPr>
      <w:r w:rsidDel="00000000" w:rsidR="00000000" w:rsidRPr="00000000">
        <w:rPr>
          <w:sz w:val="26"/>
          <w:szCs w:val="26"/>
          <w:rtl w:val="0"/>
        </w:rPr>
        <w:t xml:space="preserve">5C</w:t>
      </w:r>
    </w:p>
    <w:p w:rsidR="00000000" w:rsidDel="00000000" w:rsidP="00000000" w:rsidRDefault="00000000" w:rsidRPr="00000000" w14:paraId="00000006">
      <w:pPr>
        <w:jc w:val="center"/>
        <w:rPr/>
      </w:pPr>
      <w:r w:rsidDel="00000000" w:rsidR="00000000" w:rsidRPr="00000000">
        <w:rPr>
          <w:rtl w:val="0"/>
        </w:rPr>
        <w:t xml:space="preserve">Justification Document</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b w:val="1"/>
          <w:bCs w:val="1"/>
        </w:rPr>
      </w:pPr>
      <w:r w:rsidDel="00000000" w:rsidR="00000000" w:rsidRPr="00000000">
        <w:rPr>
          <w:b w:val="1"/>
          <w:bCs w:val="1"/>
          <w:rtl w:val="0"/>
        </w:rPr>
        <w:t xml:space="preserve">We chose Layered Architecture for the Domain &amp; SSL Certificate Expiry Alert System.We chose Layered Architecture for the Domain &amp; SSL Certificate Expiry Alert System.</w:t>
      </w:r>
    </w:p>
    <w:p w:rsidR="00000000" w:rsidDel="00000000" w:rsidP="00000000" w:rsidRDefault="00000000" w:rsidRPr="00000000" w14:paraId="00000009">
      <w:pPr>
        <w:rPr>
          <w:b w:val="1"/>
          <w:bCs w:val="1"/>
        </w:rPr>
      </w:pPr>
      <w:r w:rsidDel="00000000" w:rsidR="00000000" w:rsidRPr="00000000">
        <w:rPr>
          <w:rtl w:val="0"/>
        </w:rPr>
      </w:r>
    </w:p>
    <w:p w:rsidR="00000000" w:rsidDel="00000000" w:rsidP="00000000" w:rsidRDefault="00000000" w:rsidRPr="00000000" w14:paraId="0000000A">
      <w:pPr>
        <w:rPr>
          <w:b w:val="1"/>
          <w:bCs w:val="1"/>
        </w:rPr>
      </w:pPr>
      <w:r w:rsidDel="00000000" w:rsidR="00000000" w:rsidRPr="00000000">
        <w:rPr>
          <w:b w:val="1"/>
          <w:bCs w:val="1"/>
          <w:rtl w:val="0"/>
        </w:rPr>
        <w:t xml:space="preserve">Why Layered Architecture:</w:t>
      </w:r>
    </w:p>
    <w:p w:rsidR="00000000" w:rsidDel="00000000" w:rsidP="00000000" w:rsidRDefault="00000000" w:rsidRPr="00000000" w14:paraId="0000000B">
      <w:pPr>
        <w:numPr>
          <w:ilvl w:val="0"/>
          <w:numId w:val="1"/>
        </w:numPr>
        <w:ind w:left="720" w:hanging="360"/>
      </w:pPr>
      <w:r w:rsidDel="00000000" w:rsidR="00000000" w:rsidRPr="00000000">
        <w:rPr>
          <w:rtl w:val="0"/>
        </w:rPr>
        <w:t xml:space="preserve">Separation of Concerns: It logically separates the user interface (Admin Interface) from the core processing logic (Audit Manager and Audit Engine) and storage (Monitoring Database). This modularity makes it easy to maintain and update the daily auditing utility without breaking the dashboard.</w:t>
      </w:r>
    </w:p>
    <w:p w:rsidR="00000000" w:rsidDel="00000000" w:rsidP="00000000" w:rsidRDefault="00000000" w:rsidRPr="00000000" w14:paraId="0000000C">
      <w:pPr>
        <w:numPr>
          <w:ilvl w:val="0"/>
          <w:numId w:val="1"/>
        </w:numPr>
        <w:ind w:left="720" w:hanging="360"/>
        <w:rPr>
          <w:u w:val="none"/>
        </w:rPr>
      </w:pPr>
      <w:r w:rsidDel="00000000" w:rsidR="00000000" w:rsidRPr="00000000">
        <w:rPr>
          <w:rtl w:val="0"/>
        </w:rPr>
        <w:t xml:space="preserve">Simple Data Consistency: As an IT operations utility tracking daily expirations, centralizing the state in a single Data Layer ensures that domain lists, audit results, and alert statuses are always perfectly synchronized, avoiding the complex data consistency challenges found in microservices.</w:t>
      </w:r>
    </w:p>
    <w:p w:rsidR="00000000" w:rsidDel="00000000" w:rsidP="00000000" w:rsidRDefault="00000000" w:rsidRPr="00000000" w14:paraId="0000000D">
      <w:pPr>
        <w:rPr>
          <w:b w:val="1"/>
          <w:bCs w:val="1"/>
        </w:rPr>
      </w:pPr>
      <w:r w:rsidDel="00000000" w:rsidR="00000000" w:rsidRPr="00000000">
        <w:rPr>
          <w:rtl w:val="0"/>
        </w:rPr>
      </w:r>
    </w:p>
    <w:p w:rsidR="00000000" w:rsidDel="00000000" w:rsidP="00000000" w:rsidRDefault="00000000" w:rsidRPr="00000000" w14:paraId="0000000E">
      <w:pPr>
        <w:rPr>
          <w:b w:val="1"/>
          <w:bCs w:val="1"/>
        </w:rPr>
      </w:pPr>
      <w:r w:rsidDel="00000000" w:rsidR="00000000" w:rsidRPr="00000000">
        <w:rPr>
          <w:b w:val="1"/>
          <w:bCs w:val="1"/>
          <w:rtl w:val="0"/>
        </w:rPr>
        <w:t xml:space="preserve">Security Advantage:</w:t>
      </w:r>
    </w:p>
    <w:p w:rsidR="00000000" w:rsidDel="00000000" w:rsidP="00000000" w:rsidRDefault="00000000" w:rsidRPr="00000000" w14:paraId="0000000F">
      <w:pPr>
        <w:rPr/>
      </w:pPr>
      <w:r w:rsidDel="00000000" w:rsidR="00000000" w:rsidRPr="00000000">
        <w:rPr>
          <w:rtl w:val="0"/>
        </w:rPr>
        <w:t xml:space="preserve">The layered structure enforces strict access boundaries, isolating the Data Layer from external access. The Admin Interface in the Presentation Layer cannot directly access the Monitoring Database; it must route requests through the Business Layer, protecting sensitive audit data and domain configurations from unauthorized direct access.</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b w:val="1"/>
          <w:bCs w:val="1"/>
        </w:rPr>
      </w:pPr>
      <w:r w:rsidDel="00000000" w:rsidR="00000000" w:rsidRPr="00000000">
        <w:rPr>
          <w:b w:val="1"/>
          <w:bCs w:val="1"/>
          <w:rtl w:val="0"/>
        </w:rPr>
        <w:t xml:space="preserve">Performance Benefit:</w:t>
      </w:r>
    </w:p>
    <w:p w:rsidR="00000000" w:rsidDel="00000000" w:rsidP="00000000" w:rsidRDefault="00000000" w:rsidRPr="00000000" w14:paraId="00000012">
      <w:pPr>
        <w:rPr/>
      </w:pPr>
      <w:r w:rsidDel="00000000" w:rsidR="00000000" w:rsidRPr="00000000">
        <w:rPr>
          <w:rtl w:val="0"/>
        </w:rPr>
        <w:t xml:space="preserve">The Business Layer is decoupled from the Presentation Layer, allowing the Audit Engine to execute high-speed WHOIS and SSL/TLS checks independently. This ensures the system can process the target volume of 1,000 domains and endpoints in under 3 minutes without freezing or lagging the Admin Interface.</w:t>
      </w:r>
    </w:p>
    <w:p w:rsidR="00000000" w:rsidDel="00000000" w:rsidP="00000000" w:rsidRDefault="00000000" w:rsidRPr="00000000" w14:paraId="00000013">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6"/>
        <w:szCs w:val="26"/>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