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Software Engineering</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Lab - 3</w:t>
      </w:r>
    </w:p>
    <w:p w:rsidR="00000000" w:rsidDel="00000000" w:rsidP="00000000" w:rsidRDefault="00000000" w:rsidRPr="00000000" w14:paraId="00000003">
      <w:pPr>
        <w:jc w:val="right"/>
        <w:rPr>
          <w:sz w:val="26"/>
          <w:szCs w:val="26"/>
        </w:rPr>
      </w:pPr>
      <w:r w:rsidDel="00000000" w:rsidR="00000000" w:rsidRPr="00000000">
        <w:rPr>
          <w:sz w:val="26"/>
          <w:szCs w:val="26"/>
          <w:rtl w:val="0"/>
        </w:rPr>
        <w:t xml:space="preserve">PES1UG24CS176</w:t>
      </w:r>
    </w:p>
    <w:p w:rsidR="00000000" w:rsidDel="00000000" w:rsidP="00000000" w:rsidRDefault="00000000" w:rsidRPr="00000000" w14:paraId="00000004">
      <w:pPr>
        <w:jc w:val="right"/>
        <w:rPr>
          <w:sz w:val="26"/>
          <w:szCs w:val="26"/>
        </w:rPr>
      </w:pPr>
      <w:r w:rsidDel="00000000" w:rsidR="00000000" w:rsidRPr="00000000">
        <w:rPr>
          <w:sz w:val="26"/>
          <w:szCs w:val="26"/>
          <w:rtl w:val="0"/>
        </w:rPr>
        <w:t xml:space="preserve">Aarush G</w:t>
      </w:r>
    </w:p>
    <w:p w:rsidR="00000000" w:rsidDel="00000000" w:rsidP="00000000" w:rsidRDefault="00000000" w:rsidRPr="00000000" w14:paraId="00000005">
      <w:pPr>
        <w:jc w:val="right"/>
        <w:rPr>
          <w:sz w:val="26"/>
          <w:szCs w:val="26"/>
        </w:rPr>
      </w:pPr>
      <w:r w:rsidDel="00000000" w:rsidR="00000000" w:rsidRPr="00000000">
        <w:rPr>
          <w:sz w:val="26"/>
          <w:szCs w:val="26"/>
          <w:rtl w:val="0"/>
        </w:rPr>
        <w:t xml:space="preserve">5C</w:t>
      </w:r>
    </w:p>
    <w:p w:rsidR="00000000" w:rsidDel="00000000" w:rsidP="00000000" w:rsidRDefault="00000000" w:rsidRPr="00000000" w14:paraId="00000006">
      <w:pPr>
        <w:jc w:val="center"/>
        <w:rPr/>
      </w:pPr>
      <w:r w:rsidDel="00000000" w:rsidR="00000000" w:rsidRPr="00000000">
        <w:rPr>
          <w:rtl w:val="0"/>
        </w:rPr>
        <w:t xml:space="preserve">Justification Document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We chose Layered Architecture for the Domain &amp; SSL Certificate Expiry Alert System.</w:t>
      </w:r>
    </w:p>
    <w:p w:rsidR="00000000" w:rsidDel="00000000" w:rsidP="00000000" w:rsidRDefault="00000000" w:rsidRPr="00000000" w14:paraId="00000009">
      <w:pPr>
        <w:rPr>
          <w:b w:val="1"/>
          <w:bCs w:val="1"/>
        </w:rPr>
      </w:pPr>
      <w:r w:rsidDel="00000000" w:rsidR="00000000" w:rsidRPr="00000000">
        <w:rPr>
          <w:b w:val="1"/>
          <w:bCs w:val="1"/>
          <w:rtl w:val="0"/>
        </w:rPr>
        <w:t xml:space="preserve">Why Layered Architecture: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Separation of Concerns: It logically separates the user interface (Admin Interface) from the core processing logic (Audit Manager and Audit Engine) and storage (Monitoring Database). This modularity makes it easy to maintain and update the daily auditing utility without breaking the dashboard.</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Simple Data Consistency: As an IT operations utility tracking daily expirations, centralizing the state in a single Data Layer ensures that domain lists, audit results, and alert statuses are always perfectly synchronized, avoiding the complex data consistency challenges found in microservices.</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Security Advantage:</w:t>
      </w:r>
    </w:p>
    <w:p w:rsidR="00000000" w:rsidDel="00000000" w:rsidP="00000000" w:rsidRDefault="00000000" w:rsidRPr="00000000" w14:paraId="0000000E">
      <w:pPr>
        <w:rPr/>
      </w:pPr>
      <w:r w:rsidDel="00000000" w:rsidR="00000000" w:rsidRPr="00000000">
        <w:rPr>
          <w:rtl w:val="0"/>
        </w:rPr>
        <w:t xml:space="preserve">The layered structure enforces strict access boundaries, isolating the Data Layer from external access. The Admin Interface in the Presentation Layer cannot directly access the Monitoring Database; it must route requests through the Business Layer, protecting sensitive audit data and domain configurations from unauthorized direct access.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Performance Benefit:</w:t>
      </w:r>
    </w:p>
    <w:p w:rsidR="00000000" w:rsidDel="00000000" w:rsidP="00000000" w:rsidRDefault="00000000" w:rsidRPr="00000000" w14:paraId="00000011">
      <w:pPr>
        <w:rPr/>
      </w:pPr>
      <w:r w:rsidDel="00000000" w:rsidR="00000000" w:rsidRPr="00000000">
        <w:rPr>
          <w:rtl w:val="0"/>
        </w:rPr>
        <w:t xml:space="preserve">The Business Layer is decoupled from the Presentation Layer, allowing the Audit Engine to execute high-speed WHOIS and SSL/TLS checks independently. This ensures the system can process the target volume of 1,000 domains and endpoints in under 3 minutes without freezing or lagging the Admin Interface.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