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15</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18</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22</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24</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28</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29</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6. Citizen Hyperlocal Geospatial Incident Map and Community Cards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21</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16</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25</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25</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Digital Twin Visualization</w:t>
      </w:r>
    </w:p>
    <w:p>
      <w:pPr>
        <w:spacing w:before="0" w:after="100" w:line="276" w:lineRule="auto"/>
        <w:jc w:val="both"/>
      </w:pPr>
      <w:r>
        <w:rPr>
          <w:rFonts w:ascii="Times New Roman" w:hAnsi="Times New Roman"/>
          <w:b w:val="0"/>
          <w:i w:val="0"/>
          <w:color w:val="222222"/>
          <w:sz w:val="24"/>
        </w:rPr>
        <w:t>Figure 3 showcases the interactive 3D Virtual Earth interface, featuring real-time WebGL space rendering, atmospheric day and night shaders, and live emergency telemetry pins displaying active civic incidents across the city.</w:t>
      </w:r>
    </w:p>
    <w:p>
      <w:pPr>
        <w:keepNext/>
        <w:spacing w:before="160" w:after="6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soul_landing_retina.png"/>
                    <pic:cNvPicPr/>
                  </pic:nvPicPr>
                  <pic:blipFill>
                    <a:blip r:embed="rId15"/>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web_voice_cockpit.png"/>
                    <pic:cNvPicPr/>
                  </pic:nvPicPr>
                  <pic:blipFill>
                    <a:blip r:embed="rId16"/>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web_dashboard.png"/>
                    <pic:cNvPicPr/>
                  </pic:nvPicPr>
                  <pic:blipFill>
                    <a:blip r:embed="rId17"/>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Geospatial Map Interface</w:t>
      </w:r>
    </w:p>
    <w:p>
      <w:pPr>
        <w:spacing w:before="0" w:after="100" w:line="276" w:lineRule="auto"/>
        <w:jc w:val="both"/>
      </w:pPr>
      <w:r>
        <w:rPr>
          <w:rFonts w:ascii="Times New Roman" w:hAnsi="Times New Roman"/>
          <w:b w:val="0"/>
          <w:i w:val="0"/>
          <w:color w:val="222222"/>
          <w:sz w:val="24"/>
        </w:rPr>
        <w:t>Figure 6 illustrates the citizen hyperlocal geospatial incident map, displaying real-time OpenStreetMap pinning, categorical status filters, and community verified incident cards across the municipality.</w:t>
      </w:r>
    </w:p>
    <w:p>
      <w:pPr>
        <w:keepNext/>
        <w:spacing w:before="160" w:after="6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web_globe_map.png"/>
                    <pic:cNvPicPr/>
                  </pic:nvPicPr>
                  <pic:blipFill>
                    <a:blip r:embed="rId18"/>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6. Citizen Hyperlocal Geospatial Incident Map and Community Cards.</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web_admin_console.png"/>
                    <pic:cNvPicPr/>
                  </pic:nvPicPr>
                  <pic:blipFill>
                    <a:blip r:embed="rId19"/>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and results of Phase III of Community Hero, a conference paper has been prepared:</w:t>
      </w:r>
    </w:p>
    <w:p>
      <w:pPr>
        <w:spacing w:before="0" w:after="100" w:line="276" w:lineRule="auto"/>
        <w:jc w:val="both"/>
      </w:pPr>
      <w:r>
        <w:rPr>
          <w:rFonts w:ascii="Times New Roman" w:hAnsi="Times New Roman"/>
          <w:b/>
          <w:i w:val="0"/>
          <w:color w:val="000000"/>
          <w:sz w:val="24"/>
        </w:rPr>
        <w:t xml:space="preserve">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0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0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00" w:line="276" w:lineRule="auto"/>
        <w:jc w:val="both"/>
      </w:pPr>
      <w:r>
        <w:rPr>
          <w:rFonts w:ascii="Times New Roman" w:hAnsi="Times New Roman"/>
          <w:b/>
          <w:i w:val="0"/>
          <w:color w:val="000000"/>
          <w:sz w:val="24"/>
        </w:rPr>
        <w:t xml:space="preserve">Summary: </w:t>
      </w:r>
      <w:r>
        <w:rPr>
          <w:rFonts w:ascii="Times New Roman" w:hAnsi="Times New Roman"/>
          <w:b w:val="0"/>
          <w:i w:val="0"/>
          <w:color w:val="222222"/>
          <w:sz w:val="24"/>
        </w:rPr>
        <w:t>The paper describes the system architecture, 3D WebGL pin mapping, offline trained ML classification pipeline, and the 75-meter spatial duplicate detection algorithm.</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