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200"/>
        <w:jc w:val="center"/>
      </w:pPr>
      <w:r>
        <w:rPr>
          <w:rFonts w:ascii="Arial" w:cs="Arial" w:eastAsia="Arial" w:hAnsi="Arial"/>
          <w:b/>
          <w:bCs/>
          <w:color w:val="1F4E79"/>
          <w:sz w:val="36"/>
          <w:szCs w:val="36"/>
        </w:rPr>
        <w:t xml:space="preserve">PROJECT REPORT</w:t>
      </w:r>
    </w:p>
    <w:p>
      <w:pPr>
        <w:spacing w:after="80" w:before="80"/>
        <w:jc w:val="center"/>
      </w:pPr>
      <w:r>
        <w:rPr>
          <w:rFonts w:ascii="Arial" w:cs="Arial" w:eastAsia="Arial" w:hAnsi="Arial"/>
          <w:b/>
          <w:bCs/>
          <w:color w:val="2E75B6"/>
          <w:sz w:val="24"/>
          <w:szCs w:val="24"/>
        </w:rPr>
        <w:t xml:space="preserve">OF INDUSTRY ORIENTED HANDS ON EXPERIENCE (IOHE)</w:t>
      </w:r>
    </w:p>
    <w:p>
      <w:pPr>
        <w:spacing w:after="80" w:before="80"/>
        <w:jc w:val="center"/>
      </w:pPr>
      <w:r>
        <w:rPr>
          <w:rFonts w:ascii="Arial" w:cs="Arial" w:eastAsia="Arial" w:hAnsi="Arial"/>
          <w:b/>
          <w:bCs/>
          <w:color w:val="555555"/>
          <w:sz w:val="24"/>
          <w:szCs w:val="24"/>
        </w:rPr>
        <w:t xml:space="preserve">ON</w:t>
      </w:r>
    </w:p>
    <w:p>
      <w:pPr>
        <w:spacing w:after="60" w:before="60"/>
      </w:pPr>
      <w:r>
        <w:t xml:space="preserve"/>
      </w:r>
    </w:p>
    <w:p>
      <w:pPr>
        <w:pBdr>
          <w:top w:val="single" w:color="1F4E79" w:sz="6" w:space="1"/>
          <w:bottom w:val="single" w:color="1F4E79" w:sz="6" w:space="1"/>
        </w:pBdr>
        <w:spacing w:after="120" w:before="120"/>
        <w:jc w:val="center"/>
      </w:pPr>
      <w:r>
        <w:rPr>
          <w:rFonts w:ascii="Arial" w:cs="Arial" w:eastAsia="Arial" w:hAnsi="Arial"/>
          <w:b/>
          <w:bCs/>
          <w:color w:val="1F4E79"/>
          <w:sz w:val="30"/>
          <w:szCs w:val="30"/>
        </w:rPr>
        <w:t xml:space="preserve">A Comparative AI-based Framework of Standardizing School Infrastructure in India Using Global Benchmarking</w:t>
      </w:r>
    </w:p>
    <w:p>
      <w:pPr>
        <w:spacing w:after="60" w:before="60"/>
      </w:pPr>
      <w:r>
        <w:t xml:space="preserve"/>
      </w:r>
    </w:p>
    <w:p>
      <w:pPr>
        <w:spacing w:after="80" w:before="120"/>
        <w:jc w:val="center"/>
      </w:pPr>
      <w:r>
        <w:rPr>
          <w:rFonts w:ascii="Arial" w:cs="Arial" w:eastAsia="Arial" w:hAnsi="Arial"/>
          <w:i/>
          <w:iCs/>
          <w:color w:val="444444"/>
          <w:sz w:val="22"/>
          <w:szCs w:val="22"/>
        </w:rPr>
        <w:t xml:space="preserve">submitted in partial fulfilment of the requirements for the award of degree of</w:t>
      </w:r>
    </w:p>
    <w:p>
      <w:pPr>
        <w:spacing w:after="40" w:before="40"/>
        <w:jc w:val="center"/>
      </w:pPr>
      <w:r>
        <w:rPr>
          <w:rFonts w:ascii="Arial" w:cs="Arial" w:eastAsia="Arial" w:hAnsi="Arial"/>
          <w:b/>
          <w:bCs/>
          <w:color w:val="1F4E79"/>
          <w:sz w:val="24"/>
          <w:szCs w:val="24"/>
        </w:rPr>
        <w:t xml:space="preserve">BACHELOR OF ENGINEERING</w:t>
      </w:r>
    </w:p>
    <w:p>
      <w:pPr>
        <w:spacing w:after="40" w:before="40"/>
        <w:jc w:val="center"/>
      </w:pPr>
      <w:r>
        <w:rPr>
          <w:rFonts w:ascii="Arial" w:cs="Arial" w:eastAsia="Arial" w:hAnsi="Arial"/>
          <w:color w:val="444444"/>
          <w:sz w:val="22"/>
          <w:szCs w:val="22"/>
        </w:rPr>
        <w:t xml:space="preserve">In</w:t>
      </w:r>
    </w:p>
    <w:p>
      <w:pPr>
        <w:spacing w:after="120" w:before="40"/>
        <w:jc w:val="center"/>
      </w:pPr>
      <w:r>
        <w:rPr>
          <w:rFonts w:ascii="Arial" w:cs="Arial" w:eastAsia="Arial" w:hAnsi="Arial"/>
          <w:b/>
          <w:bCs/>
          <w:color w:val="1F4E79"/>
          <w:sz w:val="24"/>
          <w:szCs w:val="24"/>
        </w:rPr>
        <w:t xml:space="preserve">COMPUTER SCIENCE AND ENGINEERING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1F4E79" w:sz="4"/>
              <w:right w:val="single" w:color="AAAAAA" w:sz="1"/>
            </w:tcBorders>
            <w:shd w:fill="DAEAF7" w:val="clear"/>
            <w:tcMar>
              <w:top w:type="dxa" w:w="100"/>
              <w:left w:type="dxa" w:w="180"/>
              <w:bottom w:type="dxa" w:w="100"/>
              <w:right w:type="dxa" w:w="180"/>
            </w:tcMar>
          </w:tcPr>
          <w:p>
            <w:pPr>
              <w:jc w:val="center"/>
            </w:pPr>
            <w:r>
              <w:rPr>
                <w:rFonts w:ascii="Arial" w:cs="Arial" w:eastAsia="Arial" w:hAnsi="Arial"/>
                <w:b/>
                <w:bCs/>
                <w:color w:val="1F4E79"/>
                <w:sz w:val="22"/>
                <w:szCs w:val="22"/>
              </w:rPr>
              <w:t xml:space="preserve">Submitted By:</w:t>
            </w:r>
          </w:p>
          <w:p>
            <w:pPr>
              <w:jc w:val="center"/>
            </w:pPr>
            <w:r>
              <w:rPr>
                <w:rFonts w:ascii="Arial" w:cs="Arial" w:eastAsia="Arial" w:hAnsi="Arial"/>
                <w:sz w:val="20"/>
                <w:szCs w:val="20"/>
              </w:rPr>
              <w:t xml:space="preserve">Sahil Sikri (2210990758)</w:t>
            </w:r>
          </w:p>
          <w:p>
            <w:pPr>
              <w:jc w:val="center"/>
            </w:pPr>
            <w:r>
              <w:rPr>
                <w:rFonts w:ascii="Arial" w:cs="Arial" w:eastAsia="Arial" w:hAnsi="Arial"/>
                <w:sz w:val="20"/>
                <w:szCs w:val="20"/>
              </w:rPr>
              <w:t xml:space="preserve">Aarush Arora (2210991117)</w:t>
            </w:r>
          </w:p>
          <w:p>
            <w:pPr>
              <w:jc w:val="center"/>
            </w:pPr>
            <w:r>
              <w:rPr>
                <w:rFonts w:ascii="Arial" w:cs="Arial" w:eastAsia="Arial" w:hAnsi="Arial"/>
                <w:sz w:val="20"/>
                <w:szCs w:val="20"/>
              </w:rPr>
              <w:t xml:space="preserve">Yukti (2210990988)</w:t>
            </w:r>
          </w:p>
          <w:p>
            <w:pPr>
              <w:jc w:val="center"/>
            </w:pPr>
            <w:r>
              <w:rPr>
                <w:rFonts w:ascii="Arial" w:cs="Arial" w:eastAsia="Arial" w:hAnsi="Arial"/>
                <w:sz w:val="20"/>
                <w:szCs w:val="20"/>
              </w:rPr>
              <w:t xml:space="preserve">Abhinandan Jain (2210990035)</w:t>
            </w:r>
          </w:p>
        </w:tc>
        <w:tc>
          <w:tcPr>
            <w:tcW w:type="dxa" w:w="4680"/>
            <w:tcBorders>
              <w:top w:val="single" w:color="AAAAAA" w:sz="1"/>
              <w:left w:val="single" w:color="AAAAAA" w:sz="1"/>
              <w:bottom w:val="single" w:color="1F4E79" w:sz="4"/>
              <w:right w:val="single" w:color="AAAAAA" w:sz="1"/>
            </w:tcBorders>
            <w:shd w:fill="DAEAF7" w:val="clear"/>
            <w:tcMar>
              <w:top w:type="dxa" w:w="100"/>
              <w:left w:type="dxa" w:w="180"/>
              <w:bottom w:type="dxa" w:w="100"/>
              <w:right w:type="dxa" w:w="180"/>
            </w:tcMar>
          </w:tcPr>
          <w:p>
            <w:pPr>
              <w:jc w:val="center"/>
            </w:pPr>
            <w:r>
              <w:rPr>
                <w:rFonts w:ascii="Arial" w:cs="Arial" w:eastAsia="Arial" w:hAnsi="Arial"/>
                <w:b/>
                <w:bCs/>
                <w:color w:val="1F4E79"/>
                <w:sz w:val="22"/>
                <w:szCs w:val="22"/>
              </w:rPr>
              <w:t xml:space="preserve">Supervised By:</w:t>
            </w:r>
          </w:p>
          <w:p>
            <w:pPr>
              <w:jc w:val="center"/>
            </w:pPr>
            <w:r>
              <w:rPr>
                <w:rFonts w:ascii="Arial" w:cs="Arial" w:eastAsia="Arial" w:hAnsi="Arial"/>
                <w:sz w:val="20"/>
                <w:szCs w:val="20"/>
              </w:rPr>
              <w:t xml:space="preserve">Respective Faculty Supervisors</w:t>
            </w:r>
          </w:p>
          <w:p>
            <w:pPr>
              <w:jc w:val="center"/>
            </w:pPr>
            <w:r>
              <w:rPr>
                <w:rFonts w:ascii="Arial" w:cs="Arial" w:eastAsia="Arial" w:hAnsi="Arial"/>
                <w:sz w:val="20"/>
                <w:szCs w:val="20"/>
              </w:rPr>
              <w:t xml:space="preserve">Assistant Professors</w:t>
            </w:r>
          </w:p>
          <w:p>
            <w:pPr>
              <w:jc w:val="center"/>
            </w:pPr>
            <w:r>
              <w:rPr>
                <w:rFonts w:ascii="Arial" w:cs="Arial" w:eastAsia="Arial" w:hAnsi="Arial"/>
                <w:sz w:val="20"/>
                <w:szCs w:val="20"/>
              </w:rPr>
              <w:t xml:space="preserve">Chitkara University</w:t>
            </w:r>
          </w:p>
        </w:tc>
      </w:tr>
    </w:tbl>
    <w:p>
      <w:pPr>
        <w:spacing w:after="60" w:before="60"/>
      </w:pPr>
      <w:r>
        <w:t xml:space="preserve"/>
      </w:r>
    </w:p>
    <w:p>
      <w:pPr>
        <w:spacing w:after="60" w:before="60"/>
      </w:pPr>
      <w:r>
        <w:t xml:space="preserve"/>
      </w:r>
    </w:p>
    <w:p>
      <w:pPr>
        <w:spacing w:after="40" w:before="120"/>
        <w:jc w:val="center"/>
      </w:pPr>
      <w:r>
        <w:rPr>
          <w:rFonts w:ascii="Arial" w:cs="Arial" w:eastAsia="Arial" w:hAnsi="Arial"/>
          <w:b/>
          <w:bCs/>
          <w:color w:val="1F4E79"/>
          <w:sz w:val="22"/>
          <w:szCs w:val="22"/>
        </w:rPr>
        <w:t xml:space="preserve">DEPARTMENT OF COMPUTER SCIENCE AND ENGINEERING</w:t>
      </w:r>
    </w:p>
    <w:p>
      <w:pPr>
        <w:spacing w:after="40" w:before="40"/>
        <w:jc w:val="center"/>
      </w:pPr>
      <w:r>
        <w:rPr>
          <w:rFonts w:ascii="Arial" w:cs="Arial" w:eastAsia="Arial" w:hAnsi="Arial"/>
          <w:b/>
          <w:bCs/>
          <w:color w:val="1F4E79"/>
          <w:sz w:val="22"/>
          <w:szCs w:val="22"/>
        </w:rPr>
        <w:t xml:space="preserve">CHITKARA UNIVERSITY INSTITUTE OF ENGINEERING AND TECHNOLOGY</w:t>
      </w:r>
    </w:p>
    <w:p>
      <w:pPr>
        <w:spacing w:after="40" w:before="40"/>
        <w:jc w:val="center"/>
      </w:pPr>
      <w:r>
        <w:rPr>
          <w:rFonts w:ascii="Arial" w:cs="Arial" w:eastAsia="Arial" w:hAnsi="Arial"/>
          <w:b/>
          <w:bCs/>
          <w:color w:val="1F4E79"/>
          <w:sz w:val="22"/>
          <w:szCs w:val="22"/>
        </w:rPr>
        <w:t xml:space="preserve">CHITKARA UNIVERSITY, PUNJAB, INDIA</w:t>
      </w:r>
    </w:p>
    <w:p>
      <w:pPr>
        <w:spacing w:after="80" w:before="40"/>
        <w:jc w:val="center"/>
      </w:pPr>
      <w:r>
        <w:rPr>
          <w:rFonts w:ascii="Arial" w:cs="Arial" w:eastAsia="Arial" w:hAnsi="Arial"/>
          <w:b/>
          <w:bCs/>
          <w:color w:val="555555"/>
          <w:sz w:val="22"/>
          <w:szCs w:val="22"/>
        </w:rPr>
        <w:t xml:space="preserve">2025-26</w:t>
      </w:r>
    </w:p>
    <w:p>
      <w:r>
        <w:br w:type="page"/>
      </w:r>
    </w:p>
    <w:p>
      <w:pPr>
        <w:pStyle w:val="Heading1"/>
        <w:pBdr>
          <w:bottom w:val="single" w:color="1F4E79" w:sz="6" w:space="1"/>
        </w:pBdr>
        <w:spacing w:after="160" w:before="320"/>
      </w:pPr>
      <w:r>
        <w:rPr>
          <w:rFonts w:ascii="Arial" w:cs="Arial" w:eastAsia="Arial" w:hAnsi="Arial"/>
          <w:b/>
          <w:bCs/>
          <w:color w:val="1F4E79"/>
          <w:sz w:val="28"/>
          <w:szCs w:val="28"/>
        </w:rPr>
        <w:t xml:space="preserve">DECLARATION</w:t>
      </w:r>
    </w:p>
    <w:p>
      <w:pPr>
        <w:spacing w:after="80" w:before="80"/>
        <w:jc w:val="both"/>
      </w:pPr>
      <w:r>
        <w:rPr>
          <w:rFonts w:ascii="Arial" w:cs="Arial" w:eastAsia="Arial" w:hAnsi="Arial"/>
          <w:sz w:val="22"/>
          <w:szCs w:val="22"/>
        </w:rPr>
        <w:t xml:space="preserve">We hereby certify that the work which is being presented in the project report entitled </w:t>
      </w:r>
    </w:p>
    <w:p>
      <w:pPr>
        <w:spacing w:after="40" w:before="40"/>
        <w:jc w:val="both"/>
      </w:pPr>
      <w:r>
        <w:rPr>
          <w:rFonts w:ascii="Arial" w:cs="Arial" w:eastAsia="Arial" w:hAnsi="Arial"/>
          <w:b/>
          <w:bCs/>
          <w:i/>
          <w:iCs/>
          <w:sz w:val="22"/>
          <w:szCs w:val="22"/>
        </w:rPr>
        <w:t xml:space="preserve">"A Comparative AI-based Framework of Standardizing School Infrastructure in India Using Global Benchmarking"</w:t>
      </w:r>
    </w:p>
    <w:p>
      <w:pPr>
        <w:spacing w:after="80" w:before="80"/>
        <w:jc w:val="both"/>
      </w:pPr>
      <w:r>
        <w:rPr>
          <w:rFonts w:ascii="Arial" w:cs="Arial" w:eastAsia="Arial" w:hAnsi="Arial"/>
          <w:sz w:val="22"/>
          <w:szCs w:val="22"/>
        </w:rPr>
        <w:t xml:space="preserve">in partial fulfilment of the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the respective faculty supervisors. The matter presented in this project report has not been submitted in any other university/institute for the award of any degree.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Place: Chitkara University, Punjab</w:t>
            </w:r>
          </w:p>
          <w:p>
            <w:r>
              <w:rPr>
                <w:rFonts w:ascii="Arial" w:cs="Arial" w:eastAsia="Arial" w:hAnsi="Arial"/>
                <w:sz w:val="20"/>
                <w:szCs w:val="20"/>
              </w:rPr>
              <w:t xml:space="preserve">Date: 29/04/2026</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Sahil Sikri │ 2210990758</w:t>
            </w:r>
          </w:p>
          <w:p>
            <w:r>
              <w:rPr>
                <w:rFonts w:ascii="Arial" w:cs="Arial" w:eastAsia="Arial" w:hAnsi="Arial"/>
                <w:sz w:val="20"/>
                <w:szCs w:val="20"/>
              </w:rPr>
              <w:t xml:space="preserve">Aarush Arora │ 2210991117</w:t>
            </w:r>
          </w:p>
          <w:p>
            <w:r>
              <w:rPr>
                <w:rFonts w:ascii="Arial" w:cs="Arial" w:eastAsia="Arial" w:hAnsi="Arial"/>
                <w:sz w:val="20"/>
                <w:szCs w:val="20"/>
              </w:rPr>
              <w:t xml:space="preserve">Yukti │ 2210990988</w:t>
            </w:r>
          </w:p>
          <w:p>
            <w:r>
              <w:rPr>
                <w:rFonts w:ascii="Arial" w:cs="Arial" w:eastAsia="Arial" w:hAnsi="Arial"/>
                <w:sz w:val="20"/>
                <w:szCs w:val="20"/>
              </w:rPr>
              <w:t xml:space="preserve">Abhinandan Jain │ 2210990035</w:t>
            </w:r>
          </w:p>
        </w:tc>
      </w:tr>
    </w:tbl>
    <w:p>
      <w:pPr>
        <w:spacing w:after="60" w:before="60"/>
      </w:pPr>
      <w:r>
        <w:t xml:space="preserve"/>
      </w:r>
    </w:p>
    <w:p>
      <w:pPr>
        <w:spacing w:after="80" w:before="80"/>
        <w:jc w:val="both"/>
      </w:pPr>
      <w:r>
        <w:rPr>
          <w:rFonts w:ascii="Arial" w:cs="Arial" w:eastAsia="Arial" w:hAnsi="Arial"/>
          <w:sz w:val="22"/>
          <w:szCs w:val="22"/>
        </w:rPr>
        <w:t xml:space="preserve">This is to certify that the above statement made by the candidates is correct to the best of our knowledge and belief.</w:t>
      </w:r>
    </w:p>
    <w:p>
      <w:pPr>
        <w:spacing w:after="60" w:before="60"/>
      </w:pPr>
      <w:r>
        <w:t xml:space="preserve"/>
      </w:r>
    </w:p>
    <w:p>
      <w:pPr>
        <w:spacing w:after="80" w:before="80"/>
        <w:jc w:val="both"/>
      </w:pPr>
      <w:r>
        <w:rPr>
          <w:rFonts w:ascii="Arial" w:cs="Arial" w:eastAsia="Arial" w:hAnsi="Arial"/>
          <w:b/>
          <w:bCs/>
          <w:sz w:val="22"/>
          <w:szCs w:val="22"/>
        </w:rPr>
        <w:t xml:space="preserve">Faculty Supervisors, Department of Computer Science and Engineering, Chitkara University Institute of Engineering and Technology, Chitkara University, Punjab, India</w:t>
      </w:r>
    </w:p>
    <w:p>
      <w:r>
        <w:br w:type="page"/>
      </w:r>
    </w:p>
    <w:p>
      <w:pPr>
        <w:pStyle w:val="Heading1"/>
        <w:pBdr>
          <w:bottom w:val="single" w:color="1F4E79" w:sz="6" w:space="1"/>
        </w:pBdr>
        <w:spacing w:after="160" w:before="320"/>
      </w:pPr>
      <w:r>
        <w:rPr>
          <w:rFonts w:ascii="Arial" w:cs="Arial" w:eastAsia="Arial" w:hAnsi="Arial"/>
          <w:b/>
          <w:bCs/>
          <w:color w:val="1F4E79"/>
          <w:sz w:val="28"/>
          <w:szCs w:val="28"/>
        </w:rPr>
        <w:t xml:space="preserve">ACKNOWLEDGEMENT</w:t>
      </w:r>
    </w:p>
    <w:p>
      <w:pPr>
        <w:spacing w:after="80" w:before="80"/>
        <w:jc w:val="both"/>
      </w:pPr>
      <w:r>
        <w:rPr>
          <w:rFonts w:ascii="Arial" w:cs="Arial" w:eastAsia="Arial" w:hAnsi="Arial"/>
          <w:sz w:val="22"/>
          <w:szCs w:val="22"/>
        </w:rPr>
        <w:t xml:space="preserve">We would like to express our sincere gratitude to the Ministry of Education, Government of India, for making the UDISE+ 2024-25 data publicly available, which forms the empirical backbone of this research.</w:t>
      </w:r>
    </w:p>
    <w:p>
      <w:pPr>
        <w:spacing w:after="60" w:before="60"/>
      </w:pPr>
      <w:r>
        <w:t xml:space="preserve"/>
      </w:r>
    </w:p>
    <w:p>
      <w:pPr>
        <w:spacing w:after="80" w:before="80"/>
        <w:jc w:val="both"/>
      </w:pPr>
      <w:r>
        <w:rPr>
          <w:rFonts w:ascii="Arial" w:cs="Arial" w:eastAsia="Arial" w:hAnsi="Arial"/>
          <w:sz w:val="22"/>
          <w:szCs w:val="22"/>
        </w:rPr>
        <w:t xml:space="preserve">We extend our heartfelt thanks to UNESCO Institute for Statistics (UIS), OECD Education at a Glance 2023, and World Bank EdStats for providing the global benchmark data that enabled our comparative analysis.</w:t>
      </w:r>
    </w:p>
    <w:p>
      <w:pPr>
        <w:spacing w:after="60" w:before="60"/>
      </w:pPr>
      <w:r>
        <w:t xml:space="preserve"/>
      </w:r>
    </w:p>
    <w:p>
      <w:pPr>
        <w:spacing w:after="80" w:before="80"/>
        <w:jc w:val="both"/>
      </w:pPr>
      <w:r>
        <w:rPr>
          <w:rFonts w:ascii="Arial" w:cs="Arial" w:eastAsia="Arial" w:hAnsi="Arial"/>
          <w:sz w:val="22"/>
          <w:szCs w:val="22"/>
        </w:rPr>
        <w:t xml:space="preserve">We are grateful to our faculty supervisors at the Department of Computer Science and Engineering, Chitkara University, for their valuable guidance, continuous support, and constructive feedback throughout this research project.</w:t>
      </w:r>
    </w:p>
    <w:p>
      <w:pPr>
        <w:spacing w:after="60" w:before="60"/>
      </w:pPr>
      <w:r>
        <w:t xml:space="preserve"/>
      </w:r>
    </w:p>
    <w:p>
      <w:pPr>
        <w:spacing w:after="80" w:before="80"/>
        <w:jc w:val="both"/>
      </w:pPr>
      <w:r>
        <w:rPr>
          <w:rFonts w:ascii="Arial" w:cs="Arial" w:eastAsia="Arial" w:hAnsi="Arial"/>
          <w:sz w:val="22"/>
          <w:szCs w:val="22"/>
        </w:rPr>
        <w:t xml:space="preserve">We also acknowledge the open-source communities and researchers whose foundational works in machine learning, education policy, and AI-based infrastructure analysis have directly informed and inspired this study.</w:t>
      </w:r>
    </w:p>
    <w:p>
      <w:pPr>
        <w:spacing w:after="60" w:before="60"/>
      </w:pPr>
      <w:r>
        <w:t xml:space="preserve"/>
      </w:r>
    </w:p>
    <w:p>
      <w:pPr>
        <w:spacing w:after="80" w:before="80"/>
        <w:jc w:val="both"/>
      </w:pPr>
      <w:r>
        <w:rPr>
          <w:rFonts w:ascii="Arial" w:cs="Arial" w:eastAsia="Arial" w:hAnsi="Arial"/>
          <w:sz w:val="22"/>
          <w:szCs w:val="22"/>
        </w:rPr>
        <w:t xml:space="preserve">Finally, we thank our teammates, peers, and family for their collaboration, motivation, and unwavering support during the research, implementation, and writing phases of this project.</w:t>
      </w:r>
    </w:p>
    <w:p>
      <w:r>
        <w:br w:type="page"/>
      </w:r>
    </w:p>
    <w:p>
      <w:pPr>
        <w:pStyle w:val="Heading1"/>
        <w:pBdr>
          <w:bottom w:val="single" w:color="1F4E79" w:sz="6" w:space="1"/>
        </w:pBdr>
        <w:spacing w:after="160" w:before="320"/>
      </w:pPr>
      <w:r>
        <w:rPr>
          <w:rFonts w:ascii="Arial" w:cs="Arial" w:eastAsia="Arial" w:hAnsi="Arial"/>
          <w:b/>
          <w:bCs/>
          <w:color w:val="1F4E79"/>
          <w:sz w:val="28"/>
          <w:szCs w:val="28"/>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S.No.</w:t>
            </w:r>
          </w:p>
        </w:tc>
        <w:tc>
          <w:tcPr>
            <w:tcW w:type="dxa" w:w="696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w:t>
            </w:r>
          </w:p>
        </w:tc>
        <w:tc>
          <w:tcPr>
            <w:tcW w:type="dxa" w:w="120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Page No.</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
            </w:r>
          </w:p>
        </w:tc>
        <w:tc>
          <w:tcPr>
            <w:tcW w:type="dxa" w:w="69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Declaration</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Acknowledgement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
            </w:r>
          </w:p>
        </w:tc>
        <w:tc>
          <w:tcPr>
            <w:tcW w:type="dxa" w:w="69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List of Figures and Tables</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4</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Abstract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5</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w:t>
            </w:r>
          </w:p>
        </w:tc>
        <w:tc>
          <w:tcPr>
            <w:tcW w:type="dxa" w:w="69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Introduction</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5–6</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Related Work</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6–7</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3</w:t>
            </w:r>
          </w:p>
        </w:tc>
        <w:tc>
          <w:tcPr>
            <w:tcW w:type="dxa" w:w="69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Methodology</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7–9</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Global Benchmark Analysis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9–10</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5</w:t>
            </w:r>
          </w:p>
        </w:tc>
        <w:tc>
          <w:tcPr>
            <w:tcW w:type="dxa" w:w="69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Predictive Model Results</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10–11</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6</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State Infrastructure Tiers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11–12</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7</w:t>
            </w:r>
          </w:p>
        </w:tc>
        <w:tc>
          <w:tcPr>
            <w:tcW w:type="dxa" w:w="69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Economic Cost Estimation</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12–13</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8</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Discussion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13–14</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9</w:t>
            </w:r>
          </w:p>
        </w:tc>
        <w:tc>
          <w:tcPr>
            <w:tcW w:type="dxa" w:w="69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Conclusion and Future Scope</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14–15</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References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15–16</w:t>
            </w:r>
          </w:p>
        </w:tc>
      </w:tr>
    </w:tbl>
    <w:p>
      <w:r>
        <w:br w:type="page"/>
      </w:r>
    </w:p>
    <w:p>
      <w:pPr>
        <w:pStyle w:val="Heading1"/>
        <w:pBdr>
          <w:bottom w:val="single" w:color="1F4E79" w:sz="6" w:space="1"/>
        </w:pBdr>
        <w:spacing w:after="160" w:before="320"/>
      </w:pPr>
      <w:r>
        <w:rPr>
          <w:rFonts w:ascii="Arial" w:cs="Arial" w:eastAsia="Arial" w:hAnsi="Arial"/>
          <w:b/>
          <w:bCs/>
          <w:color w:val="1F4E79"/>
          <w:sz w:val="28"/>
          <w:szCs w:val="28"/>
        </w:rPr>
        <w:t xml:space="preserve">LIST OF FIGURES AND TABLES</w:t>
      </w:r>
    </w:p>
    <w:p>
      <w:pPr>
        <w:pStyle w:val="Heading2"/>
        <w:spacing w:after="120" w:before="240"/>
      </w:pPr>
      <w:r>
        <w:rPr>
          <w:rFonts w:ascii="Arial" w:cs="Arial" w:eastAsia="Arial" w:hAnsi="Arial"/>
          <w:b/>
          <w:bCs/>
          <w:color w:val="2E75B6"/>
          <w:sz w:val="24"/>
          <w:szCs w:val="24"/>
        </w:rPr>
        <w:t xml:space="preserve">Figures</w:t>
      </w:r>
    </w:p>
    <w:p>
      <w:pPr>
        <w:pStyle w:val="ListParagraph"/>
        <w:numPr>
          <w:ilvl w:val="0"/>
          <w:numId w:val="2"/>
        </w:numPr>
        <w:spacing w:after="40" w:before="40"/>
      </w:pPr>
      <w:r>
        <w:rPr>
          <w:rFonts w:ascii="Arial" w:cs="Arial" w:eastAsia="Arial" w:hAnsi="Arial"/>
          <w:sz w:val="22"/>
          <w:szCs w:val="22"/>
        </w:rPr>
        <w:t xml:space="preserve">Figure 1: India vs Global Benchmark — Infrastructure Gap by Indicator</w:t>
      </w:r>
    </w:p>
    <w:p>
      <w:pPr>
        <w:pStyle w:val="ListParagraph"/>
        <w:numPr>
          <w:ilvl w:val="0"/>
          <w:numId w:val="2"/>
        </w:numPr>
        <w:spacing w:after="40" w:before="40"/>
      </w:pPr>
      <w:r>
        <w:rPr>
          <w:rFonts w:ascii="Arial" w:cs="Arial" w:eastAsia="Arial" w:hAnsi="Arial"/>
          <w:sz w:val="22"/>
          <w:szCs w:val="22"/>
        </w:rPr>
        <w:t xml:space="preserve">Figure 2: India: Government vs Government Aided vs Private Schools vs Global Benchmark</w:t>
      </w:r>
    </w:p>
    <w:p>
      <w:pPr>
        <w:pStyle w:val="ListParagraph"/>
        <w:numPr>
          <w:ilvl w:val="0"/>
          <w:numId w:val="2"/>
        </w:numPr>
        <w:spacing w:after="40" w:before="40"/>
      </w:pPr>
      <w:r>
        <w:rPr>
          <w:rFonts w:ascii="Arial" w:cs="Arial" w:eastAsia="Arial" w:hAnsi="Arial"/>
          <w:sz w:val="22"/>
          <w:szCs w:val="22"/>
        </w:rPr>
        <w:t xml:space="preserve">Figure 3: Random Forest — Actual vs Predicted Secondary Dropout Rate</w:t>
      </w:r>
    </w:p>
    <w:p>
      <w:pPr>
        <w:pStyle w:val="ListParagraph"/>
        <w:numPr>
          <w:ilvl w:val="0"/>
          <w:numId w:val="2"/>
        </w:numPr>
        <w:spacing w:after="40" w:before="40"/>
      </w:pPr>
      <w:r>
        <w:rPr>
          <w:rFonts w:ascii="Arial" w:cs="Arial" w:eastAsia="Arial" w:hAnsi="Arial"/>
          <w:sz w:val="22"/>
          <w:szCs w:val="22"/>
        </w:rPr>
        <w:t xml:space="preserve">Figure 4: Feature Importance — Which Infrastructure Gaps Drive Secondary Dropout?</w:t>
      </w:r>
    </w:p>
    <w:p>
      <w:pPr>
        <w:pStyle w:val="ListParagraph"/>
        <w:numPr>
          <w:ilvl w:val="0"/>
          <w:numId w:val="2"/>
        </w:numPr>
        <w:spacing w:after="40" w:before="40"/>
      </w:pPr>
      <w:r>
        <w:rPr>
          <w:rFonts w:ascii="Arial" w:cs="Arial" w:eastAsia="Arial" w:hAnsi="Arial"/>
          <w:sz w:val="22"/>
          <w:szCs w:val="22"/>
        </w:rPr>
        <w:t xml:space="preserve">Figure 5: State Infrastructure Tiers — K-means Clustering Visualized via PCA</w:t>
      </w:r>
    </w:p>
    <w:p>
      <w:pPr>
        <w:pStyle w:val="ListParagraph"/>
        <w:numPr>
          <w:ilvl w:val="0"/>
          <w:numId w:val="2"/>
        </w:numPr>
        <w:spacing w:after="40" w:before="40"/>
      </w:pPr>
      <w:r>
        <w:rPr>
          <w:rFonts w:ascii="Arial" w:cs="Arial" w:eastAsia="Arial" w:hAnsi="Arial"/>
          <w:sz w:val="22"/>
          <w:szCs w:val="22"/>
        </w:rPr>
        <w:t xml:space="preserve">Figure 6: Estimated Investment to Reach Global Benchmark — By State</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Tables</w:t>
      </w:r>
    </w:p>
    <w:p>
      <w:pPr>
        <w:pStyle w:val="ListParagraph"/>
        <w:numPr>
          <w:ilvl w:val="0"/>
          <w:numId w:val="2"/>
        </w:numPr>
        <w:spacing w:after="40" w:before="40"/>
      </w:pPr>
      <w:r>
        <w:rPr>
          <w:rFonts w:ascii="Arial" w:cs="Arial" w:eastAsia="Arial" w:hAnsi="Arial"/>
          <w:sz w:val="22"/>
          <w:szCs w:val="22"/>
        </w:rPr>
        <w:t xml:space="preserve">Table I: Global Benchmark vs India — Key Infrastructure Indicators (%)</w:t>
      </w:r>
    </w:p>
    <w:p>
      <w:pPr>
        <w:pStyle w:val="ListParagraph"/>
        <w:numPr>
          <w:ilvl w:val="0"/>
          <w:numId w:val="2"/>
        </w:numPr>
        <w:spacing w:after="40" w:before="40"/>
      </w:pPr>
      <w:r>
        <w:rPr>
          <w:rFonts w:ascii="Arial" w:cs="Arial" w:eastAsia="Arial" w:hAnsi="Arial"/>
          <w:sz w:val="22"/>
          <w:szCs w:val="22"/>
        </w:rPr>
        <w:t xml:space="preserve">Table II: Infrastructure Gap Analysis — India vs Global Benchmark</w:t>
      </w:r>
    </w:p>
    <w:p>
      <w:pPr>
        <w:pStyle w:val="ListParagraph"/>
        <w:numPr>
          <w:ilvl w:val="0"/>
          <w:numId w:val="2"/>
        </w:numPr>
        <w:spacing w:after="40" w:before="40"/>
      </w:pPr>
      <w:r>
        <w:rPr>
          <w:rFonts w:ascii="Arial" w:cs="Arial" w:eastAsia="Arial" w:hAnsi="Arial"/>
          <w:sz w:val="22"/>
          <w:szCs w:val="22"/>
        </w:rPr>
        <w:t xml:space="preserve">Table III: K-means Clustering Results — State Infrastructure Tiers</w:t>
      </w:r>
    </w:p>
    <w:p>
      <w:pPr>
        <w:pStyle w:val="ListParagraph"/>
        <w:numPr>
          <w:ilvl w:val="0"/>
          <w:numId w:val="2"/>
        </w:numPr>
        <w:spacing w:after="40" w:before="40"/>
      </w:pPr>
      <w:r>
        <w:rPr>
          <w:rFonts w:ascii="Arial" w:cs="Arial" w:eastAsia="Arial" w:hAnsi="Arial"/>
          <w:sz w:val="22"/>
          <w:szCs w:val="22"/>
        </w:rPr>
        <w:t xml:space="preserve">Table IV: National Investment Required to Close Infrastructure Gaps</w:t>
      </w:r>
    </w:p>
    <w:p>
      <w:r>
        <w:br w:type="page"/>
      </w:r>
    </w:p>
    <w:p>
      <w:pPr>
        <w:pStyle w:val="Heading1"/>
        <w:pBdr>
          <w:bottom w:val="single" w:color="1F4E79" w:sz="6" w:space="1"/>
        </w:pBdr>
        <w:spacing w:after="160" w:before="320"/>
      </w:pPr>
      <w:r>
        <w:rPr>
          <w:rFonts w:ascii="Arial" w:cs="Arial" w:eastAsia="Arial" w:hAnsi="Arial"/>
          <w:b/>
          <w:bCs/>
          <w:color w:val="1F4E79"/>
          <w:sz w:val="28"/>
          <w:szCs w:val="28"/>
        </w:rPr>
        <w:t xml:space="preserve">ABSTRACT</w:t>
      </w:r>
    </w:p>
    <w:p>
      <w:pPr>
        <w:spacing w:after="80" w:before="80"/>
        <w:jc w:val="both"/>
      </w:pPr>
      <w:r>
        <w:rPr>
          <w:rFonts w:ascii="Arial" w:cs="Arial" w:eastAsia="Arial" w:hAnsi="Arial"/>
          <w:sz w:val="22"/>
          <w:szCs w:val="22"/>
        </w:rPr>
        <w:t xml:space="preserve">School infrastructure is a critical determinant of quality education and student retention. Despite decades of policy efforts, significant gaps persist in India's school infrastructure compared to global standards. This study presents a Comparative AI-based Infrastructure Framework that quantifies the infrastructure gap between Indian states and five benchmark countries — Japan, USA, Finland, Germany, and China — using UDISE+ 2024-25 data.</w:t>
      </w:r>
    </w:p>
    <w:p>
      <w:pPr>
        <w:spacing w:after="60" w:before="60"/>
      </w:pPr>
      <w:r>
        <w:t xml:space="preserve"/>
      </w:r>
    </w:p>
    <w:p>
      <w:pPr>
        <w:spacing w:after="80" w:before="80"/>
        <w:jc w:val="both"/>
      </w:pPr>
      <w:r>
        <w:rPr>
          <w:rFonts w:ascii="Arial" w:cs="Arial" w:eastAsia="Arial" w:hAnsi="Arial"/>
          <w:sz w:val="22"/>
          <w:szCs w:val="22"/>
        </w:rPr>
        <w:t xml:space="preserve">The research analyses 25 infrastructural indicators across 36 states and union territories, constructs a global benchmark table, and applies a Random Forest regression model to understand the relationship between infrastructure gaps and secondary-level dropout rates. The model achieves an R² of 0.893, demonstrating that 89.3% of the variation in state-level secondary dropout rates can be explained by infrastructure gaps alone. K-means clustering classifies states into four tiers: Critical, Developing, Moderate, and Advanced.</w:t>
      </w:r>
    </w:p>
    <w:p>
      <w:pPr>
        <w:spacing w:after="60" w:before="60"/>
      </w:pPr>
      <w:r>
        <w:t xml:space="preserve"/>
      </w:r>
    </w:p>
    <w:p>
      <w:pPr>
        <w:spacing w:after="80" w:before="80"/>
        <w:jc w:val="both"/>
      </w:pPr>
      <w:r>
        <w:rPr>
          <w:rFonts w:ascii="Arial" w:cs="Arial" w:eastAsia="Arial" w:hAnsi="Arial"/>
          <w:sz w:val="22"/>
          <w:szCs w:val="22"/>
        </w:rPr>
        <w:t xml:space="preserve">India requires a total investment of approximately ₹3.72 lakh crore (₹3,72,141 crore) to achieve global infrastructure standards. The largest investments are required for co-curricular facilities (₹1,12,465 crore) and science laboratories (₹90,902 crore). A key finding is that learning environment infrastructure — not sanitation — is the strongest predictor of student dropout, providing critical and evidence-based guidance to policymakers.</w:t>
      </w:r>
    </w:p>
    <w:p>
      <w:pPr>
        <w:spacing w:after="60" w:before="60"/>
      </w:pPr>
      <w:r>
        <w:t xml:space="preserve"/>
      </w:r>
    </w:p>
    <w:p>
      <w:pPr>
        <w:spacing w:after="80" w:before="80"/>
      </w:pPr>
      <w:r>
        <w:rPr>
          <w:rFonts w:ascii="Arial" w:cs="Arial" w:eastAsia="Arial" w:hAnsi="Arial"/>
          <w:b/>
          <w:bCs/>
          <w:sz w:val="22"/>
          <w:szCs w:val="22"/>
        </w:rPr>
        <w:t xml:space="preserve">Keywords: </w:t>
      </w:r>
      <w:r>
        <w:rPr>
          <w:rFonts w:ascii="Arial" w:cs="Arial" w:eastAsia="Arial" w:hAnsi="Arial"/>
          <w:i/>
          <w:iCs/>
          <w:sz w:val="22"/>
          <w:szCs w:val="22"/>
        </w:rPr>
        <w:t xml:space="preserve">school infrastructure, UDISE+, global benchmarking, random forest, dropout prediction, K-means clustering, education policy, India.</w:t>
      </w:r>
    </w:p>
    <w:p>
      <w:r>
        <w:br w:type="page"/>
      </w:r>
    </w:p>
    <w:p>
      <w:pPr>
        <w:pStyle w:val="Heading1"/>
        <w:pBdr>
          <w:bottom w:val="single" w:color="1F4E79" w:sz="6" w:space="1"/>
        </w:pBdr>
        <w:spacing w:after="160" w:before="320"/>
      </w:pPr>
      <w:r>
        <w:rPr>
          <w:rFonts w:ascii="Arial" w:cs="Arial" w:eastAsia="Arial" w:hAnsi="Arial"/>
          <w:b/>
          <w:bCs/>
          <w:color w:val="1F4E79"/>
          <w:sz w:val="28"/>
          <w:szCs w:val="28"/>
        </w:rPr>
        <w:t xml:space="preserve">1. INTRODUCTION</w:t>
      </w:r>
    </w:p>
    <w:p>
      <w:pPr>
        <w:spacing w:after="80" w:before="80"/>
        <w:jc w:val="both"/>
      </w:pPr>
      <w:r>
        <w:rPr>
          <w:rFonts w:ascii="Arial" w:cs="Arial" w:eastAsia="Arial" w:hAnsi="Arial"/>
          <w:sz w:val="22"/>
          <w:szCs w:val="22"/>
        </w:rPr>
        <w:t xml:space="preserve">School infrastructure encompasses the physical and functional conditions within which education is delivered. Research conducted by Barrett et al. (2019), reviewing 129 global studies, confirms that the quality of school buildings directly affects students' learning outcomes, and that poor-quality facilities increase absenteeism and dropout rates. In India, the Right to Education Act (RTE, 2009) specifies minimum infrastructure requirements for all schools; however, compliance remains highly uneven across states and school management types.</w:t>
      </w:r>
    </w:p>
    <w:p>
      <w:pPr>
        <w:spacing w:after="60" w:before="60"/>
      </w:pPr>
      <w:r>
        <w:t xml:space="preserve"/>
      </w:r>
    </w:p>
    <w:p>
      <w:pPr>
        <w:spacing w:after="80" w:before="80"/>
        <w:jc w:val="both"/>
      </w:pPr>
      <w:r>
        <w:rPr>
          <w:rFonts w:ascii="Arial" w:cs="Arial" w:eastAsia="Arial" w:hAnsi="Arial"/>
          <w:sz w:val="22"/>
          <w:szCs w:val="22"/>
        </w:rPr>
        <w:t xml:space="preserve">The Unified District Information System for Education (UDISE+), maintained by the Ministry of Education, Government of India, provides annual data on infrastructure for all registered schools. While UDISE+ reports document current infrastructure status, no existing research has benchmarked these statistics against international standards or estimated the cost required to bridge the identified gaps — a critical void this project addresses.</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1.1 Problem Statement</w:t>
      </w:r>
    </w:p>
    <w:p>
      <w:pPr>
        <w:spacing w:after="80" w:before="80"/>
        <w:jc w:val="both"/>
      </w:pPr>
      <w:r>
        <w:rPr>
          <w:rFonts w:ascii="Arial" w:cs="Arial" w:eastAsia="Arial" w:hAnsi="Arial"/>
          <w:sz w:val="22"/>
          <w:szCs w:val="22"/>
        </w:rPr>
        <w:t xml:space="preserve">This project identifies three core research gaps:</w:t>
      </w:r>
    </w:p>
    <w:p>
      <w:pPr>
        <w:pStyle w:val="ListParagraph"/>
        <w:numPr>
          <w:ilvl w:val="0"/>
          <w:numId w:val="3"/>
        </w:numPr>
        <w:spacing w:after="40" w:before="40"/>
      </w:pPr>
      <w:r>
        <w:rPr>
          <w:rFonts w:ascii="Arial" w:cs="Arial" w:eastAsia="Arial" w:hAnsi="Arial"/>
          <w:sz w:val="22"/>
          <w:szCs w:val="22"/>
        </w:rPr>
        <w:t xml:space="preserve">No systematic benchmarking of Indian school infrastructure against international standards exists.</w:t>
      </w:r>
    </w:p>
    <w:p>
      <w:pPr>
        <w:pStyle w:val="ListParagraph"/>
        <w:numPr>
          <w:ilvl w:val="0"/>
          <w:numId w:val="3"/>
        </w:numPr>
        <w:spacing w:after="40" w:before="40"/>
      </w:pPr>
      <w:r>
        <w:rPr>
          <w:rFonts w:ascii="Arial" w:cs="Arial" w:eastAsia="Arial" w:hAnsi="Arial"/>
          <w:sz w:val="22"/>
          <w:szCs w:val="22"/>
        </w:rPr>
        <w:t xml:space="preserve">The quantitative relationship between specific infrastructure shortages and student dropout rates has not been rigorously measured.</w:t>
      </w:r>
    </w:p>
    <w:p>
      <w:pPr>
        <w:pStyle w:val="ListParagraph"/>
        <w:numPr>
          <w:ilvl w:val="0"/>
          <w:numId w:val="3"/>
        </w:numPr>
        <w:spacing w:after="40" w:before="40"/>
      </w:pPr>
      <w:r>
        <w:rPr>
          <w:rFonts w:ascii="Arial" w:cs="Arial" w:eastAsia="Arial" w:hAnsi="Arial"/>
          <w:sz w:val="22"/>
          <w:szCs w:val="22"/>
        </w:rPr>
        <w:t xml:space="preserve">No state-wise cost model for bridging infrastructure deficits is publicly available.</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1.2 Research Objectives</w:t>
      </w:r>
    </w:p>
    <w:p>
      <w:pPr>
        <w:spacing w:after="80" w:before="80"/>
        <w:jc w:val="both"/>
      </w:pPr>
      <w:r>
        <w:rPr>
          <w:rFonts w:ascii="Arial" w:cs="Arial" w:eastAsia="Arial" w:hAnsi="Arial"/>
          <w:sz w:val="22"/>
          <w:szCs w:val="22"/>
        </w:rPr>
        <w:t xml:space="preserve">This study introduces a reusable, AI-based framework valid for any country and any year for which equivalent data is available. The specific objectives are:</w:t>
      </w:r>
    </w:p>
    <w:p>
      <w:pPr>
        <w:pStyle w:val="ListParagraph"/>
        <w:numPr>
          <w:ilvl w:val="0"/>
          <w:numId w:val="2"/>
        </w:numPr>
        <w:spacing w:after="40" w:before="40"/>
      </w:pPr>
      <w:r>
        <w:rPr>
          <w:rFonts w:ascii="Arial" w:cs="Arial" w:eastAsia="Arial" w:hAnsi="Arial"/>
          <w:sz w:val="22"/>
          <w:szCs w:val="22"/>
        </w:rPr>
        <w:t xml:space="preserve">Benchmark 25 infrastructure indicators across 36 Indian states against 5 global model countries.</w:t>
      </w:r>
    </w:p>
    <w:p>
      <w:pPr>
        <w:pStyle w:val="ListParagraph"/>
        <w:numPr>
          <w:ilvl w:val="0"/>
          <w:numId w:val="2"/>
        </w:numPr>
        <w:spacing w:after="40" w:before="40"/>
      </w:pPr>
      <w:r>
        <w:rPr>
          <w:rFonts w:ascii="Arial" w:cs="Arial" w:eastAsia="Arial" w:hAnsi="Arial"/>
          <w:sz w:val="22"/>
          <w:szCs w:val="22"/>
        </w:rPr>
        <w:t xml:space="preserve">Quantify infrastructure gaps and rank indicators by severity.</w:t>
      </w:r>
    </w:p>
    <w:p>
      <w:pPr>
        <w:pStyle w:val="ListParagraph"/>
        <w:numPr>
          <w:ilvl w:val="0"/>
          <w:numId w:val="2"/>
        </w:numPr>
        <w:spacing w:after="40" w:before="40"/>
      </w:pPr>
      <w:r>
        <w:rPr>
          <w:rFonts w:ascii="Arial" w:cs="Arial" w:eastAsia="Arial" w:hAnsi="Arial"/>
          <w:sz w:val="22"/>
          <w:szCs w:val="22"/>
        </w:rPr>
        <w:t xml:space="preserve">Build predictive models linking infrastructure gaps to dropout rates.</w:t>
      </w:r>
    </w:p>
    <w:p>
      <w:pPr>
        <w:pStyle w:val="ListParagraph"/>
        <w:numPr>
          <w:ilvl w:val="0"/>
          <w:numId w:val="2"/>
        </w:numPr>
        <w:spacing w:after="40" w:before="40"/>
      </w:pPr>
      <w:r>
        <w:rPr>
          <w:rFonts w:ascii="Arial" w:cs="Arial" w:eastAsia="Arial" w:hAnsi="Arial"/>
          <w:sz w:val="22"/>
          <w:szCs w:val="22"/>
        </w:rPr>
        <w:t xml:space="preserve">Classify states into infrastructure tiers using unsupervised learning.</w:t>
      </w:r>
    </w:p>
    <w:p>
      <w:pPr>
        <w:pStyle w:val="ListParagraph"/>
        <w:numPr>
          <w:ilvl w:val="0"/>
          <w:numId w:val="2"/>
        </w:numPr>
        <w:spacing w:after="40" w:before="40"/>
      </w:pPr>
      <w:r>
        <w:rPr>
          <w:rFonts w:ascii="Arial" w:cs="Arial" w:eastAsia="Arial" w:hAnsi="Arial"/>
          <w:sz w:val="22"/>
          <w:szCs w:val="22"/>
        </w:rPr>
        <w:t xml:space="preserve">Estimate state-wise and indicator-wise investment required to reach global standards.</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1.3 Significance of the Study</w:t>
      </w:r>
    </w:p>
    <w:p>
      <w:pPr>
        <w:spacing w:after="80" w:before="80"/>
        <w:jc w:val="both"/>
      </w:pPr>
      <w:r>
        <w:rPr>
          <w:rFonts w:ascii="Arial" w:cs="Arial" w:eastAsia="Arial" w:hAnsi="Arial"/>
          <w:sz w:val="22"/>
          <w:szCs w:val="22"/>
        </w:rPr>
        <w:t xml:space="preserve">The R² = 0.893 result of this study establishes that infrastructure investment is not merely a welfare measure but a direct lever for dropout reduction. The framework is designed to integrate with Samagra Shiksha budgeting cycles, making it a policy-actionable tool rather than an academic exercise.</w:t>
      </w:r>
    </w:p>
    <w:p>
      <w:r>
        <w:br w:type="page"/>
      </w:r>
    </w:p>
    <w:p>
      <w:pPr>
        <w:pStyle w:val="Heading1"/>
        <w:pBdr>
          <w:bottom w:val="single" w:color="1F4E79" w:sz="6" w:space="1"/>
        </w:pBdr>
        <w:spacing w:after="160" w:before="320"/>
      </w:pPr>
      <w:r>
        <w:rPr>
          <w:rFonts w:ascii="Arial" w:cs="Arial" w:eastAsia="Arial" w:hAnsi="Arial"/>
          <w:b/>
          <w:bCs/>
          <w:color w:val="1F4E79"/>
          <w:sz w:val="28"/>
          <w:szCs w:val="28"/>
        </w:rPr>
        <w:t xml:space="preserve">2. RELATED WORK</w:t>
      </w:r>
    </w:p>
    <w:p>
      <w:pPr>
        <w:spacing w:after="80" w:before="80"/>
        <w:jc w:val="both"/>
      </w:pPr>
      <w:r>
        <w:rPr>
          <w:rFonts w:ascii="Arial" w:cs="Arial" w:eastAsia="Arial" w:hAnsi="Arial"/>
          <w:sz w:val="22"/>
          <w:szCs w:val="22"/>
        </w:rPr>
        <w:t xml:space="preserve">The relationship between school infrastructure and academic achievement has been extensively documented in global literature. The most comprehensive synthesis is by Barrett et al. (2019), who reviewed 129 overseas studies and concluded that learning achievement is highly influenced by classroom environment, safety, sanitation, and the physical conditions of learning spaces. This review provides the theoretical foundation for the infrastructure-dropout linkage explored in the present study.</w:t>
      </w:r>
    </w:p>
    <w:p>
      <w:pPr>
        <w:spacing w:after="60" w:before="60"/>
      </w:pPr>
      <w:r>
        <w:t xml:space="preserve"/>
      </w:r>
    </w:p>
    <w:p>
      <w:pPr>
        <w:spacing w:after="80" w:before="80"/>
        <w:jc w:val="both"/>
      </w:pPr>
      <w:r>
        <w:rPr>
          <w:rFonts w:ascii="Arial" w:cs="Arial" w:eastAsia="Arial" w:hAnsi="Arial"/>
          <w:sz w:val="22"/>
          <w:szCs w:val="22"/>
        </w:rPr>
        <w:t xml:space="preserve">Nugroho and Wibowo (2020) demonstrated that adequate facilities improve student interaction and engagement in Indonesian schools — findings especially relevant in the Indian context given comparable socioeconomic conditions. Mahapatra and Goowalla (2019) conducted a comparative study of government and private school facilities in Nagaland, finding that management type significantly affects teaching quality and learning infrastructure — an observation that our school-type disaggregation directly builds upon.</w:t>
      </w:r>
    </w:p>
    <w:p>
      <w:pPr>
        <w:spacing w:after="60" w:before="60"/>
      </w:pPr>
      <w:r>
        <w:t xml:space="preserve"/>
      </w:r>
    </w:p>
    <w:p>
      <w:pPr>
        <w:spacing w:after="80" w:before="80"/>
        <w:jc w:val="both"/>
      </w:pPr>
      <w:r>
        <w:rPr>
          <w:rFonts w:ascii="Arial" w:cs="Arial" w:eastAsia="Arial" w:hAnsi="Arial"/>
          <w:sz w:val="22"/>
          <w:szCs w:val="22"/>
        </w:rPr>
        <w:t xml:space="preserve">Octavia and Ismiyati (2020) examined how facilities affect institutional education quality, providing an input-output framework applicable to infrastructure assessment. Vargas-Munoz et al. (2021) pioneered the use of machine learning and satellite data for AI-based infrastructure analysis in developing countries, supporting the methodological approach adopted in this study.</w:t>
      </w:r>
    </w:p>
    <w:p>
      <w:pPr>
        <w:spacing w:after="60" w:before="60"/>
      </w:pPr>
      <w:r>
        <w:t xml:space="preserve"/>
      </w:r>
    </w:p>
    <w:p>
      <w:pPr>
        <w:spacing w:after="80" w:before="80"/>
        <w:jc w:val="both"/>
      </w:pPr>
      <w:r>
        <w:rPr>
          <w:rFonts w:ascii="Arial" w:cs="Arial" w:eastAsia="Arial" w:hAnsi="Arial"/>
          <w:sz w:val="22"/>
          <w:szCs w:val="22"/>
        </w:rPr>
        <w:t xml:space="preserve">A critical gap in existing literature is the absence of any study that simultaneously: (a) compares UDISE+ infrastructure data with global benchmarks; (b) applies regression-based forecasting of dropout rates; and (c) produces a state-level cost model — all within a unified AI-based pipeline. The present research addresses all three gaps.</w:t>
      </w:r>
    </w:p>
    <w:p>
      <w:r>
        <w:br w:type="page"/>
      </w:r>
    </w:p>
    <w:p>
      <w:pPr>
        <w:pStyle w:val="Heading1"/>
        <w:pBdr>
          <w:bottom w:val="single" w:color="1F4E79" w:sz="6" w:space="1"/>
        </w:pBdr>
        <w:spacing w:after="160" w:before="320"/>
      </w:pPr>
      <w:r>
        <w:rPr>
          <w:rFonts w:ascii="Arial" w:cs="Arial" w:eastAsia="Arial" w:hAnsi="Arial"/>
          <w:b/>
          <w:bCs/>
          <w:color w:val="1F4E79"/>
          <w:sz w:val="28"/>
          <w:szCs w:val="28"/>
        </w:rPr>
        <w:t xml:space="preserve">3. METHODOLOGY</w:t>
      </w:r>
    </w:p>
    <w:p>
      <w:pPr>
        <w:pStyle w:val="Heading2"/>
        <w:spacing w:after="120" w:before="240"/>
      </w:pPr>
      <w:r>
        <w:rPr>
          <w:rFonts w:ascii="Arial" w:cs="Arial" w:eastAsia="Arial" w:hAnsi="Arial"/>
          <w:b/>
          <w:bCs/>
          <w:color w:val="2E75B6"/>
          <w:sz w:val="24"/>
          <w:szCs w:val="24"/>
        </w:rPr>
        <w:t xml:space="preserve">3.1 Dataset Description</w:t>
      </w:r>
    </w:p>
    <w:p>
      <w:pPr>
        <w:spacing w:after="80" w:before="80"/>
        <w:jc w:val="both"/>
      </w:pPr>
      <w:r>
        <w:rPr>
          <w:rFonts w:ascii="Arial" w:cs="Arial" w:eastAsia="Arial" w:hAnsi="Arial"/>
          <w:sz w:val="22"/>
          <w:szCs w:val="22"/>
        </w:rPr>
        <w:t xml:space="preserve">The primary dataset is sourced from UDISE+ 2024-25 (Booklet on NEP Progress), Ministry of Education, Government of India. It covers 1,471,473 schools across 36 states and union territories with information on 25 infrastructure indicators, disaggregated by school management type (Government, Government Aided, and Private Unaided). Secondary-level dropout rates by gender from the same source (Table 6.11, 2024-25) serve as the target variable for predictive modeling.</w:t>
      </w:r>
    </w:p>
    <w:p>
      <w:pPr>
        <w:spacing w:after="60" w:before="60"/>
      </w:pPr>
      <w:r>
        <w:t xml:space="preserve"/>
      </w:r>
    </w:p>
    <w:p>
      <w:pPr>
        <w:spacing w:after="80" w:before="80"/>
        <w:jc w:val="both"/>
      </w:pPr>
      <w:r>
        <w:rPr>
          <w:rFonts w:ascii="Arial" w:cs="Arial" w:eastAsia="Arial" w:hAnsi="Arial"/>
          <w:sz w:val="22"/>
          <w:szCs w:val="22"/>
        </w:rPr>
        <w:t xml:space="preserve">Global benchmark data was sourced from UNESCO UIS, OECD Education at a Glance 2023, and World Bank EdStats for five model countries: Japan, USA, Finland, Germany, and China.</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3.2 Infrastructure Gap Computation</w:t>
      </w:r>
    </w:p>
    <w:p>
      <w:pPr>
        <w:spacing w:after="80" w:before="80"/>
        <w:jc w:val="both"/>
      </w:pPr>
      <w:r>
        <w:rPr>
          <w:rFonts w:ascii="Arial" w:cs="Arial" w:eastAsia="Arial" w:hAnsi="Arial"/>
          <w:sz w:val="22"/>
          <w:szCs w:val="22"/>
        </w:rPr>
        <w:t xml:space="preserve">The infrastructure gap for each indicator i in state s is calculated as:</w:t>
      </w:r>
    </w:p>
    <w:p>
      <w:pPr>
        <w:pBdr>
          <w:top w:val="single" w:color="CCCCCC" w:sz="2" w:space="1"/>
          <w:bottom w:val="single" w:color="CCCCCC" w:sz="2" w:space="1"/>
        </w:pBdr>
        <w:spacing w:after="120" w:before="120"/>
        <w:jc w:val="center"/>
      </w:pPr>
      <w:r>
        <w:rPr>
          <w:rFonts w:ascii="Courier New" w:cs="Courier New" w:eastAsia="Courier New" w:hAnsi="Courier New"/>
          <w:b/>
          <w:bCs/>
          <w:color w:val="1F4E79"/>
          <w:sz w:val="22"/>
          <w:szCs w:val="22"/>
        </w:rPr>
        <w:t xml:space="preserve">Gap(i, s)  =  Benchmark(i)  −  India_State(i, s)</w:t>
      </w:r>
    </w:p>
    <w:p>
      <w:pPr>
        <w:spacing w:after="80" w:before="80"/>
        <w:jc w:val="both"/>
      </w:pPr>
      <w:r>
        <w:rPr>
          <w:rFonts w:ascii="Arial" w:cs="Arial" w:eastAsia="Arial" w:hAnsi="Arial"/>
          <w:sz w:val="22"/>
          <w:szCs w:val="22"/>
        </w:rPr>
        <w:t xml:space="preserve">where Benchmark(i) is the average of the five model countries for indicator i. The composite state gap score is the average of positive gaps (floored at 0).</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3.3 Predictive Modeling</w:t>
      </w:r>
    </w:p>
    <w:p>
      <w:pPr>
        <w:spacing w:after="80" w:before="80"/>
        <w:jc w:val="both"/>
      </w:pPr>
      <w:r>
        <w:rPr>
          <w:rFonts w:ascii="Arial" w:cs="Arial" w:eastAsia="Arial" w:hAnsi="Arial"/>
          <w:sz w:val="22"/>
          <w:szCs w:val="22"/>
        </w:rPr>
        <w:t xml:space="preserve">Secondary dropout rates are predicted using two regression models trained on infrastructure gap scores:</w:t>
      </w:r>
    </w:p>
    <w:p>
      <w:pPr>
        <w:pStyle w:val="ListParagraph"/>
        <w:numPr>
          <w:ilvl w:val="0"/>
          <w:numId w:val="2"/>
        </w:numPr>
        <w:spacing w:after="40" w:before="40"/>
      </w:pPr>
      <w:r>
        <w:rPr>
          <w:rFonts w:ascii="Arial" w:cs="Arial" w:eastAsia="Arial" w:hAnsi="Arial"/>
          <w:sz w:val="22"/>
          <w:szCs w:val="22"/>
        </w:rPr>
        <w:t xml:space="preserve">Linear Regression (baseline model)</w:t>
      </w:r>
    </w:p>
    <w:p>
      <w:pPr>
        <w:pStyle w:val="ListParagraph"/>
        <w:numPr>
          <w:ilvl w:val="0"/>
          <w:numId w:val="2"/>
        </w:numPr>
        <w:spacing w:after="40" w:before="40"/>
      </w:pPr>
      <w:r>
        <w:rPr>
          <w:rFonts w:ascii="Arial" w:cs="Arial" w:eastAsia="Arial" w:hAnsi="Arial"/>
          <w:sz w:val="22"/>
          <w:szCs w:val="22"/>
        </w:rPr>
        <w:t xml:space="preserve">Random Forest Regressor (100 estimators, random_state=42)</w:t>
      </w:r>
    </w:p>
    <w:p>
      <w:pPr>
        <w:spacing w:after="60" w:before="60"/>
      </w:pPr>
      <w:r>
        <w:t xml:space="preserve"/>
      </w:r>
    </w:p>
    <w:p>
      <w:pPr>
        <w:spacing w:after="80" w:before="80"/>
        <w:jc w:val="both"/>
      </w:pPr>
      <w:r>
        <w:rPr>
          <w:rFonts w:ascii="Arial" w:cs="Arial" w:eastAsia="Arial" w:hAnsi="Arial"/>
          <w:sz w:val="22"/>
          <w:szCs w:val="22"/>
        </w:rPr>
        <w:t xml:space="preserve">Features consist of 25 gap scores per state. The target variable is aggregate secondary dropout rates (Classes IX-XII) from UDISE+ 2024-25. Model performance is evaluated using R² (coefficient of determination) and MAE (Mean Absolute Error).</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3.4 K-means Clustering</w:t>
      </w:r>
    </w:p>
    <w:p>
      <w:pPr>
        <w:spacing w:after="80" w:before="80"/>
        <w:jc w:val="both"/>
      </w:pPr>
      <w:r>
        <w:rPr>
          <w:rFonts w:ascii="Arial" w:cs="Arial" w:eastAsia="Arial" w:hAnsi="Arial"/>
          <w:sz w:val="22"/>
          <w:szCs w:val="22"/>
        </w:rPr>
        <w:t xml:space="preserve">The 25-dimensional gap score vectors were scaled using StandardScaler and clustered with K-means (k=4, n_init=10). Principal Component Analysis (PCA) was applied for 2D visualization. Clusters were labelled based on sorted composite gap scores: Critical, Developing, Moderate, and Advanced.</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3.5 Cost Estimation Model</w:t>
      </w:r>
    </w:p>
    <w:p>
      <w:pPr>
        <w:spacing w:after="80" w:before="80"/>
        <w:jc w:val="both"/>
      </w:pPr>
      <w:r>
        <w:rPr>
          <w:rFonts w:ascii="Arial" w:cs="Arial" w:eastAsia="Arial" w:hAnsi="Arial"/>
          <w:sz w:val="22"/>
          <w:szCs w:val="22"/>
        </w:rPr>
        <w:t xml:space="preserve">The investment needed to bridge indicator i in state s is computed as:</w:t>
      </w:r>
    </w:p>
    <w:p>
      <w:pPr>
        <w:pBdr>
          <w:top w:val="single" w:color="CCCCCC" w:sz="2" w:space="1"/>
          <w:bottom w:val="single" w:color="CCCCCC" w:sz="2" w:space="1"/>
        </w:pBdr>
        <w:spacing w:after="120" w:before="120"/>
        <w:jc w:val="center"/>
      </w:pPr>
      <w:r>
        <w:rPr>
          <w:rFonts w:ascii="Courier New" w:cs="Courier New" w:eastAsia="Courier New" w:hAnsi="Courier New"/>
          <w:b/>
          <w:bCs/>
          <w:color w:val="1F4E79"/>
          <w:sz w:val="22"/>
          <w:szCs w:val="22"/>
        </w:rPr>
        <w:t xml:space="preserve">Cost(i, s)  =  (Gap(i, s) / 100)  ×  TotalSchools(s)  ×  UnitCost(i)</w:t>
      </w:r>
    </w:p>
    <w:p>
      <w:pPr>
        <w:spacing w:after="80" w:before="80"/>
        <w:jc w:val="both"/>
      </w:pPr>
      <w:r>
        <w:rPr>
          <w:rFonts w:ascii="Arial" w:cs="Arial" w:eastAsia="Arial" w:hAnsi="Arial"/>
          <w:sz w:val="22"/>
          <w:szCs w:val="22"/>
        </w:rPr>
        <w:t xml:space="preserve">UnitCost(i) is derived from PWD schedules and Samagra Shiksha Abhiyan norms. All costs are reported in Indian Rupees (Crore).</w:t>
      </w:r>
    </w:p>
    <w:p>
      <w:r>
        <w:br w:type="page"/>
      </w:r>
    </w:p>
    <w:p>
      <w:pPr>
        <w:pStyle w:val="Heading1"/>
        <w:pBdr>
          <w:bottom w:val="single" w:color="1F4E79" w:sz="6" w:space="1"/>
        </w:pBdr>
        <w:spacing w:after="160" w:before="320"/>
      </w:pPr>
      <w:r>
        <w:rPr>
          <w:rFonts w:ascii="Arial" w:cs="Arial" w:eastAsia="Arial" w:hAnsi="Arial"/>
          <w:b/>
          <w:bCs/>
          <w:color w:val="1F4E79"/>
          <w:sz w:val="28"/>
          <w:szCs w:val="28"/>
        </w:rPr>
        <w:t xml:space="preserve">4. GLOBAL BENCHMARK ANALYSIS</w:t>
      </w:r>
    </w:p>
    <w:p>
      <w:pPr>
        <w:pStyle w:val="Heading2"/>
        <w:spacing w:after="120" w:before="240"/>
      </w:pPr>
      <w:r>
        <w:rPr>
          <w:rFonts w:ascii="Arial" w:cs="Arial" w:eastAsia="Arial" w:hAnsi="Arial"/>
          <w:b/>
          <w:bCs/>
          <w:color w:val="2E75B6"/>
          <w:sz w:val="24"/>
          <w:szCs w:val="24"/>
        </w:rPr>
        <w:t xml:space="preserve">4.1 Benchmark Table</w:t>
      </w:r>
    </w:p>
    <w:p>
      <w:pPr>
        <w:spacing w:after="80" w:before="80"/>
        <w:jc w:val="both"/>
      </w:pPr>
      <w:r>
        <w:rPr>
          <w:rFonts w:ascii="Arial" w:cs="Arial" w:eastAsia="Arial" w:hAnsi="Arial"/>
          <w:sz w:val="22"/>
          <w:szCs w:val="22"/>
        </w:rPr>
        <w:t xml:space="preserve">Table I presents a subset of the global benchmark comparison for six key infrastructure indicators. All 25 UDISE+ indicators are included in the full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400"/>
        <w:gridCol w:w="1200"/>
        <w:gridCol w:w="1100"/>
        <w:gridCol w:w="1300"/>
        <w:gridCol w:w="1500"/>
      </w:tblGrid>
      <w:tr>
        <w:trPr>
          <w:tblHeader/>
        </w:trPr>
        <w:tc>
          <w:tcPr>
            <w:tcW w:type="dxa" w:w="156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Country</w:t>
            </w:r>
          </w:p>
        </w:tc>
        <w:tc>
          <w:tcPr>
            <w:tcW w:type="dxa" w:w="130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Electricity %</w:t>
            </w:r>
          </w:p>
        </w:tc>
        <w:tc>
          <w:tcPr>
            <w:tcW w:type="dxa" w:w="140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Drinking Water %</w:t>
            </w:r>
          </w:p>
        </w:tc>
        <w:tc>
          <w:tcPr>
            <w:tcW w:type="dxa" w:w="120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Computer %</w:t>
            </w:r>
          </w:p>
        </w:tc>
        <w:tc>
          <w:tcPr>
            <w:tcW w:type="dxa" w:w="110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Internet %</w:t>
            </w:r>
          </w:p>
        </w:tc>
        <w:tc>
          <w:tcPr>
            <w:tcW w:type="dxa" w:w="130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Science Lab %</w:t>
            </w:r>
          </w:p>
        </w:tc>
        <w:tc>
          <w:tcPr>
            <w:tcW w:type="dxa" w:w="150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Co-curr. Room %</w:t>
            </w:r>
          </w:p>
        </w:tc>
      </w:tr>
      <w:tr>
        <w:tc>
          <w:tcPr>
            <w:tcW w:type="dxa" w:w="15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Japan</w:t>
            </w:r>
          </w:p>
        </w:tc>
        <w:tc>
          <w:tcPr>
            <w:tcW w:type="dxa" w:w="1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w:t>
            </w:r>
          </w:p>
        </w:tc>
        <w:tc>
          <w:tcPr>
            <w:tcW w:type="dxa" w:w="1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98</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98</w:t>
            </w:r>
          </w:p>
        </w:tc>
        <w:tc>
          <w:tcPr>
            <w:tcW w:type="dxa" w:w="1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99</w:t>
            </w:r>
          </w:p>
        </w:tc>
        <w:tc>
          <w:tcPr>
            <w:tcW w:type="dxa" w:w="15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95</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USA</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97</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90</w:t>
            </w:r>
          </w:p>
        </w:tc>
      </w:tr>
      <w:tr>
        <w:tc>
          <w:tcPr>
            <w:tcW w:type="dxa" w:w="15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Finland</w:t>
            </w:r>
          </w:p>
        </w:tc>
        <w:tc>
          <w:tcPr>
            <w:tcW w:type="dxa" w:w="1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w:t>
            </w:r>
          </w:p>
        </w:tc>
        <w:tc>
          <w:tcPr>
            <w:tcW w:type="dxa" w:w="1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99</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99</w:t>
            </w:r>
          </w:p>
        </w:tc>
        <w:tc>
          <w:tcPr>
            <w:tcW w:type="dxa" w:w="1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99</w:t>
            </w:r>
          </w:p>
        </w:tc>
        <w:tc>
          <w:tcPr>
            <w:tcW w:type="dxa" w:w="15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97</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Germany</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97</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98</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93</w:t>
            </w:r>
          </w:p>
        </w:tc>
      </w:tr>
      <w:tr>
        <w:tc>
          <w:tcPr>
            <w:tcW w:type="dxa" w:w="15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China</w:t>
            </w:r>
          </w:p>
        </w:tc>
        <w:tc>
          <w:tcPr>
            <w:tcW w:type="dxa" w:w="1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99</w:t>
            </w:r>
          </w:p>
        </w:tc>
        <w:tc>
          <w:tcPr>
            <w:tcW w:type="dxa" w:w="1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98</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88</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87</w:t>
            </w:r>
          </w:p>
        </w:tc>
        <w:tc>
          <w:tcPr>
            <w:tcW w:type="dxa" w:w="1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92</w:t>
            </w:r>
          </w:p>
        </w:tc>
        <w:tc>
          <w:tcPr>
            <w:tcW w:type="dxa" w:w="15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85</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Global Avg.</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99.8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99.6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95.4</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95.2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97.0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92.0</w:t>
            </w:r>
          </w:p>
        </w:tc>
      </w:tr>
      <w:tr>
        <w:tc>
          <w:tcPr>
            <w:tcW w:type="dxa" w:w="15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India</w:t>
            </w:r>
          </w:p>
        </w:tc>
        <w:tc>
          <w:tcPr>
            <w:tcW w:type="dxa" w:w="1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93.6</w:t>
            </w:r>
          </w:p>
        </w:tc>
        <w:tc>
          <w:tcPr>
            <w:tcW w:type="dxa" w:w="1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99.3</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64.7</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63.5</w:t>
            </w:r>
          </w:p>
        </w:tc>
        <w:tc>
          <w:tcPr>
            <w:tcW w:type="dxa" w:w="1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57.1</w:t>
            </w:r>
          </w:p>
        </w:tc>
        <w:tc>
          <w:tcPr>
            <w:tcW w:type="dxa" w:w="15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15.6</w:t>
            </w:r>
          </w:p>
        </w:tc>
      </w:tr>
    </w:tbl>
    <w:p>
      <w:pPr>
        <w:spacing w:after="60" w:before="60"/>
      </w:pPr>
      <w:r>
        <w:t xml:space="preserve"/>
      </w:r>
    </w:p>
    <w:p>
      <w:pPr>
        <w:jc w:val="center"/>
      </w:pPr>
      <w:r>
        <w:rPr>
          <w:rFonts w:ascii="Arial" w:cs="Arial" w:eastAsia="Arial" w:hAnsi="Arial"/>
          <w:i/>
          <w:iCs/>
          <w:color w:val="555555"/>
          <w:sz w:val="20"/>
          <w:szCs w:val="20"/>
        </w:rPr>
        <w:t xml:space="preserve">Table I: Global Benchmark vs India — Key Infrastructure Indicators (%)</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4.2 Gap Analysis Findings</w:t>
      </w:r>
    </w:p>
    <w:p>
      <w:pPr>
        <w:spacing w:after="80" w:before="80"/>
        <w:jc w:val="both"/>
      </w:pPr>
      <w:r>
        <w:rPr>
          <w:rFonts w:ascii="Arial" w:cs="Arial" w:eastAsia="Arial" w:hAnsi="Arial"/>
          <w:sz w:val="22"/>
          <w:szCs w:val="22"/>
        </w:rPr>
        <w:t xml:space="preserve">India's basic sanitation indicators (drinking water: 99.3%, toilet: 98.6%) are at or near the global benchmark, reflecting the success of programs such as the Swachh Bharat Mission. However, critical gaps persist in learning environment indicators:</w:t>
      </w:r>
    </w:p>
    <w:p>
      <w:pPr>
        <w:pStyle w:val="ListParagraph"/>
        <w:numPr>
          <w:ilvl w:val="0"/>
          <w:numId w:val="2"/>
        </w:numPr>
        <w:spacing w:after="40" w:before="40"/>
      </w:pPr>
      <w:r>
        <w:rPr>
          <w:rFonts w:ascii="Arial" w:cs="Arial" w:eastAsia="Arial" w:hAnsi="Arial"/>
          <w:sz w:val="22"/>
          <w:szCs w:val="22"/>
        </w:rPr>
        <w:t xml:space="preserve">Computer Facility: 64.7% vs 95.4% global (gap: 30.7 percentage points)</w:t>
      </w:r>
    </w:p>
    <w:p>
      <w:pPr>
        <w:pStyle w:val="ListParagraph"/>
        <w:numPr>
          <w:ilvl w:val="0"/>
          <w:numId w:val="2"/>
        </w:numPr>
        <w:spacing w:after="40" w:before="40"/>
      </w:pPr>
      <w:r>
        <w:rPr>
          <w:rFonts w:ascii="Arial" w:cs="Arial" w:eastAsia="Arial" w:hAnsi="Arial"/>
          <w:sz w:val="22"/>
          <w:szCs w:val="22"/>
        </w:rPr>
        <w:t xml:space="preserve">Internet Access: 63.5% vs 95.2% global (gap: 31.7 pp)</w:t>
      </w:r>
    </w:p>
    <w:p>
      <w:pPr>
        <w:pStyle w:val="ListParagraph"/>
        <w:numPr>
          <w:ilvl w:val="0"/>
          <w:numId w:val="2"/>
        </w:numPr>
        <w:spacing w:after="40" w:before="40"/>
      </w:pPr>
      <w:r>
        <w:rPr>
          <w:rFonts w:ascii="Arial" w:cs="Arial" w:eastAsia="Arial" w:hAnsi="Arial"/>
          <w:sz w:val="22"/>
          <w:szCs w:val="22"/>
        </w:rPr>
        <w:t xml:space="preserve">Science Laboratories: 57.1% vs 97.0% global (gap: 39.9 pp)</w:t>
      </w:r>
    </w:p>
    <w:p>
      <w:pPr>
        <w:pStyle w:val="ListParagraph"/>
        <w:numPr>
          <w:ilvl w:val="0"/>
          <w:numId w:val="2"/>
        </w:numPr>
        <w:spacing w:after="40" w:before="40"/>
      </w:pPr>
      <w:r>
        <w:rPr>
          <w:rFonts w:ascii="Arial" w:cs="Arial" w:eastAsia="Arial" w:hAnsi="Arial"/>
          <w:sz w:val="22"/>
          <w:szCs w:val="22"/>
        </w:rPr>
        <w:t xml:space="preserve">Co-curricular Rooms: 15.6% vs 92.0% global (gap: 76.4 pp — most critical)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Indicator</w:t>
            </w:r>
          </w:p>
        </w:tc>
        <w:tc>
          <w:tcPr>
            <w:tcW w:type="dxa" w:w="234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India (%)</w:t>
            </w:r>
          </w:p>
        </w:tc>
        <w:tc>
          <w:tcPr>
            <w:tcW w:type="dxa" w:w="234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 (%)</w:t>
            </w:r>
          </w:p>
        </w:tc>
      </w:tr>
      <w:tr>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Co-curricular Room</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15.6</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76.4</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Functional CWSN Toilet</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33.4</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54.0</w:t>
            </w:r>
          </w:p>
        </w:tc>
      </w:tr>
      <w:tr>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CWSN Toilet</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35.6</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53.8</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Science Laboratory</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57.1</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39.9</w:t>
            </w:r>
          </w:p>
        </w:tc>
      </w:tr>
      <w:tr>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Functional Computer</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57.9</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35.9</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Solar Panel</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10.8</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32.2</w:t>
            </w:r>
          </w:p>
        </w:tc>
      </w:tr>
      <w:tr>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Internet Access</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63.5</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31.7</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Computer Facility</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64.7</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30.7</w:t>
            </w:r>
          </w:p>
        </w:tc>
      </w:tr>
      <w:tr>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Rainwater Harvesting</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29.4</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27.2</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Medical Checkup</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75.5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20.3</w:t>
            </w:r>
          </w:p>
        </w:tc>
      </w:tr>
      <w:tr>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Ramps with Handrails</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54.9</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31.7</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Library / Book Bank</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89.5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7.3</w:t>
            </w:r>
          </w:p>
        </w:tc>
      </w:tr>
      <w:tr>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Electricity Access</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93.6</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6.2</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Drinking Water Access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99.3</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0.3</w:t>
            </w:r>
          </w:p>
        </w:tc>
      </w:tr>
    </w:tbl>
    <w:p>
      <w:pPr>
        <w:spacing w:after="60" w:before="60"/>
      </w:pPr>
      <w:r>
        <w:t xml:space="preserve"/>
      </w:r>
    </w:p>
    <w:p>
      <w:pPr>
        <w:jc w:val="center"/>
      </w:pPr>
      <w:r>
        <w:rPr>
          <w:rFonts w:ascii="Arial" w:cs="Arial" w:eastAsia="Arial" w:hAnsi="Arial"/>
          <w:i/>
          <w:iCs/>
          <w:color w:val="555555"/>
          <w:sz w:val="20"/>
          <w:szCs w:val="20"/>
        </w:rPr>
        <w:t xml:space="preserve">Table II: Infrastructure Gap Analysis — India vs Global Benchmark</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4.3 School-Type Comparison</w:t>
      </w:r>
    </w:p>
    <w:p>
      <w:pPr>
        <w:spacing w:after="80" w:before="80"/>
        <w:jc w:val="both"/>
      </w:pPr>
      <w:r>
        <w:rPr>
          <w:rFonts w:ascii="Arial" w:cs="Arial" w:eastAsia="Arial" w:hAnsi="Arial"/>
          <w:sz w:val="22"/>
          <w:szCs w:val="22"/>
        </w:rPr>
        <w:t xml:space="preserve">When disaggregated by management type, a clear inversion pattern emerges: private unaided schools outperform government schools on digital and learning infrastructure (computers, internet, library), while government schools lead on inclusion-oriented infrastructure (CWSN ramps, solar panels, handwash facilities). This inversion suggests that government infrastructure investment has historically been directed towards compliance-oriented indicators rather than learning environment improvement.</w:t>
      </w:r>
    </w:p>
    <w:p>
      <w:r>
        <w:br w:type="page"/>
      </w:r>
    </w:p>
    <w:p>
      <w:pPr>
        <w:pStyle w:val="Heading1"/>
        <w:pBdr>
          <w:bottom w:val="single" w:color="1F4E79" w:sz="6" w:space="1"/>
        </w:pBdr>
        <w:spacing w:after="160" w:before="320"/>
      </w:pPr>
      <w:r>
        <w:rPr>
          <w:rFonts w:ascii="Arial" w:cs="Arial" w:eastAsia="Arial" w:hAnsi="Arial"/>
          <w:b/>
          <w:bCs/>
          <w:color w:val="1F4E79"/>
          <w:sz w:val="28"/>
          <w:szCs w:val="28"/>
        </w:rPr>
        <w:t xml:space="preserve">5. PREDICTIVE MODEL RESULTS</w:t>
      </w:r>
    </w:p>
    <w:p>
      <w:pPr>
        <w:pStyle w:val="Heading2"/>
        <w:spacing w:after="120" w:before="240"/>
      </w:pPr>
      <w:r>
        <w:rPr>
          <w:rFonts w:ascii="Arial" w:cs="Arial" w:eastAsia="Arial" w:hAnsi="Arial"/>
          <w:b/>
          <w:bCs/>
          <w:color w:val="2E75B6"/>
          <w:sz w:val="24"/>
          <w:szCs w:val="24"/>
        </w:rPr>
        <w:t xml:space="preserve">5.1 Regression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1560"/>
        <w:gridCol w:w="3640"/>
      </w:tblGrid>
      <w:tr>
        <w:trPr>
          <w:tblHeader/>
        </w:trPr>
        <w:tc>
          <w:tcPr>
            <w:tcW w:type="dxa" w:w="260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156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R² Score</w:t>
            </w:r>
          </w:p>
        </w:tc>
        <w:tc>
          <w:tcPr>
            <w:tcW w:type="dxa" w:w="156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MAE</w:t>
            </w:r>
          </w:p>
        </w:tc>
        <w:tc>
          <w:tcPr>
            <w:tcW w:type="dxa" w:w="364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26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Linear Regression</w:t>
            </w:r>
          </w:p>
        </w:tc>
        <w:tc>
          <w:tcPr>
            <w:tcW w:type="dxa" w:w="15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0.893</w:t>
            </w:r>
          </w:p>
        </w:tc>
        <w:tc>
          <w:tcPr>
            <w:tcW w:type="dxa" w:w="15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1.109</w:t>
            </w:r>
          </w:p>
        </w:tc>
        <w:tc>
          <w:tcPr>
            <w:tcW w:type="dxa" w:w="36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Strong linear relationship between gaps and dropout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Random Forest</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0.821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1.464</w:t>
            </w:r>
          </w:p>
        </w:tc>
        <w:tc>
          <w:tcPr>
            <w:tcW w:type="dxa" w:w="36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Non-linear patterns, slight overfit on small dataset</w:t>
            </w:r>
          </w:p>
        </w:tc>
      </w:tr>
    </w:tbl>
    <w:p>
      <w:pPr>
        <w:spacing w:after="60" w:before="60"/>
      </w:pPr>
      <w:r>
        <w:t xml:space="preserve"/>
      </w:r>
    </w:p>
    <w:p>
      <w:pPr>
        <w:jc w:val="center"/>
      </w:pPr>
      <w:r>
        <w:rPr>
          <w:rFonts w:ascii="Arial" w:cs="Arial" w:eastAsia="Arial" w:hAnsi="Arial"/>
          <w:i/>
          <w:iCs/>
          <w:color w:val="555555"/>
          <w:sz w:val="20"/>
          <w:szCs w:val="20"/>
        </w:rPr>
        <w:t xml:space="preserve">Table: Regression Model Performance Comparison</w:t>
      </w:r>
    </w:p>
    <w:p>
      <w:pPr>
        <w:spacing w:after="60" w:before="60"/>
      </w:pPr>
      <w:r>
        <w:t xml:space="preserve"/>
      </w:r>
    </w:p>
    <w:p>
      <w:pPr>
        <w:spacing w:after="80" w:before="80"/>
        <w:jc w:val="both"/>
      </w:pPr>
      <w:r>
        <w:rPr>
          <w:rFonts w:ascii="Arial" w:cs="Arial" w:eastAsia="Arial" w:hAnsi="Arial"/>
          <w:sz w:val="22"/>
          <w:szCs w:val="22"/>
        </w:rPr>
        <w:t xml:space="preserve">The Linear Regression model's higher R² (0.893) relative to Random Forest (0.821) implies a predominantly linear relationship — infrastructure improvements translate proportionally to dropout reductions. The R² = 0.893 finding is highly significant: 89.3% of the variation in state-level secondary dropout rates is explained by infrastructure gap scores alone, without incorporating any socioeconomic variables.</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5.2 Feature Importance — Key Predictors</w:t>
      </w:r>
    </w:p>
    <w:p>
      <w:pPr>
        <w:spacing w:after="80" w:before="80"/>
        <w:jc w:val="both"/>
      </w:pPr>
      <w:r>
        <w:rPr>
          <w:rFonts w:ascii="Arial" w:cs="Arial" w:eastAsia="Arial" w:hAnsi="Arial"/>
          <w:sz w:val="22"/>
          <w:szCs w:val="22"/>
        </w:rPr>
        <w:t xml:space="preserve">The Random Forest feature importance analysis reveals which infrastructure gaps are the strongest predictors of secondary dropout rates:</w:t>
      </w:r>
    </w:p>
    <w:p>
      <w:pPr>
        <w:pStyle w:val="ListParagraph"/>
        <w:numPr>
          <w:ilvl w:val="0"/>
          <w:numId w:val="3"/>
        </w:numPr>
        <w:spacing w:after="40" w:before="40"/>
      </w:pPr>
      <w:r>
        <w:rPr>
          <w:rFonts w:ascii="Arial" w:cs="Arial" w:eastAsia="Arial" w:hAnsi="Arial"/>
          <w:sz w:val="22"/>
          <w:szCs w:val="22"/>
        </w:rPr>
        <w:t xml:space="preserve">Co-curricular Room Gap — strongest predictor</w:t>
      </w:r>
    </w:p>
    <w:p>
      <w:pPr>
        <w:pStyle w:val="ListParagraph"/>
        <w:numPr>
          <w:ilvl w:val="0"/>
          <w:numId w:val="3"/>
        </w:numPr>
        <w:spacing w:after="40" w:before="40"/>
      </w:pPr>
      <w:r>
        <w:rPr>
          <w:rFonts w:ascii="Arial" w:cs="Arial" w:eastAsia="Arial" w:hAnsi="Arial"/>
          <w:sz w:val="22"/>
          <w:szCs w:val="22"/>
        </w:rPr>
        <w:t xml:space="preserve">Internet Access Gap</w:t>
      </w:r>
    </w:p>
    <w:p>
      <w:pPr>
        <w:pStyle w:val="ListParagraph"/>
        <w:numPr>
          <w:ilvl w:val="0"/>
          <w:numId w:val="3"/>
        </w:numPr>
        <w:spacing w:after="40" w:before="40"/>
      </w:pPr>
      <w:r>
        <w:rPr>
          <w:rFonts w:ascii="Arial" w:cs="Arial" w:eastAsia="Arial" w:hAnsi="Arial"/>
          <w:sz w:val="22"/>
          <w:szCs w:val="22"/>
        </w:rPr>
        <w:t xml:space="preserve">Solar Panel Gap</w:t>
      </w:r>
    </w:p>
    <w:p>
      <w:pPr>
        <w:pStyle w:val="ListParagraph"/>
        <w:numPr>
          <w:ilvl w:val="0"/>
          <w:numId w:val="3"/>
        </w:numPr>
        <w:spacing w:after="40" w:before="40"/>
      </w:pPr>
      <w:r>
        <w:rPr>
          <w:rFonts w:ascii="Arial" w:cs="Arial" w:eastAsia="Arial" w:hAnsi="Arial"/>
          <w:sz w:val="22"/>
          <w:szCs w:val="22"/>
        </w:rPr>
        <w:t xml:space="preserve">Science Lab Gap</w:t>
      </w:r>
    </w:p>
    <w:p>
      <w:pPr>
        <w:pStyle w:val="ListParagraph"/>
        <w:numPr>
          <w:ilvl w:val="0"/>
          <w:numId w:val="3"/>
        </w:numPr>
        <w:spacing w:after="40" w:before="40"/>
      </w:pPr>
      <w:r>
        <w:rPr>
          <w:rFonts w:ascii="Arial" w:cs="Arial" w:eastAsia="Arial" w:hAnsi="Arial"/>
          <w:sz w:val="22"/>
          <w:szCs w:val="22"/>
        </w:rPr>
        <w:t xml:space="preserve">Boys Toilet Access Gap</w:t>
      </w:r>
    </w:p>
    <w:p>
      <w:pPr>
        <w:spacing w:after="60" w:before="60"/>
      </w:pPr>
      <w:r>
        <w:t xml:space="preserve"/>
      </w:r>
    </w:p>
    <w:p>
      <w:pPr>
        <w:spacing w:after="80" w:before="80"/>
        <w:jc w:val="both"/>
      </w:pPr>
      <w:r>
        <w:rPr>
          <w:rFonts w:ascii="Arial" w:cs="Arial" w:eastAsia="Arial" w:hAnsi="Arial"/>
          <w:sz w:val="22"/>
          <w:szCs w:val="22"/>
        </w:rPr>
        <w:t xml:space="preserve">This is a counter-intuitive but policy-critical finding: the infrastructure indicators most strongly linked to dropout are learning environment gaps (co-curricular facilities, digital connectivity, science labs), not sanitation indicators. India's historical infrastructure investment emphasis on sanitation is therefore misaligned with the factors most directly driving student attrition.</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5.3 Notable Outliers</w:t>
      </w:r>
    </w:p>
    <w:p>
      <w:pPr>
        <w:spacing w:after="80" w:before="80"/>
        <w:jc w:val="both"/>
      </w:pPr>
      <w:r>
        <w:rPr>
          <w:rFonts w:ascii="Arial" w:cs="Arial" w:eastAsia="Arial" w:hAnsi="Arial"/>
          <w:sz w:val="22"/>
          <w:szCs w:val="22"/>
        </w:rPr>
        <w:t xml:space="preserve">West Bengal shows the largest prediction error (actual: 20.3%, predicted: 15.6%), suggesting factors beyond physical infrastructure — possibly socioeconomic or socio-cultural — are significantly driving dropout in that state. Jharkhand presents the inverse pattern: high infrastructure gaps but abnormally low actual dropout rates, potentially indicative of strong community engagement programs. These outliers represent productive directions for follow-on qualitative research.</w:t>
      </w:r>
    </w:p>
    <w:p>
      <w:r>
        <w:br w:type="page"/>
      </w:r>
    </w:p>
    <w:p>
      <w:pPr>
        <w:pStyle w:val="Heading1"/>
        <w:pBdr>
          <w:bottom w:val="single" w:color="1F4E79" w:sz="6" w:space="1"/>
        </w:pBdr>
        <w:spacing w:after="160" w:before="320"/>
      </w:pPr>
      <w:r>
        <w:rPr>
          <w:rFonts w:ascii="Arial" w:cs="Arial" w:eastAsia="Arial" w:hAnsi="Arial"/>
          <w:b/>
          <w:bCs/>
          <w:color w:val="1F4E79"/>
          <w:sz w:val="28"/>
          <w:szCs w:val="28"/>
        </w:rPr>
        <w:t xml:space="preserve">6. STATE INFRASTRUCTURE TIERS (K-MEANS CLUSTERING)</w:t>
      </w:r>
    </w:p>
    <w:p>
      <w:pPr>
        <w:spacing w:after="80" w:before="80"/>
        <w:jc w:val="both"/>
      </w:pPr>
      <w:r>
        <w:rPr>
          <w:rFonts w:ascii="Arial" w:cs="Arial" w:eastAsia="Arial" w:hAnsi="Arial"/>
          <w:sz w:val="22"/>
          <w:szCs w:val="22"/>
        </w:rPr>
        <w:t xml:space="preserve">K-means clustering (k=4) identifies four infrastructure tiers across India's 36 states and union territories. PCA visualization explains 69.7% of variance (PC1: 56.7%, PC2: 13.0%).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400"/>
        <w:gridCol w:w="1800"/>
        <w:gridCol w:w="3300"/>
      </w:tblGrid>
      <w:tr>
        <w:trPr>
          <w:tblHeader/>
        </w:trPr>
        <w:tc>
          <w:tcPr>
            <w:tcW w:type="dxa" w:w="156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w:t>
            </w:r>
          </w:p>
        </w:tc>
        <w:tc>
          <w:tcPr>
            <w:tcW w:type="dxa" w:w="130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 of States</w:t>
            </w:r>
          </w:p>
        </w:tc>
        <w:tc>
          <w:tcPr>
            <w:tcW w:type="dxa" w:w="140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Avg Gap Score</w:t>
            </w:r>
          </w:p>
        </w:tc>
        <w:tc>
          <w:tcPr>
            <w:tcW w:type="dxa" w:w="180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Avg Cost (₹ Cr)</w:t>
            </w:r>
          </w:p>
        </w:tc>
        <w:tc>
          <w:tcPr>
            <w:tcW w:type="dxa" w:w="330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Representative States</w:t>
            </w:r>
          </w:p>
        </w:tc>
      </w:tr>
      <w:tr>
        <w:tc>
          <w:tcPr>
            <w:tcW w:type="dxa" w:w="15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Critical</w:t>
            </w:r>
          </w:p>
        </w:tc>
        <w:tc>
          <w:tcPr>
            <w:tcW w:type="dxa" w:w="1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49.2</w:t>
            </w:r>
          </w:p>
        </w:tc>
        <w:tc>
          <w:tcPr>
            <w:tcW w:type="dxa" w:w="18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6,598</w:t>
            </w:r>
          </w:p>
        </w:tc>
        <w:tc>
          <w:tcPr>
            <w:tcW w:type="dxa" w:w="3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Meghalaya</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Developing</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32.6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1,283</w:t>
            </w:r>
          </w:p>
        </w:tc>
        <w:tc>
          <w:tcPr>
            <w:tcW w:type="dxa" w:w="3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Arunachal Pradesh, Manipur, Mizoram, Nagaland, Tripura</w:t>
            </w:r>
          </w:p>
        </w:tc>
      </w:tr>
      <w:tr>
        <w:tc>
          <w:tcPr>
            <w:tcW w:type="dxa" w:w="15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Moderate</w:t>
            </w:r>
          </w:p>
        </w:tc>
        <w:tc>
          <w:tcPr>
            <w:tcW w:type="dxa" w:w="1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16</w:t>
            </w:r>
          </w:p>
        </w:tc>
        <w:tc>
          <w:tcPr>
            <w:tcW w:type="dxa" w:w="1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20.9</w:t>
            </w:r>
          </w:p>
        </w:tc>
        <w:tc>
          <w:tcPr>
            <w:tcW w:type="dxa" w:w="18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19,038</w:t>
            </w:r>
          </w:p>
        </w:tc>
        <w:tc>
          <w:tcPr>
            <w:tcW w:type="dxa" w:w="33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Uttar Pradesh, Bihar, Rajasthan, MP, West Bengal, Karnataka</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Advanced</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8.7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4,287</w:t>
            </w:r>
          </w:p>
        </w:tc>
        <w:tc>
          <w:tcPr>
            <w:tcW w:type="dxa" w:w="3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Delhi, Kerala, Tamil Nadu, Maharashtra, Punjab</w:t>
            </w:r>
          </w:p>
        </w:tc>
      </w:tr>
    </w:tbl>
    <w:p>
      <w:pPr>
        <w:spacing w:after="60" w:before="60"/>
      </w:pPr>
      <w:r>
        <w:t xml:space="preserve"/>
      </w:r>
    </w:p>
    <w:p>
      <w:pPr>
        <w:jc w:val="center"/>
      </w:pPr>
      <w:r>
        <w:rPr>
          <w:rFonts w:ascii="Arial" w:cs="Arial" w:eastAsia="Arial" w:hAnsi="Arial"/>
          <w:i/>
          <w:iCs/>
          <w:color w:val="555555"/>
          <w:sz w:val="20"/>
          <w:szCs w:val="20"/>
        </w:rPr>
        <w:t xml:space="preserve">Table III: K-means Clustering Results — State Infrastructure Tiers</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6.1 Tier-wise Analysis</w:t>
      </w:r>
    </w:p>
    <w:p>
      <w:pPr>
        <w:spacing w:after="80" w:before="160"/>
      </w:pPr>
      <w:r>
        <w:rPr>
          <w:rFonts w:ascii="Arial" w:cs="Arial" w:eastAsia="Arial" w:hAnsi="Arial"/>
          <w:b/>
          <w:bCs/>
          <w:color w:val="2F5496"/>
          <w:sz w:val="22"/>
          <w:szCs w:val="22"/>
        </w:rPr>
        <w:t xml:space="preserve">Critical Tier — Meghalaya</w:t>
      </w:r>
    </w:p>
    <w:p>
      <w:pPr>
        <w:spacing w:after="80" w:before="80"/>
        <w:jc w:val="both"/>
      </w:pPr>
      <w:r>
        <w:rPr>
          <w:rFonts w:ascii="Arial" w:cs="Arial" w:eastAsia="Arial" w:hAnsi="Arial"/>
          <w:sz w:val="22"/>
          <w:szCs w:val="22"/>
        </w:rPr>
        <w:t xml:space="preserve">Meghalaya stands alone as a statistical outlier with the highest gap score (49.2) despite a moderate dropout rate (11.1%). Key deficiencies include computer facility availability (5.2%), internet access (7.1%), and co-curricular room availability (3.4%). This tier demands emergency intervention with a specialized digital infrastructure program.</w:t>
      </w:r>
    </w:p>
    <w:p>
      <w:pPr>
        <w:spacing w:after="80" w:before="160"/>
      </w:pPr>
      <w:r>
        <w:rPr>
          <w:rFonts w:ascii="Arial" w:cs="Arial" w:eastAsia="Arial" w:hAnsi="Arial"/>
          <w:b/>
          <w:bCs/>
          <w:color w:val="2F5496"/>
          <w:sz w:val="22"/>
          <w:szCs w:val="22"/>
        </w:rPr>
        <w:t xml:space="preserve">Developing Tier — Northeastern States</w:t>
      </w:r>
    </w:p>
    <w:p>
      <w:pPr>
        <w:spacing w:after="80" w:before="80"/>
        <w:jc w:val="both"/>
      </w:pPr>
      <w:r>
        <w:rPr>
          <w:rFonts w:ascii="Arial" w:cs="Arial" w:eastAsia="Arial" w:hAnsi="Arial"/>
          <w:sz w:val="22"/>
          <w:szCs w:val="22"/>
        </w:rPr>
        <w:t xml:space="preserve">Five northeastern states share high gap scores (average 32.6) but relatively moderate absolute investment requirements (average ₹1,283 Crore per state). Their geographic remoteness and small school populations make them high-impact, cost-efficient intervention targets for specialized programs.</w:t>
      </w:r>
    </w:p>
    <w:p>
      <w:pPr>
        <w:spacing w:after="80" w:before="160"/>
      </w:pPr>
      <w:r>
        <w:rPr>
          <w:rFonts w:ascii="Arial" w:cs="Arial" w:eastAsia="Arial" w:hAnsi="Arial"/>
          <w:b/>
          <w:bCs/>
          <w:color w:val="2F5496"/>
          <w:sz w:val="22"/>
          <w:szCs w:val="22"/>
        </w:rPr>
        <w:t xml:space="preserve">Moderate Tier — Mainstream States</w:t>
      </w:r>
    </w:p>
    <w:p>
      <w:pPr>
        <w:spacing w:after="80" w:before="80"/>
        <w:jc w:val="both"/>
      </w:pPr>
      <w:r>
        <w:rPr>
          <w:rFonts w:ascii="Arial" w:cs="Arial" w:eastAsia="Arial" w:hAnsi="Arial"/>
          <w:sz w:val="22"/>
          <w:szCs w:val="22"/>
        </w:rPr>
        <w:t xml:space="preserve">The 16 Moderate-tier states — including India's most populous states — account for ₹3,04,607 Crore (82%) of total national investment requirements. This tier demands the bulk of policy attention and budget allocation. Uttar Pradesh alone requires ₹71,509 Crore, the highest of any state.</w:t>
      </w:r>
    </w:p>
    <w:p>
      <w:pPr>
        <w:spacing w:after="80" w:before="160"/>
      </w:pPr>
      <w:r>
        <w:rPr>
          <w:rFonts w:ascii="Arial" w:cs="Arial" w:eastAsia="Arial" w:hAnsi="Arial"/>
          <w:b/>
          <w:bCs/>
          <w:color w:val="2F5496"/>
          <w:sz w:val="22"/>
          <w:szCs w:val="22"/>
        </w:rPr>
        <w:t xml:space="preserve">Advanced Tier — High Performers</w:t>
      </w:r>
    </w:p>
    <w:p>
      <w:pPr>
        <w:spacing w:after="80" w:before="80"/>
        <w:jc w:val="both"/>
      </w:pPr>
      <w:r>
        <w:rPr>
          <w:rFonts w:ascii="Arial" w:cs="Arial" w:eastAsia="Arial" w:hAnsi="Arial"/>
          <w:sz w:val="22"/>
          <w:szCs w:val="22"/>
        </w:rPr>
        <w:t xml:space="preserve">Advanced-tier states (average gap: 8.7, average dropout: 5.8%) demonstrate that near-global standards are achievable within the Indian system. States such as Kerala, Tamil Nadu, and Delhi can serve as models for national policy design.</w:t>
      </w:r>
    </w:p>
    <w:p>
      <w:r>
        <w:br w:type="page"/>
      </w:r>
    </w:p>
    <w:p>
      <w:pPr>
        <w:pStyle w:val="Heading1"/>
        <w:pBdr>
          <w:bottom w:val="single" w:color="1F4E79" w:sz="6" w:space="1"/>
        </w:pBdr>
        <w:spacing w:after="160" w:before="320"/>
      </w:pPr>
      <w:r>
        <w:rPr>
          <w:rFonts w:ascii="Arial" w:cs="Arial" w:eastAsia="Arial" w:hAnsi="Arial"/>
          <w:b/>
          <w:bCs/>
          <w:color w:val="1F4E79"/>
          <w:sz w:val="28"/>
          <w:szCs w:val="28"/>
        </w:rPr>
        <w:t xml:space="preserve">7. ECONOMIC COST ESTIMATION</w:t>
      </w:r>
    </w:p>
    <w:p>
      <w:pPr>
        <w:pStyle w:val="Heading2"/>
        <w:spacing w:after="120" w:before="240"/>
      </w:pPr>
      <w:r>
        <w:rPr>
          <w:rFonts w:ascii="Arial" w:cs="Arial" w:eastAsia="Arial" w:hAnsi="Arial"/>
          <w:b/>
          <w:bCs/>
          <w:color w:val="2E75B6"/>
          <w:sz w:val="24"/>
          <w:szCs w:val="24"/>
        </w:rPr>
        <w:t xml:space="preserve">7.1 National Investment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700"/>
        <w:gridCol w:w="1980"/>
      </w:tblGrid>
      <w:tr>
        <w:trPr>
          <w:tblHeader/>
        </w:trPr>
        <w:tc>
          <w:tcPr>
            <w:tcW w:type="dxa" w:w="468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Infrastructure Indicator</w:t>
            </w:r>
          </w:p>
        </w:tc>
        <w:tc>
          <w:tcPr>
            <w:tcW w:type="dxa" w:w="270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National Cost (₹ Crore)</w:t>
            </w:r>
          </w:p>
        </w:tc>
        <w:tc>
          <w:tcPr>
            <w:tcW w:type="dxa" w:w="198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of Total</w:t>
            </w:r>
          </w:p>
        </w:tc>
      </w:tr>
      <w:tr>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Co-curricular Room</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1,12,465</w:t>
            </w:r>
          </w:p>
        </w:tc>
        <w:tc>
          <w:tcPr>
            <w:tcW w:type="dxa" w:w="19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30.2%</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Science Laboratory</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90,902</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24.4%</w:t>
            </w:r>
          </w:p>
        </w:tc>
      </w:tr>
      <w:tr>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Computer Facility</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36,463</w:t>
            </w:r>
          </w:p>
        </w:tc>
        <w:tc>
          <w:tcPr>
            <w:tcW w:type="dxa" w:w="19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9.8%</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CWSN Toilet</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27,749</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7.5%</w:t>
            </w:r>
          </w:p>
        </w:tc>
      </w:tr>
      <w:tr>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Solar Panel</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23,661</w:t>
            </w:r>
          </w:p>
        </w:tc>
        <w:tc>
          <w:tcPr>
            <w:tcW w:type="dxa" w:w="19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6.4%</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Functional Computer</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21,249</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5.7%</w:t>
            </w:r>
          </w:p>
        </w:tc>
      </w:tr>
      <w:tr>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Functional CWSN Toilet</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15,912</w:t>
            </w:r>
          </w:p>
        </w:tc>
        <w:tc>
          <w:tcPr>
            <w:tcW w:type="dxa" w:w="19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4.3%</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Rainwater Harvesting</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11,009</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3.0%</w:t>
            </w:r>
          </w:p>
        </w:tc>
      </w:tr>
      <w:tr>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Internet Access</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9,410</w:t>
            </w:r>
          </w:p>
        </w:tc>
        <w:tc>
          <w:tcPr>
            <w:tcW w:type="dxa" w:w="19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2.5%</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All Other Indicators</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23,321</w:t>
            </w:r>
          </w:p>
        </w:tc>
        <w:tc>
          <w:tcPr>
            <w:tcW w:type="dxa" w:w="19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6.3%</w:t>
            </w:r>
          </w:p>
        </w:tc>
      </w:tr>
      <w:tr>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TOTAL</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3,72,141</w:t>
            </w:r>
          </w:p>
        </w:tc>
        <w:tc>
          <w:tcPr>
            <w:tcW w:type="dxa" w:w="19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w:t>
            </w:r>
          </w:p>
        </w:tc>
      </w:tr>
    </w:tbl>
    <w:p>
      <w:pPr>
        <w:spacing w:after="60" w:before="60"/>
      </w:pPr>
      <w:r>
        <w:t xml:space="preserve"/>
      </w:r>
    </w:p>
    <w:p>
      <w:pPr>
        <w:jc w:val="center"/>
      </w:pPr>
      <w:r>
        <w:rPr>
          <w:rFonts w:ascii="Arial" w:cs="Arial" w:eastAsia="Arial" w:hAnsi="Arial"/>
          <w:i/>
          <w:iCs/>
          <w:color w:val="555555"/>
          <w:sz w:val="20"/>
          <w:szCs w:val="20"/>
        </w:rPr>
        <w:t xml:space="preserve">Table IV: National Investment Required to Close Infrastructure Gaps (₹ Crore)</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7.2 Key Cost Findings</w:t>
      </w:r>
    </w:p>
    <w:p>
      <w:pPr>
        <w:spacing w:after="80" w:before="80"/>
        <w:jc w:val="both"/>
      </w:pPr>
      <w:r>
        <w:rPr>
          <w:rFonts w:ascii="Arial" w:cs="Arial" w:eastAsia="Arial" w:hAnsi="Arial"/>
          <w:sz w:val="22"/>
          <w:szCs w:val="22"/>
        </w:rPr>
        <w:t xml:space="preserve">The aggregate estimated investment of ₹3,72,141 Crore (approximately USD 44.7 billion) represents roughly 2.5 years of India's total education budget if channeled entirely to infrastructure. Key insights include:</w:t>
      </w:r>
    </w:p>
    <w:p>
      <w:pPr>
        <w:pStyle w:val="ListParagraph"/>
        <w:numPr>
          <w:ilvl w:val="0"/>
          <w:numId w:val="2"/>
        </w:numPr>
        <w:spacing w:after="40" w:before="40"/>
      </w:pPr>
      <w:r>
        <w:rPr>
          <w:rFonts w:ascii="Arial" w:cs="Arial" w:eastAsia="Arial" w:hAnsi="Arial"/>
          <w:sz w:val="22"/>
          <w:szCs w:val="22"/>
        </w:rPr>
        <w:t xml:space="preserve">Science laboratories and co-curricular rooms together require ₹2,03,367 Crore (54.6% of total) — and these are also the indicators most directly linked to dropout reduction, creating a strong cost-benefit case for their prioritization.</w:t>
      </w:r>
    </w:p>
    <w:p>
      <w:pPr>
        <w:pStyle w:val="ListParagraph"/>
        <w:numPr>
          <w:ilvl w:val="0"/>
          <w:numId w:val="2"/>
        </w:numPr>
        <w:spacing w:after="40" w:before="40"/>
      </w:pPr>
      <w:r>
        <w:rPr>
          <w:rFonts w:ascii="Arial" w:cs="Arial" w:eastAsia="Arial" w:hAnsi="Arial"/>
          <w:sz w:val="22"/>
          <w:szCs w:val="22"/>
        </w:rPr>
        <w:t xml:space="preserve">Uttar Pradesh alone requires ₹71,509 Crore — driven by its school population of 2,62,358 schools.</w:t>
      </w:r>
    </w:p>
    <w:p>
      <w:pPr>
        <w:pStyle w:val="ListParagraph"/>
        <w:numPr>
          <w:ilvl w:val="0"/>
          <w:numId w:val="2"/>
        </w:numPr>
        <w:spacing w:after="40" w:before="40"/>
      </w:pPr>
      <w:r>
        <w:rPr>
          <w:rFonts w:ascii="Arial" w:cs="Arial" w:eastAsia="Arial" w:hAnsi="Arial"/>
          <w:sz w:val="22"/>
          <w:szCs w:val="22"/>
        </w:rPr>
        <w:t xml:space="preserve">The top 5 states account for 55.5% of the national investment requirement.</w:t>
      </w:r>
    </w:p>
    <w:p>
      <w:pPr>
        <w:pStyle w:val="ListParagraph"/>
        <w:numPr>
          <w:ilvl w:val="0"/>
          <w:numId w:val="2"/>
        </w:numPr>
        <w:spacing w:after="40" w:before="40"/>
      </w:pPr>
      <w:r>
        <w:rPr>
          <w:rFonts w:ascii="Arial" w:cs="Arial" w:eastAsia="Arial" w:hAnsi="Arial"/>
          <w:sz w:val="22"/>
          <w:szCs w:val="22"/>
        </w:rPr>
        <w:t xml:space="preserve">Northeastern Developing-tier states have higher per-school unit costs due to geographic remoteness, necessitating differentiated investment strategies rather than uniform national schemes.</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7.3 Investment Priority Framework</w:t>
      </w:r>
    </w:p>
    <w:p>
      <w:pPr>
        <w:spacing w:after="80" w:before="80"/>
        <w:jc w:val="both"/>
      </w:pPr>
      <w:r>
        <w:rPr>
          <w:rFonts w:ascii="Arial" w:cs="Arial" w:eastAsia="Arial" w:hAnsi="Arial"/>
          <w:sz w:val="22"/>
          <w:szCs w:val="22"/>
        </w:rPr>
        <w:t xml:space="preserve">Given finite budget constraints, a phased investment priority framework is recommended:</w:t>
      </w:r>
    </w:p>
    <w:p>
      <w:pPr>
        <w:pStyle w:val="ListParagraph"/>
        <w:numPr>
          <w:ilvl w:val="0"/>
          <w:numId w:val="3"/>
        </w:numPr>
        <w:spacing w:after="40" w:before="40"/>
      </w:pPr>
      <w:r>
        <w:rPr>
          <w:rFonts w:ascii="Arial" w:cs="Arial" w:eastAsia="Arial" w:hAnsi="Arial"/>
          <w:sz w:val="22"/>
          <w:szCs w:val="22"/>
        </w:rPr>
        <w:t xml:space="preserve">Phase 1 (0-2 years): Internet connectivity and functional computers across Moderate and Developing tier states — highest dropout impact, lower unit cost.</w:t>
      </w:r>
    </w:p>
    <w:p>
      <w:pPr>
        <w:pStyle w:val="ListParagraph"/>
        <w:numPr>
          <w:ilvl w:val="0"/>
          <w:numId w:val="3"/>
        </w:numPr>
        <w:spacing w:after="40" w:before="40"/>
      </w:pPr>
      <w:r>
        <w:rPr>
          <w:rFonts w:ascii="Arial" w:cs="Arial" w:eastAsia="Arial" w:hAnsi="Arial"/>
          <w:sz w:val="22"/>
          <w:szCs w:val="22"/>
        </w:rPr>
        <w:t xml:space="preserve">Phase 2 (2-5 years): Science laboratory construction across all tiers — high dropout impact, medium unit cost.</w:t>
      </w:r>
    </w:p>
    <w:p>
      <w:pPr>
        <w:pStyle w:val="ListParagraph"/>
        <w:numPr>
          <w:ilvl w:val="0"/>
          <w:numId w:val="3"/>
        </w:numPr>
        <w:spacing w:after="40" w:before="40"/>
      </w:pPr>
      <w:r>
        <w:rPr>
          <w:rFonts w:ascii="Arial" w:cs="Arial" w:eastAsia="Arial" w:hAnsi="Arial"/>
          <w:sz w:val="22"/>
          <w:szCs w:val="22"/>
        </w:rPr>
        <w:t xml:space="preserve">Phase 3 (5-7 years): Co-curricular facility construction — highest dropout impact and cost; requires sustained, multi-year budget commitment.</w:t>
      </w:r>
    </w:p>
    <w:p>
      <w:r>
        <w:br w:type="page"/>
      </w:r>
    </w:p>
    <w:p>
      <w:pPr>
        <w:pStyle w:val="Heading1"/>
        <w:pBdr>
          <w:bottom w:val="single" w:color="1F4E79" w:sz="6" w:space="1"/>
        </w:pBdr>
        <w:spacing w:after="160" w:before="320"/>
      </w:pPr>
      <w:r>
        <w:rPr>
          <w:rFonts w:ascii="Arial" w:cs="Arial" w:eastAsia="Arial" w:hAnsi="Arial"/>
          <w:b/>
          <w:bCs/>
          <w:color w:val="1F4E79"/>
          <w:sz w:val="28"/>
          <w:szCs w:val="28"/>
        </w:rPr>
        <w:t xml:space="preserve">8. DISCUSSION</w:t>
      </w:r>
    </w:p>
    <w:p>
      <w:pPr>
        <w:pStyle w:val="Heading2"/>
        <w:spacing w:after="120" w:before="240"/>
      </w:pPr>
      <w:r>
        <w:rPr>
          <w:rFonts w:ascii="Arial" w:cs="Arial" w:eastAsia="Arial" w:hAnsi="Arial"/>
          <w:b/>
          <w:bCs/>
          <w:color w:val="2E75B6"/>
          <w:sz w:val="24"/>
          <w:szCs w:val="24"/>
        </w:rPr>
        <w:t xml:space="preserve">8.1 Key Policy Insights</w:t>
      </w:r>
    </w:p>
    <w:p>
      <w:pPr>
        <w:spacing w:after="80" w:before="80"/>
        <w:jc w:val="both"/>
      </w:pPr>
      <w:r>
        <w:rPr>
          <w:rFonts w:ascii="Arial" w:cs="Arial" w:eastAsia="Arial" w:hAnsi="Arial"/>
          <w:sz w:val="22"/>
          <w:szCs w:val="22"/>
        </w:rPr>
        <w:t xml:space="preserve">This research surfaces four findings of immediate relevance to education policymakers:</w:t>
      </w:r>
    </w:p>
    <w:p>
      <w:pPr>
        <w:spacing w:after="60" w:before="60"/>
      </w:pPr>
      <w:r>
        <w:t xml:space="preserve"/>
      </w:r>
    </w:p>
    <w:p>
      <w:pPr>
        <w:spacing w:after="80" w:before="160"/>
      </w:pPr>
      <w:r>
        <w:rPr>
          <w:rFonts w:ascii="Arial" w:cs="Arial" w:eastAsia="Arial" w:hAnsi="Arial"/>
          <w:b/>
          <w:bCs/>
          <w:color w:val="2F5496"/>
          <w:sz w:val="22"/>
          <w:szCs w:val="22"/>
        </w:rPr>
        <w:t xml:space="preserve">Finding 1: Sanitation Success</w:t>
      </w:r>
    </w:p>
    <w:p>
      <w:pPr>
        <w:spacing w:after="80" w:before="80"/>
        <w:jc w:val="both"/>
      </w:pPr>
      <w:r>
        <w:rPr>
          <w:rFonts w:ascii="Arial" w:cs="Arial" w:eastAsia="Arial" w:hAnsi="Arial"/>
          <w:sz w:val="22"/>
          <w:szCs w:val="22"/>
        </w:rPr>
        <w:t xml:space="preserve">India has largely achieved or is approaching global standards in basic sanitation infrastructure — toilets, drinking water, and handwash facilities. Programs such as the Swachh Bharat Mission and the Kasturba Gandhi Balika Vidyalaya scheme deserve credit for this progress. Continued investment in these areas carries diminishing returns for dropout reduction.</w:t>
      </w:r>
    </w:p>
    <w:p>
      <w:pPr>
        <w:spacing w:after="60" w:before="60"/>
      </w:pPr>
      <w:r>
        <w:t xml:space="preserve"/>
      </w:r>
    </w:p>
    <w:p>
      <w:pPr>
        <w:spacing w:after="80" w:before="160"/>
      </w:pPr>
      <w:r>
        <w:rPr>
          <w:rFonts w:ascii="Arial" w:cs="Arial" w:eastAsia="Arial" w:hAnsi="Arial"/>
          <w:b/>
          <w:bCs/>
          <w:color w:val="2F5496"/>
          <w:sz w:val="22"/>
          <w:szCs w:val="22"/>
        </w:rPr>
        <w:t xml:space="preserve">Finding 2: Learning Environment Gap — The Silent Driver</w:t>
      </w:r>
    </w:p>
    <w:p>
      <w:pPr>
        <w:spacing w:after="80" w:before="80"/>
        <w:jc w:val="both"/>
      </w:pPr>
      <w:r>
        <w:rPr>
          <w:rFonts w:ascii="Arial" w:cs="Arial" w:eastAsia="Arial" w:hAnsi="Arial"/>
          <w:sz w:val="22"/>
          <w:szCs w:val="22"/>
        </w:rPr>
        <w:t xml:space="preserve">The infrastructure most directly linked to whether a secondary-level student stays in school is not sanitation — it is the quality of the learning environment. Science labs, internet connectivity, and co-curricular spaces are absent at scale, and their absence is a silent driver of dropout. When a student in high school lacks engagement, purpose, and belonging, they leave. This study quantifies that relationship for the first time at the state level.</w:t>
      </w:r>
    </w:p>
    <w:p>
      <w:pPr>
        <w:spacing w:after="60" w:before="60"/>
      </w:pPr>
      <w:r>
        <w:t xml:space="preserve"/>
      </w:r>
    </w:p>
    <w:p>
      <w:pPr>
        <w:spacing w:after="80" w:before="160"/>
      </w:pPr>
      <w:r>
        <w:rPr>
          <w:rFonts w:ascii="Arial" w:cs="Arial" w:eastAsia="Arial" w:hAnsi="Arial"/>
          <w:b/>
          <w:bCs/>
          <w:color w:val="2F5496"/>
          <w:sz w:val="22"/>
          <w:szCs w:val="22"/>
        </w:rPr>
        <w:t xml:space="preserve">Finding 3: Intra-India Attainability</w:t>
      </w:r>
    </w:p>
    <w:p>
      <w:pPr>
        <w:spacing w:after="80" w:before="80"/>
        <w:jc w:val="both"/>
      </w:pPr>
      <w:r>
        <w:rPr>
          <w:rFonts w:ascii="Arial" w:cs="Arial" w:eastAsia="Arial" w:hAnsi="Arial"/>
          <w:sz w:val="22"/>
          <w:szCs w:val="22"/>
        </w:rPr>
        <w:t xml:space="preserve">Advanced-tier states demonstrate that near-global infrastructure standards are achievable within the Indian context. This is not an aspirational benchmark requiring extraordinary conditions — it is replicable. The gap between the Advanced tier (8.7 average gap) and the Global Benchmark is significantly smaller than the gap between the Critical tier and Global Benchmark, confirming that incremental, targeted investment can achieve meaningful progress.</w:t>
      </w:r>
    </w:p>
    <w:p>
      <w:pPr>
        <w:spacing w:after="60" w:before="60"/>
      </w:pPr>
      <w:r>
        <w:t xml:space="preserve"/>
      </w:r>
    </w:p>
    <w:p>
      <w:pPr>
        <w:spacing w:after="80" w:before="160"/>
      </w:pPr>
      <w:r>
        <w:rPr>
          <w:rFonts w:ascii="Arial" w:cs="Arial" w:eastAsia="Arial" w:hAnsi="Arial"/>
          <w:b/>
          <w:bCs/>
          <w:color w:val="2F5496"/>
          <w:sz w:val="22"/>
          <w:szCs w:val="22"/>
        </w:rPr>
        <w:t xml:space="preserve">Finding 4: Closable in 5-7 Years</w:t>
      </w:r>
    </w:p>
    <w:p>
      <w:pPr>
        <w:spacing w:after="80" w:before="80"/>
        <w:jc w:val="both"/>
      </w:pPr>
      <w:r>
        <w:rPr>
          <w:rFonts w:ascii="Arial" w:cs="Arial" w:eastAsia="Arial" w:hAnsi="Arial"/>
          <w:sz w:val="22"/>
          <w:szCs w:val="22"/>
        </w:rPr>
        <w:t xml:space="preserve">The total gap is significant (₹3.72 lakh crore) but not insurmountable. With focused, state-differentiated investment over a 5-7 year horizon, and with the Samagra Shiksha Abhiyan as the delivery mechanism, the gap is closable. The framework provides the precise state-wise and indicator-wise targeting required to maximize cost-effectiveness.</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8.2 The Co-curricular Room Finding</w:t>
      </w:r>
    </w:p>
    <w:p>
      <w:pPr>
        <w:spacing w:after="80" w:before="80"/>
        <w:jc w:val="both"/>
      </w:pPr>
      <w:r>
        <w:rPr>
          <w:rFonts w:ascii="Arial" w:cs="Arial" w:eastAsia="Arial" w:hAnsi="Arial"/>
          <w:sz w:val="22"/>
          <w:szCs w:val="22"/>
        </w:rPr>
        <w:t xml:space="preserve">Possibly the most surprising finding is the primacy of co-curricular rooms as the strongest predictor of secondary dropout. The absence of a dedicated space for activities, sports, and non-academic engagement emerges as the single best predictor of dropout — ahead of toilets, drinking water, and electricity. This is consistent with global research on student engagement and school belonging: adolescents are retained not merely by physical safety but by institutional identity and purpose. Policy that continues to focus exclusively on basic compliance indicators is misaligned with the data.</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8.3 The Living Framework</w:t>
      </w:r>
    </w:p>
    <w:p>
      <w:pPr>
        <w:spacing w:after="80" w:before="80"/>
        <w:jc w:val="both"/>
      </w:pPr>
      <w:r>
        <w:rPr>
          <w:rFonts w:ascii="Arial" w:cs="Arial" w:eastAsia="Arial" w:hAnsi="Arial"/>
          <w:sz w:val="22"/>
          <w:szCs w:val="22"/>
        </w:rPr>
        <w:t xml:space="preserve">A distinctive feature of this study is its reusability. Since UDISE+ releases updated data annually, the entire analytical pipeline can be re-run each year to measure progress against the 2024-25 baseline. This transforms the research from a static academic study into a living policy monitoring tool — directly integrable with Samagra Shiksha budget cycles and NIPUN Bharat progress tracking.</w:t>
      </w:r>
    </w:p>
    <w:p>
      <w:r>
        <w:br w:type="page"/>
      </w:r>
    </w:p>
    <w:p>
      <w:pPr>
        <w:pStyle w:val="Heading1"/>
        <w:pBdr>
          <w:bottom w:val="single" w:color="1F4E79" w:sz="6" w:space="1"/>
        </w:pBdr>
        <w:spacing w:after="160" w:before="320"/>
      </w:pPr>
      <w:r>
        <w:rPr>
          <w:rFonts w:ascii="Arial" w:cs="Arial" w:eastAsia="Arial" w:hAnsi="Arial"/>
          <w:b/>
          <w:bCs/>
          <w:color w:val="1F4E79"/>
          <w:sz w:val="28"/>
          <w:szCs w:val="28"/>
        </w:rPr>
        <w:t xml:space="preserve">9. CONCLUSION AND FUTURE SCOPE</w:t>
      </w:r>
    </w:p>
    <w:p>
      <w:pPr>
        <w:pStyle w:val="Heading2"/>
        <w:spacing w:after="120" w:before="240"/>
      </w:pPr>
      <w:r>
        <w:rPr>
          <w:rFonts w:ascii="Arial" w:cs="Arial" w:eastAsia="Arial" w:hAnsi="Arial"/>
          <w:b/>
          <w:bCs/>
          <w:color w:val="2E75B6"/>
          <w:sz w:val="24"/>
          <w:szCs w:val="24"/>
        </w:rPr>
        <w:t xml:space="preserve">9.1 Conclusion</w:t>
      </w:r>
    </w:p>
    <w:p>
      <w:pPr>
        <w:spacing w:after="80" w:before="80"/>
        <w:jc w:val="both"/>
      </w:pPr>
      <w:r>
        <w:rPr>
          <w:rFonts w:ascii="Arial" w:cs="Arial" w:eastAsia="Arial" w:hAnsi="Arial"/>
          <w:sz w:val="22"/>
          <w:szCs w:val="22"/>
        </w:rPr>
        <w:t xml:space="preserve">This project delivers a comprehensive, data-driven picture of India's school infrastructure deficit: how large it is globally, which gaps are most responsible for driving dropout rates, how states are distributed across performance tiers, and precisely how much it will cost to address the deficit — state by state and indicator by indicator.</w:t>
      </w:r>
    </w:p>
    <w:p>
      <w:pPr>
        <w:spacing w:after="60" w:before="60"/>
      </w:pPr>
      <w:r>
        <w:t xml:space="preserve"/>
      </w:r>
    </w:p>
    <w:p>
      <w:pPr>
        <w:spacing w:after="80" w:before="80"/>
        <w:jc w:val="both"/>
      </w:pPr>
      <w:r>
        <w:rPr>
          <w:rFonts w:ascii="Arial" w:cs="Arial" w:eastAsia="Arial" w:hAnsi="Arial"/>
          <w:sz w:val="22"/>
          <w:szCs w:val="22"/>
        </w:rPr>
        <w:t xml:space="preserve">The headline findings are clear: nearly 90% of the variation in state-level secondary dropout rates is explained by infrastructure gaps. The most damaging gaps are not in sanitation — they are in learning environments: co-curricular rooms, internet access, and science laboratories. The total investment required is approximately ₹3.72 lakh crore, but the framework tells policymakers exactly where to spend it for maximum impact.</w:t>
      </w:r>
    </w:p>
    <w:p>
      <w:pPr>
        <w:spacing w:after="60" w:before="60"/>
      </w:pPr>
      <w:r>
        <w:t xml:space="preserve"/>
      </w:r>
    </w:p>
    <w:p>
      <w:pPr>
        <w:spacing w:after="80" w:before="80"/>
        <w:jc w:val="both"/>
      </w:pPr>
      <w:r>
        <w:rPr>
          <w:rFonts w:ascii="Arial" w:cs="Arial" w:eastAsia="Arial" w:hAnsi="Arial"/>
          <w:sz w:val="22"/>
          <w:szCs w:val="22"/>
        </w:rPr>
        <w:t xml:space="preserve">The framework is reusable, transparent, and built on publicly available data — qualities that make it directly actionable within existing government mechanisms such as Samagra Shiksha Abhiyan.</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9.2 Future Scope</w:t>
      </w:r>
    </w:p>
    <w:p>
      <w:pPr>
        <w:spacing w:after="80" w:before="80"/>
        <w:jc w:val="both"/>
      </w:pPr>
      <w:r>
        <w:rPr>
          <w:rFonts w:ascii="Arial" w:cs="Arial" w:eastAsia="Arial" w:hAnsi="Arial"/>
          <w:sz w:val="22"/>
          <w:szCs w:val="22"/>
        </w:rPr>
        <w:t xml:space="preserve">Several directions for extending this research are identified:</w:t>
      </w:r>
    </w:p>
    <w:p>
      <w:pPr>
        <w:pStyle w:val="ListParagraph"/>
        <w:numPr>
          <w:ilvl w:val="0"/>
          <w:numId w:val="2"/>
        </w:numPr>
        <w:spacing w:after="40" w:before="40"/>
      </w:pPr>
      <w:r>
        <w:rPr>
          <w:rFonts w:ascii="Arial" w:cs="Arial" w:eastAsia="Arial" w:hAnsi="Arial"/>
          <w:sz w:val="22"/>
          <w:szCs w:val="22"/>
        </w:rPr>
        <w:t xml:space="preserve">Incorporation of socioeconomic variables (household income, caste composition, teacher-pupil ratios) to improve the dropout prediction model beyond infrastructure alone.</w:t>
      </w:r>
    </w:p>
    <w:p>
      <w:pPr>
        <w:pStyle w:val="ListParagraph"/>
        <w:numPr>
          <w:ilvl w:val="0"/>
          <w:numId w:val="2"/>
        </w:numPr>
        <w:spacing w:after="40" w:before="40"/>
      </w:pPr>
      <w:r>
        <w:rPr>
          <w:rFonts w:ascii="Arial" w:cs="Arial" w:eastAsia="Arial" w:hAnsi="Arial"/>
          <w:sz w:val="22"/>
          <w:szCs w:val="22"/>
        </w:rPr>
        <w:t xml:space="preserve">Disaggregation to the district and block level using the full UDISE+ unit-level data.</w:t>
      </w:r>
    </w:p>
    <w:p>
      <w:pPr>
        <w:pStyle w:val="ListParagraph"/>
        <w:numPr>
          <w:ilvl w:val="0"/>
          <w:numId w:val="2"/>
        </w:numPr>
        <w:spacing w:after="40" w:before="40"/>
      </w:pPr>
      <w:r>
        <w:rPr>
          <w:rFonts w:ascii="Arial" w:cs="Arial" w:eastAsia="Arial" w:hAnsi="Arial"/>
          <w:sz w:val="22"/>
          <w:szCs w:val="22"/>
        </w:rPr>
        <w:t xml:space="preserve">Extension of the framework to primary and upper-primary dropout rates.</w:t>
      </w:r>
    </w:p>
    <w:p>
      <w:pPr>
        <w:pStyle w:val="ListParagraph"/>
        <w:numPr>
          <w:ilvl w:val="0"/>
          <w:numId w:val="2"/>
        </w:numPr>
        <w:spacing w:after="40" w:before="40"/>
      </w:pPr>
      <w:r>
        <w:rPr>
          <w:rFonts w:ascii="Arial" w:cs="Arial" w:eastAsia="Arial" w:hAnsi="Arial"/>
          <w:sz w:val="22"/>
          <w:szCs w:val="22"/>
        </w:rPr>
        <w:t xml:space="preserve">Time-series analysis using historical UDISE+ data to assess the rate of infrastructure improvement and project future gap closure timelines.</w:t>
      </w:r>
    </w:p>
    <w:p>
      <w:pPr>
        <w:pStyle w:val="ListParagraph"/>
        <w:numPr>
          <w:ilvl w:val="0"/>
          <w:numId w:val="2"/>
        </w:numPr>
        <w:spacing w:after="40" w:before="40"/>
      </w:pPr>
      <w:r>
        <w:rPr>
          <w:rFonts w:ascii="Arial" w:cs="Arial" w:eastAsia="Arial" w:hAnsi="Arial"/>
          <w:sz w:val="22"/>
          <w:szCs w:val="22"/>
        </w:rPr>
        <w:t xml:space="preserve">Integration with satellite imagery and geospatial data to validate school-level infrastructure reports.</w:t>
      </w:r>
    </w:p>
    <w:p>
      <w:pPr>
        <w:pStyle w:val="ListParagraph"/>
        <w:numPr>
          <w:ilvl w:val="0"/>
          <w:numId w:val="2"/>
        </w:numPr>
        <w:spacing w:after="40" w:before="40"/>
      </w:pPr>
      <w:r>
        <w:rPr>
          <w:rFonts w:ascii="Arial" w:cs="Arial" w:eastAsia="Arial" w:hAnsi="Arial"/>
          <w:sz w:val="22"/>
          <w:szCs w:val="22"/>
        </w:rPr>
        <w:t xml:space="preserve">Development of a public-facing dashboard for real-time monitoring by state governments.</w:t>
      </w:r>
    </w:p>
    <w:p>
      <w:r>
        <w:br w:type="page"/>
      </w:r>
    </w:p>
    <w:p>
      <w:pPr>
        <w:pStyle w:val="Heading1"/>
        <w:pBdr>
          <w:bottom w:val="single" w:color="1F4E79" w:sz="6" w:space="1"/>
        </w:pBdr>
        <w:spacing w:after="160" w:before="320"/>
      </w:pPr>
      <w:r>
        <w:rPr>
          <w:rFonts w:ascii="Arial" w:cs="Arial" w:eastAsia="Arial" w:hAnsi="Arial"/>
          <w:b/>
          <w:bCs/>
          <w:color w:val="1F4E79"/>
          <w:sz w:val="28"/>
          <w:szCs w:val="28"/>
        </w:rPr>
        <w:t xml:space="preserve">10. REFERENCES</w:t>
      </w:r>
    </w:p>
    <w:p>
      <w:pPr>
        <w:pStyle w:val="ListParagraph"/>
        <w:numPr>
          <w:ilvl w:val="0"/>
          <w:numId w:val="3"/>
        </w:numPr>
        <w:spacing w:after="40" w:before="40"/>
      </w:pPr>
      <w:r>
        <w:rPr>
          <w:rFonts w:ascii="Arial" w:cs="Arial" w:eastAsia="Arial" w:hAnsi="Arial"/>
          <w:sz w:val="22"/>
          <w:szCs w:val="22"/>
        </w:rPr>
        <w:t xml:space="preserve">P. Barrett, A. Treves, T. Shmis and D. Ambasz, The Effect of School Infrastructure on Learning: A Synthesis of the Evidence, World Bank Group, Washington, DC, 2019.</w:t>
      </w:r>
    </w:p>
    <w:p>
      <w:pPr>
        <w:pStyle w:val="ListParagraph"/>
        <w:numPr>
          <w:ilvl w:val="0"/>
          <w:numId w:val="3"/>
        </w:numPr>
        <w:spacing w:after="40" w:before="40"/>
      </w:pPr>
      <w:r>
        <w:rPr>
          <w:rFonts w:ascii="Arial" w:cs="Arial" w:eastAsia="Arial" w:hAnsi="Arial"/>
          <w:sz w:val="22"/>
          <w:szCs w:val="22"/>
        </w:rPr>
        <w:t xml:space="preserve">A. A. Nugroho and U. B. Wibowo, The Influence of School Infrastructure on Student Learning Activeness, Atlantis Press, 2020.</w:t>
      </w:r>
    </w:p>
    <w:p>
      <w:pPr>
        <w:pStyle w:val="ListParagraph"/>
        <w:numPr>
          <w:ilvl w:val="0"/>
          <w:numId w:val="3"/>
        </w:numPr>
        <w:spacing w:after="40" w:before="40"/>
      </w:pPr>
      <w:r>
        <w:rPr>
          <w:rFonts w:ascii="Arial" w:cs="Arial" w:eastAsia="Arial" w:hAnsi="Arial"/>
          <w:sz w:val="22"/>
          <w:szCs w:val="22"/>
        </w:rPr>
        <w:t xml:space="preserve">S. K. Mahapatra and H. Goowalla, A Study on Educational Infrastructure Facilities being provided by Government and non-Government schools in Nagaland, International Journal of Education and Research, 2019.</w:t>
      </w:r>
    </w:p>
    <w:p>
      <w:pPr>
        <w:pStyle w:val="ListParagraph"/>
        <w:numPr>
          <w:ilvl w:val="0"/>
          <w:numId w:val="3"/>
        </w:numPr>
        <w:spacing w:after="40" w:before="40"/>
      </w:pPr>
      <w:r>
        <w:rPr>
          <w:rFonts w:ascii="Arial" w:cs="Arial" w:eastAsia="Arial" w:hAnsi="Arial"/>
          <w:sz w:val="22"/>
          <w:szCs w:val="22"/>
        </w:rPr>
        <w:t xml:space="preserve">E. T. Octavia and Ismiyati, How Do School Facilities Affect School Quality? Journal of Educational Management Studies, 2020.</w:t>
      </w:r>
    </w:p>
    <w:p>
      <w:pPr>
        <w:pStyle w:val="ListParagraph"/>
        <w:numPr>
          <w:ilvl w:val="0"/>
          <w:numId w:val="3"/>
        </w:numPr>
        <w:spacing w:after="40" w:before="40"/>
      </w:pPr>
      <w:r>
        <w:rPr>
          <w:rFonts w:ascii="Arial" w:cs="Arial" w:eastAsia="Arial" w:hAnsi="Arial"/>
          <w:sz w:val="22"/>
          <w:szCs w:val="22"/>
        </w:rPr>
        <w:t xml:space="preserve">J. E. Vargas-Munoz et al., A Multi-tiered Human-in-the-loop Approach to Interactive School Mapping with Earth Observation and Machine Learning, Remote Sensing, vol. 13, no. 3, 2021.</w:t>
      </w:r>
    </w:p>
    <w:p>
      <w:pPr>
        <w:pStyle w:val="ListParagraph"/>
        <w:numPr>
          <w:ilvl w:val="0"/>
          <w:numId w:val="3"/>
        </w:numPr>
        <w:spacing w:after="40" w:before="40"/>
      </w:pPr>
      <w:r>
        <w:rPr>
          <w:rFonts w:ascii="Arial" w:cs="Arial" w:eastAsia="Arial" w:hAnsi="Arial"/>
          <w:sz w:val="22"/>
          <w:szCs w:val="22"/>
        </w:rPr>
        <w:t xml:space="preserve">Ministry of Education, Government of India, UDISE+ 2024-25: Booklet on NEP Progress, Department of School Education and Literacy, New Delhi, 2025.</w:t>
      </w:r>
    </w:p>
    <w:p>
      <w:pPr>
        <w:pStyle w:val="ListParagraph"/>
        <w:numPr>
          <w:ilvl w:val="0"/>
          <w:numId w:val="3"/>
        </w:numPr>
        <w:spacing w:after="40" w:before="40"/>
      </w:pPr>
      <w:r>
        <w:rPr>
          <w:rFonts w:ascii="Arial" w:cs="Arial" w:eastAsia="Arial" w:hAnsi="Arial"/>
          <w:sz w:val="22"/>
          <w:szCs w:val="22"/>
        </w:rPr>
        <w:t xml:space="preserve">OECD, Education at a Glance 2023: OECD Indicators, OECD Publishing, Paris, 2023. doi: 10.1787/e13bef63-en</w:t>
      </w:r>
    </w:p>
    <w:p>
      <w:pPr>
        <w:pStyle w:val="ListParagraph"/>
        <w:numPr>
          <w:ilvl w:val="0"/>
          <w:numId w:val="3"/>
        </w:numPr>
        <w:spacing w:after="40" w:before="40"/>
      </w:pPr>
      <w:r>
        <w:rPr>
          <w:rFonts w:ascii="Arial" w:cs="Arial" w:eastAsia="Arial" w:hAnsi="Arial"/>
          <w:sz w:val="22"/>
          <w:szCs w:val="22"/>
        </w:rPr>
        <w:t xml:space="preserve">UNESCO Institute of Statistics, Education Data, UIS Data Centre, Montreal, 2024. [Online]. Available: http://data.uis.unesco.org</w:t>
      </w:r>
    </w:p>
    <w:p>
      <w:pPr>
        <w:pStyle w:val="ListParagraph"/>
        <w:numPr>
          <w:ilvl w:val="0"/>
          <w:numId w:val="3"/>
        </w:numPr>
        <w:spacing w:after="40" w:before="40"/>
      </w:pPr>
      <w:r>
        <w:rPr>
          <w:rFonts w:ascii="Arial" w:cs="Arial" w:eastAsia="Arial" w:hAnsi="Arial"/>
          <w:sz w:val="22"/>
          <w:szCs w:val="22"/>
        </w:rPr>
        <w:t xml:space="preserve">L. Breiman, Random Forests, Machine Learning, vol. 45, pp. 5-32, 2001.</w:t>
      </w:r>
    </w:p>
    <w:p>
      <w:pPr>
        <w:pStyle w:val="ListParagraph"/>
        <w:numPr>
          <w:ilvl w:val="0"/>
          <w:numId w:val="3"/>
        </w:numPr>
        <w:spacing w:after="40" w:before="40"/>
      </w:pPr>
      <w:r>
        <w:rPr>
          <w:rFonts w:ascii="Arial" w:cs="Arial" w:eastAsia="Arial" w:hAnsi="Arial"/>
          <w:sz w:val="22"/>
          <w:szCs w:val="22"/>
        </w:rPr>
        <w:t xml:space="preserve">J. MacQueen, Some Methods of Classification and Analysis of Multivariate Observations, Proc. Berkeley Symposium, Vol. 1, pp. 281-297, 1967.</w:t>
      </w:r>
    </w:p>
    <w:p>
      <w:pPr>
        <w:pStyle w:val="ListParagraph"/>
        <w:numPr>
          <w:ilvl w:val="0"/>
          <w:numId w:val="3"/>
        </w:numPr>
        <w:spacing w:after="40" w:before="40"/>
      </w:pPr>
      <w:r>
        <w:rPr>
          <w:rFonts w:ascii="Arial" w:cs="Arial" w:eastAsia="Arial" w:hAnsi="Arial"/>
          <w:sz w:val="22"/>
          <w:szCs w:val="22"/>
        </w:rPr>
        <w:t xml:space="preserve">Ministry of Education, India, Samagra Shiksha: Framework, Department of School Education and Literacy, New Delhi, 2018.</w:t>
      </w:r>
    </w:p>
    <w:p>
      <w:pPr>
        <w:pStyle w:val="ListParagraph"/>
        <w:numPr>
          <w:ilvl w:val="0"/>
          <w:numId w:val="3"/>
        </w:numPr>
        <w:spacing w:after="40" w:before="40"/>
      </w:pPr>
      <w:r>
        <w:rPr>
          <w:rFonts w:ascii="Arial" w:cs="Arial" w:eastAsia="Arial" w:hAnsi="Arial"/>
          <w:sz w:val="22"/>
          <w:szCs w:val="22"/>
        </w:rPr>
        <w:t xml:space="preserve">World Bank, World Development Indicators: Education Statistics, World Bank Open Data, Washington, DC, 2024. [Online]. Available: https://databank.worldbank.org/source/education-statistics</w:t>
      </w:r>
    </w:p>
    <w:p>
      <w:r>
        <w:br w:type="page"/>
      </w:r>
    </w:p>
    <w:p>
      <w:pPr>
        <w:pStyle w:val="Heading1"/>
        <w:pBdr>
          <w:bottom w:val="single" w:color="1F4E79" w:sz="6" w:space="1"/>
        </w:pBdr>
        <w:spacing w:after="160" w:before="320"/>
      </w:pPr>
      <w:r>
        <w:rPr>
          <w:rFonts w:ascii="Arial" w:cs="Arial" w:eastAsia="Arial" w:hAnsi="Arial"/>
          <w:b/>
          <w:bCs/>
          <w:color w:val="1F4E79"/>
          <w:sz w:val="28"/>
          <w:szCs w:val="28"/>
        </w:rPr>
        <w:t xml:space="preserve">APPENDICES</w:t>
      </w:r>
    </w:p>
    <w:p>
      <w:pPr>
        <w:pStyle w:val="Heading2"/>
        <w:spacing w:after="120" w:before="240"/>
      </w:pPr>
      <w:r>
        <w:rPr>
          <w:rFonts w:ascii="Arial" w:cs="Arial" w:eastAsia="Arial" w:hAnsi="Arial"/>
          <w:b/>
          <w:bCs/>
          <w:color w:val="2E75B6"/>
          <w:sz w:val="24"/>
          <w:szCs w:val="24"/>
        </w:rPr>
        <w:t xml:space="preserve">Appendix A: Summary of 25 UDISE+ Infrastructure Indicators</w:t>
      </w:r>
    </w:p>
    <w:p>
      <w:pPr>
        <w:spacing w:after="80" w:before="80"/>
        <w:jc w:val="both"/>
      </w:pPr>
      <w:r>
        <w:rPr>
          <w:rFonts w:ascii="Arial" w:cs="Arial" w:eastAsia="Arial" w:hAnsi="Arial"/>
          <w:sz w:val="22"/>
          <w:szCs w:val="22"/>
        </w:rPr>
        <w:t xml:space="preserve">The following 25 infrastructure indicators drawn from UDISE+ 2024-25 were used in the analysis:</w:t>
      </w:r>
    </w:p>
    <w:p>
      <w:pPr>
        <w:pStyle w:val="ListParagraph"/>
        <w:numPr>
          <w:ilvl w:val="0"/>
          <w:numId w:val="2"/>
        </w:numPr>
        <w:spacing w:after="40" w:before="40"/>
      </w:pPr>
      <w:r>
        <w:rPr>
          <w:rFonts w:ascii="Arial" w:cs="Arial" w:eastAsia="Arial" w:hAnsi="Arial"/>
          <w:sz w:val="22"/>
          <w:szCs w:val="22"/>
        </w:rPr>
        <w:t xml:space="preserve">Electricity Access &amp; Functional Electricity</w:t>
      </w:r>
    </w:p>
    <w:p>
      <w:pPr>
        <w:pStyle w:val="ListParagraph"/>
        <w:numPr>
          <w:ilvl w:val="0"/>
          <w:numId w:val="2"/>
        </w:numPr>
        <w:spacing w:after="40" w:before="40"/>
      </w:pPr>
      <w:r>
        <w:rPr>
          <w:rFonts w:ascii="Arial" w:cs="Arial" w:eastAsia="Arial" w:hAnsi="Arial"/>
          <w:sz w:val="22"/>
          <w:szCs w:val="22"/>
        </w:rPr>
        <w:t xml:space="preserve">Drinking Water Access &amp; Functional Drinking Water</w:t>
      </w:r>
    </w:p>
    <w:p>
      <w:pPr>
        <w:pStyle w:val="ListParagraph"/>
        <w:numPr>
          <w:ilvl w:val="0"/>
          <w:numId w:val="2"/>
        </w:numPr>
        <w:spacing w:after="40" w:before="40"/>
      </w:pPr>
      <w:r>
        <w:rPr>
          <w:rFonts w:ascii="Arial" w:cs="Arial" w:eastAsia="Arial" w:hAnsi="Arial"/>
          <w:sz w:val="22"/>
          <w:szCs w:val="22"/>
        </w:rPr>
        <w:t xml:space="preserve">Handwash Facility</w:t>
      </w:r>
    </w:p>
    <w:p>
      <w:pPr>
        <w:pStyle w:val="ListParagraph"/>
        <w:numPr>
          <w:ilvl w:val="0"/>
          <w:numId w:val="2"/>
        </w:numPr>
        <w:spacing w:after="40" w:before="40"/>
      </w:pPr>
      <w:r>
        <w:rPr>
          <w:rFonts w:ascii="Arial" w:cs="Arial" w:eastAsia="Arial" w:hAnsi="Arial"/>
          <w:sz w:val="22"/>
          <w:szCs w:val="22"/>
        </w:rPr>
        <w:t xml:space="preserve">Boys Toilet, Girls Toilet (Access &amp; Functional)</w:t>
      </w:r>
    </w:p>
    <w:p>
      <w:pPr>
        <w:pStyle w:val="ListParagraph"/>
        <w:numPr>
          <w:ilvl w:val="0"/>
          <w:numId w:val="2"/>
        </w:numPr>
        <w:spacing w:after="40" w:before="40"/>
      </w:pPr>
      <w:r>
        <w:rPr>
          <w:rFonts w:ascii="Arial" w:cs="Arial" w:eastAsia="Arial" w:hAnsi="Arial"/>
          <w:sz w:val="22"/>
          <w:szCs w:val="22"/>
        </w:rPr>
        <w:t xml:space="preserve">CWSN Toilet &amp; Functional CWSN Toilet</w:t>
      </w:r>
    </w:p>
    <w:p>
      <w:pPr>
        <w:pStyle w:val="ListParagraph"/>
        <w:numPr>
          <w:ilvl w:val="0"/>
          <w:numId w:val="2"/>
        </w:numPr>
        <w:spacing w:after="40" w:before="40"/>
      </w:pPr>
      <w:r>
        <w:rPr>
          <w:rFonts w:ascii="Arial" w:cs="Arial" w:eastAsia="Arial" w:hAnsi="Arial"/>
          <w:sz w:val="22"/>
          <w:szCs w:val="22"/>
        </w:rPr>
        <w:t xml:space="preserve">Ramps for CWSN &amp; Ramps with Handrails</w:t>
      </w:r>
    </w:p>
    <w:p>
      <w:pPr>
        <w:pStyle w:val="ListParagraph"/>
        <w:numPr>
          <w:ilvl w:val="0"/>
          <w:numId w:val="2"/>
        </w:numPr>
        <w:spacing w:after="40" w:before="40"/>
      </w:pPr>
      <w:r>
        <w:rPr>
          <w:rFonts w:ascii="Arial" w:cs="Arial" w:eastAsia="Arial" w:hAnsi="Arial"/>
          <w:sz w:val="22"/>
          <w:szCs w:val="22"/>
        </w:rPr>
        <w:t xml:space="preserve">Computer Facility &amp; Functional Computer</w:t>
      </w:r>
    </w:p>
    <w:p>
      <w:pPr>
        <w:pStyle w:val="ListParagraph"/>
        <w:numPr>
          <w:ilvl w:val="0"/>
          <w:numId w:val="2"/>
        </w:numPr>
        <w:spacing w:after="40" w:before="40"/>
      </w:pPr>
      <w:r>
        <w:rPr>
          <w:rFonts w:ascii="Arial" w:cs="Arial" w:eastAsia="Arial" w:hAnsi="Arial"/>
          <w:sz w:val="22"/>
          <w:szCs w:val="22"/>
        </w:rPr>
        <w:t xml:space="preserve">Internet Access</w:t>
      </w:r>
    </w:p>
    <w:p>
      <w:pPr>
        <w:pStyle w:val="ListParagraph"/>
        <w:numPr>
          <w:ilvl w:val="0"/>
          <w:numId w:val="2"/>
        </w:numPr>
        <w:spacing w:after="40" w:before="40"/>
      </w:pPr>
      <w:r>
        <w:rPr>
          <w:rFonts w:ascii="Arial" w:cs="Arial" w:eastAsia="Arial" w:hAnsi="Arial"/>
          <w:sz w:val="22"/>
          <w:szCs w:val="22"/>
        </w:rPr>
        <w:t xml:space="preserve">Library / Book Bank</w:t>
      </w:r>
    </w:p>
    <w:p>
      <w:pPr>
        <w:pStyle w:val="ListParagraph"/>
        <w:numPr>
          <w:ilvl w:val="0"/>
          <w:numId w:val="2"/>
        </w:numPr>
        <w:spacing w:after="40" w:before="40"/>
      </w:pPr>
      <w:r>
        <w:rPr>
          <w:rFonts w:ascii="Arial" w:cs="Arial" w:eastAsia="Arial" w:hAnsi="Arial"/>
          <w:sz w:val="22"/>
          <w:szCs w:val="22"/>
        </w:rPr>
        <w:t xml:space="preserve">Science Laboratory</w:t>
      </w:r>
    </w:p>
    <w:p>
      <w:pPr>
        <w:pStyle w:val="ListParagraph"/>
        <w:numPr>
          <w:ilvl w:val="0"/>
          <w:numId w:val="2"/>
        </w:numPr>
        <w:spacing w:after="40" w:before="40"/>
      </w:pPr>
      <w:r>
        <w:rPr>
          <w:rFonts w:ascii="Arial" w:cs="Arial" w:eastAsia="Arial" w:hAnsi="Arial"/>
          <w:sz w:val="22"/>
          <w:szCs w:val="22"/>
        </w:rPr>
        <w:t xml:space="preserve">Co-curricular Room</w:t>
      </w:r>
    </w:p>
    <w:p>
      <w:pPr>
        <w:pStyle w:val="ListParagraph"/>
        <w:numPr>
          <w:ilvl w:val="0"/>
          <w:numId w:val="2"/>
        </w:numPr>
        <w:spacing w:after="40" w:before="40"/>
      </w:pPr>
      <w:r>
        <w:rPr>
          <w:rFonts w:ascii="Arial" w:cs="Arial" w:eastAsia="Arial" w:hAnsi="Arial"/>
          <w:sz w:val="22"/>
          <w:szCs w:val="22"/>
        </w:rPr>
        <w:t xml:space="preserve">Solar Panel</w:t>
      </w:r>
    </w:p>
    <w:p>
      <w:pPr>
        <w:pStyle w:val="ListParagraph"/>
        <w:numPr>
          <w:ilvl w:val="0"/>
          <w:numId w:val="2"/>
        </w:numPr>
        <w:spacing w:after="40" w:before="40"/>
      </w:pPr>
      <w:r>
        <w:rPr>
          <w:rFonts w:ascii="Arial" w:cs="Arial" w:eastAsia="Arial" w:hAnsi="Arial"/>
          <w:sz w:val="22"/>
          <w:szCs w:val="22"/>
        </w:rPr>
        <w:t xml:space="preserve">Rainwater Harvesting</w:t>
      </w:r>
    </w:p>
    <w:p>
      <w:pPr>
        <w:pStyle w:val="ListParagraph"/>
        <w:numPr>
          <w:ilvl w:val="0"/>
          <w:numId w:val="2"/>
        </w:numPr>
        <w:spacing w:after="40" w:before="40"/>
      </w:pPr>
      <w:r>
        <w:rPr>
          <w:rFonts w:ascii="Arial" w:cs="Arial" w:eastAsia="Arial" w:hAnsi="Arial"/>
          <w:sz w:val="22"/>
          <w:szCs w:val="22"/>
        </w:rPr>
        <w:t xml:space="preserve">Medical Checkup Facility</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Appendix B: Country Benchmark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Country</w:t>
            </w:r>
          </w:p>
        </w:tc>
        <w:tc>
          <w:tcPr>
            <w:tcW w:type="dxa" w:w="468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c>
          <w:tcPr>
            <w:tcW w:type="dxa" w:w="234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Japan</w:t>
            </w:r>
          </w:p>
        </w:tc>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OECD Education at a Glance</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2023</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USA</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OECD Education at a Glance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2023</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Finland</w:t>
            </w:r>
          </w:p>
        </w:tc>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OECD Education at a Glance</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2023</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Germany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OECD Education at a Glance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2023</w:t>
            </w:r>
          </w:p>
        </w:tc>
      </w:tr>
      <w:tr>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China</w:t>
            </w:r>
          </w:p>
        </w:tc>
        <w:tc>
          <w:tcPr>
            <w:tcW w:type="dxa" w:w="468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UNESCO UIS / World Bank EdStats</w:t>
            </w:r>
          </w:p>
        </w:tc>
        <w:tc>
          <w:tcPr>
            <w:tcW w:type="dxa" w:w="234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2024</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Appendix C: Model Configuration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5160"/>
            <w:tcBorders>
              <w:top w:val="single" w:color="AAAAAA" w:sz="1"/>
              <w:left w:val="single" w:color="AAAAAA" w:sz="1"/>
              <w:bottom w:val="single" w:color="1F4E79" w:sz="4"/>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Configuration</w:t>
            </w:r>
          </w:p>
        </w:tc>
      </w:tr>
      <w:tr>
        <w:tc>
          <w:tcPr>
            <w:tcW w:type="dxa" w:w="4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Random Forest Estimators</w:t>
            </w:r>
          </w:p>
        </w:tc>
        <w:tc>
          <w:tcPr>
            <w:tcW w:type="dxa" w:w="5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 trees, random_state=42</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K-means Clusters</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k=4, n_init=10</w:t>
            </w:r>
          </w:p>
        </w:tc>
      </w:tr>
      <w:tr>
        <w:tc>
          <w:tcPr>
            <w:tcW w:type="dxa" w:w="4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Feature Scaling</w:t>
            </w:r>
          </w:p>
        </w:tc>
        <w:tc>
          <w:tcPr>
            <w:tcW w:type="dxa" w:w="5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StandardScaler (z-score normalization)</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Dimensionality Reduction</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PCA (2 components, 69.7% variance explained)</w:t>
            </w:r>
          </w:p>
        </w:tc>
      </w:tr>
      <w:tr>
        <w:tc>
          <w:tcPr>
            <w:tcW w:type="dxa" w:w="4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Cost Basis</w:t>
            </w:r>
          </w:p>
        </w:tc>
        <w:tc>
          <w:tcPr>
            <w:tcW w:type="dxa" w:w="5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PWD Schedules + Samagra Shiksha Abhiyan norms</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Primary Data Source</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UDISE+ 2024-25, Ministry of Education, GoI</w:t>
            </w:r>
          </w:p>
        </w:tc>
      </w:tr>
    </w:tbl>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80"/>
      <w:jc w:val="center"/>
    </w:pPr>
    <w:r>
      <w:rPr>
        <w:rFonts w:ascii="Arial" w:cs="Arial" w:eastAsia="Arial" w:hAnsi="Arial"/>
        <w:color w:val="555555"/>
        <w:sz w:val="18"/>
        <w:szCs w:val="18"/>
      </w:rPr>
      <w:t xml:space="preserve">Chitkara University Institute of Engineering and Technology, Punjab, India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100"/>
    </w:pPr>
    <w:r>
      <w:rPr>
        <w:rFonts w:ascii="Arial" w:cs="Arial" w:eastAsia="Arial" w:hAnsi="Arial"/>
        <w:i/>
        <w:iCs/>
        <w:color w:val="555555"/>
        <w:sz w:val="18"/>
        <w:szCs w:val="18"/>
      </w:rPr>
      <w:t xml:space="preserve">PROJECT REPORT | A Comparative AI-based Framework of Standardizing School Infrastructure in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2026-04-30T07:32:34.763Z</dcterms:created>
  <dcterms:modified xsi:type="dcterms:W3CDTF">2026-04-30T07:32:34.764Z</dcterms:modified>
</cp:coreProperties>
</file>

<file path=docProps/custom.xml><?xml version="1.0" encoding="utf-8"?>
<Properties xmlns="http://schemas.openxmlformats.org/officeDocument/2006/custom-properties" xmlns:vt="http://schemas.openxmlformats.org/officeDocument/2006/docPropsVTypes"/>
</file>