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1AB1" w14:textId="77777777" w:rsidR="00CF1837" w:rsidRPr="00AC6188" w:rsidRDefault="00DE346A" w:rsidP="00343513">
      <w:pPr>
        <w:jc w:val="center"/>
        <w:rPr>
          <w:rFonts w:ascii="Times New Roman" w:hAnsi="Times New Roman" w:cs="Times New Roman"/>
          <w:b/>
          <w:bCs/>
          <w:sz w:val="52"/>
          <w:szCs w:val="52"/>
        </w:rPr>
      </w:pPr>
      <w:r w:rsidRPr="00AC6188">
        <w:rPr>
          <w:rFonts w:ascii="Times New Roman" w:hAnsi="Times New Roman" w:cs="Times New Roman"/>
          <w:b/>
          <w:bCs/>
          <w:sz w:val="52"/>
          <w:szCs w:val="52"/>
        </w:rPr>
        <w:t>The Attitude–Behaviour Gap in Tourist Environmental Engagement in Nainital</w:t>
      </w:r>
    </w:p>
    <w:p w14:paraId="6675EFCF" w14:textId="77777777" w:rsidR="00DE346A" w:rsidRPr="00AC6188" w:rsidRDefault="00DE346A" w:rsidP="002815BC">
      <w:pPr>
        <w:jc w:val="both"/>
        <w:rPr>
          <w:rFonts w:ascii="Times New Roman" w:hAnsi="Times New Roman" w:cs="Times New Roman"/>
          <w:b/>
          <w:bCs/>
          <w:sz w:val="24"/>
          <w:szCs w:val="24"/>
        </w:rPr>
      </w:pPr>
    </w:p>
    <w:p w14:paraId="557DCD9C" w14:textId="77777777" w:rsidR="00DE346A" w:rsidRPr="00AC6188" w:rsidRDefault="00DE346A" w:rsidP="00343513">
      <w:pPr>
        <w:jc w:val="center"/>
        <w:rPr>
          <w:rFonts w:ascii="Times New Roman" w:hAnsi="Times New Roman" w:cs="Times New Roman"/>
          <w:sz w:val="36"/>
          <w:szCs w:val="36"/>
        </w:rPr>
      </w:pPr>
      <w:r w:rsidRPr="00AC6188">
        <w:rPr>
          <w:rFonts w:ascii="Times New Roman" w:hAnsi="Times New Roman" w:cs="Times New Roman"/>
          <w:sz w:val="36"/>
          <w:szCs w:val="36"/>
        </w:rPr>
        <w:t>Urban Immersion Individual Submission:</w:t>
      </w:r>
    </w:p>
    <w:p w14:paraId="5645CBB6" w14:textId="77777777" w:rsidR="00DE346A" w:rsidRPr="00AC6188" w:rsidRDefault="00DE346A" w:rsidP="00343513">
      <w:pPr>
        <w:jc w:val="center"/>
        <w:rPr>
          <w:rFonts w:ascii="Times New Roman" w:hAnsi="Times New Roman" w:cs="Times New Roman"/>
          <w:sz w:val="36"/>
          <w:szCs w:val="36"/>
        </w:rPr>
      </w:pPr>
      <w:r w:rsidRPr="00AC6188">
        <w:rPr>
          <w:rFonts w:ascii="Times New Roman" w:hAnsi="Times New Roman" w:cs="Times New Roman"/>
          <w:sz w:val="36"/>
          <w:szCs w:val="36"/>
        </w:rPr>
        <w:t>Part 2 (Academic Paper)</w:t>
      </w:r>
    </w:p>
    <w:p w14:paraId="4EA4F07D" w14:textId="77777777" w:rsidR="00DE346A" w:rsidRPr="00AC6188" w:rsidRDefault="00DE346A" w:rsidP="002815BC">
      <w:pPr>
        <w:jc w:val="both"/>
        <w:rPr>
          <w:rFonts w:ascii="Times New Roman" w:hAnsi="Times New Roman" w:cs="Times New Roman"/>
          <w:sz w:val="24"/>
          <w:szCs w:val="24"/>
        </w:rPr>
      </w:pPr>
    </w:p>
    <w:p w14:paraId="28AAD06A" w14:textId="77777777" w:rsidR="00343513" w:rsidRPr="00AC6188" w:rsidRDefault="00343513" w:rsidP="002815BC">
      <w:pPr>
        <w:jc w:val="both"/>
        <w:rPr>
          <w:rFonts w:ascii="Times New Roman" w:hAnsi="Times New Roman" w:cs="Times New Roman"/>
          <w:sz w:val="24"/>
          <w:szCs w:val="24"/>
        </w:rPr>
      </w:pPr>
    </w:p>
    <w:p w14:paraId="3C0A46A7" w14:textId="77777777" w:rsidR="00343513" w:rsidRPr="00AC6188" w:rsidRDefault="00343513" w:rsidP="002815BC">
      <w:pPr>
        <w:jc w:val="both"/>
        <w:rPr>
          <w:rFonts w:ascii="Times New Roman" w:hAnsi="Times New Roman" w:cs="Times New Roman"/>
          <w:sz w:val="24"/>
          <w:szCs w:val="24"/>
        </w:rPr>
      </w:pPr>
    </w:p>
    <w:p w14:paraId="71454DD4" w14:textId="77777777" w:rsidR="00343513" w:rsidRPr="00AC6188" w:rsidRDefault="00343513" w:rsidP="002815BC">
      <w:pPr>
        <w:jc w:val="both"/>
        <w:rPr>
          <w:rFonts w:ascii="Times New Roman" w:hAnsi="Times New Roman" w:cs="Times New Roman"/>
          <w:sz w:val="24"/>
          <w:szCs w:val="24"/>
        </w:rPr>
      </w:pPr>
    </w:p>
    <w:p w14:paraId="0AC7C411" w14:textId="77777777" w:rsidR="00343513" w:rsidRPr="00AC6188" w:rsidRDefault="00343513" w:rsidP="002815BC">
      <w:pPr>
        <w:jc w:val="both"/>
        <w:rPr>
          <w:rFonts w:ascii="Times New Roman" w:hAnsi="Times New Roman" w:cs="Times New Roman"/>
          <w:sz w:val="24"/>
          <w:szCs w:val="24"/>
        </w:rPr>
      </w:pPr>
    </w:p>
    <w:p w14:paraId="2CB97201" w14:textId="77777777" w:rsidR="00DE346A" w:rsidRPr="00AC6188" w:rsidRDefault="00DE346A" w:rsidP="00343513">
      <w:pPr>
        <w:jc w:val="center"/>
        <w:rPr>
          <w:rFonts w:ascii="Times New Roman" w:hAnsi="Times New Roman" w:cs="Times New Roman"/>
          <w:sz w:val="36"/>
          <w:szCs w:val="36"/>
        </w:rPr>
      </w:pPr>
      <w:r w:rsidRPr="00AC6188">
        <w:rPr>
          <w:rFonts w:ascii="Times New Roman" w:hAnsi="Times New Roman" w:cs="Times New Roman"/>
          <w:sz w:val="36"/>
          <w:szCs w:val="36"/>
        </w:rPr>
        <w:t>Submitted By:</w:t>
      </w:r>
    </w:p>
    <w:p w14:paraId="6157622F" w14:textId="77777777" w:rsidR="00DE346A" w:rsidRPr="00AC6188" w:rsidRDefault="00DE346A" w:rsidP="00343513">
      <w:pPr>
        <w:jc w:val="center"/>
        <w:rPr>
          <w:rFonts w:ascii="Times New Roman" w:hAnsi="Times New Roman" w:cs="Times New Roman"/>
          <w:sz w:val="36"/>
          <w:szCs w:val="36"/>
        </w:rPr>
      </w:pPr>
      <w:r w:rsidRPr="00AC6188">
        <w:rPr>
          <w:rFonts w:ascii="Times New Roman" w:hAnsi="Times New Roman" w:cs="Times New Roman"/>
          <w:sz w:val="36"/>
          <w:szCs w:val="36"/>
        </w:rPr>
        <w:t>Aarushi Roy</w:t>
      </w:r>
    </w:p>
    <w:p w14:paraId="705E8C66" w14:textId="77777777" w:rsidR="00DE346A" w:rsidRPr="00AC6188" w:rsidRDefault="00DE346A" w:rsidP="00343513">
      <w:pPr>
        <w:jc w:val="center"/>
        <w:rPr>
          <w:rFonts w:ascii="Times New Roman" w:hAnsi="Times New Roman" w:cs="Times New Roman"/>
          <w:sz w:val="36"/>
          <w:szCs w:val="36"/>
        </w:rPr>
      </w:pPr>
      <w:r w:rsidRPr="00AC6188">
        <w:rPr>
          <w:rFonts w:ascii="Times New Roman" w:hAnsi="Times New Roman" w:cs="Times New Roman"/>
          <w:sz w:val="36"/>
          <w:szCs w:val="36"/>
        </w:rPr>
        <w:t>(M2024bsass001)</w:t>
      </w:r>
    </w:p>
    <w:p w14:paraId="763D1166" w14:textId="77777777" w:rsidR="00DE346A" w:rsidRPr="00AC6188" w:rsidRDefault="00DE346A" w:rsidP="00343513">
      <w:pPr>
        <w:jc w:val="center"/>
        <w:rPr>
          <w:rFonts w:ascii="Times New Roman" w:hAnsi="Times New Roman" w:cs="Times New Roman"/>
          <w:sz w:val="36"/>
          <w:szCs w:val="36"/>
        </w:rPr>
      </w:pPr>
      <w:r w:rsidRPr="00AC6188">
        <w:rPr>
          <w:rFonts w:ascii="Times New Roman" w:hAnsi="Times New Roman" w:cs="Times New Roman"/>
          <w:sz w:val="36"/>
          <w:szCs w:val="36"/>
        </w:rPr>
        <w:t>BS Analytics and Sustainability Studies (2024–28),</w:t>
      </w:r>
    </w:p>
    <w:p w14:paraId="1FD16912" w14:textId="77777777" w:rsidR="00DE346A" w:rsidRPr="00AC6188" w:rsidRDefault="00DE346A" w:rsidP="00343513">
      <w:pPr>
        <w:jc w:val="center"/>
        <w:rPr>
          <w:rFonts w:ascii="Times New Roman" w:hAnsi="Times New Roman" w:cs="Times New Roman"/>
          <w:sz w:val="36"/>
          <w:szCs w:val="36"/>
        </w:rPr>
      </w:pPr>
      <w:r w:rsidRPr="00AC6188">
        <w:rPr>
          <w:rFonts w:ascii="Times New Roman" w:hAnsi="Times New Roman" w:cs="Times New Roman"/>
          <w:sz w:val="36"/>
          <w:szCs w:val="36"/>
        </w:rPr>
        <w:t>Tata Institute of Social Sciences, Mumbai</w:t>
      </w:r>
    </w:p>
    <w:p w14:paraId="3FB8AA7C" w14:textId="77777777" w:rsidR="00DE346A" w:rsidRPr="00AC6188" w:rsidRDefault="00DE346A" w:rsidP="002815BC">
      <w:pPr>
        <w:jc w:val="both"/>
        <w:rPr>
          <w:rFonts w:ascii="Times New Roman" w:hAnsi="Times New Roman" w:cs="Times New Roman"/>
          <w:sz w:val="24"/>
          <w:szCs w:val="24"/>
        </w:rPr>
      </w:pPr>
    </w:p>
    <w:p w14:paraId="2A7133CF" w14:textId="77777777" w:rsidR="003F2E95" w:rsidRPr="00AC6188" w:rsidRDefault="00DE346A" w:rsidP="00343513">
      <w:pPr>
        <w:jc w:val="center"/>
        <w:rPr>
          <w:rFonts w:ascii="Times New Roman" w:hAnsi="Times New Roman" w:cs="Times New Roman"/>
          <w:sz w:val="24"/>
          <w:szCs w:val="24"/>
        </w:rPr>
      </w:pPr>
      <w:r w:rsidRPr="00AC6188">
        <w:rPr>
          <w:rFonts w:ascii="Times New Roman" w:hAnsi="Times New Roman" w:cs="Times New Roman"/>
          <w:noProof/>
          <w:sz w:val="24"/>
          <w:szCs w:val="24"/>
        </w:rPr>
        <w:drawing>
          <wp:inline distT="0" distB="0" distL="0" distR="0" wp14:anchorId="3F94CB84" wp14:editId="4A506297">
            <wp:extent cx="2806861" cy="2806861"/>
            <wp:effectExtent l="0" t="0" r="0" b="0"/>
            <wp:docPr id="1435316322" name="Picture 1" descr="Tata Institute of Social Sciences - School of Skill Education |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ta Institute of Social Sciences - School of Skill Education | Mumba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07377" cy="2807377"/>
                    </a:xfrm>
                    <a:prstGeom prst="rect">
                      <a:avLst/>
                    </a:prstGeom>
                    <a:noFill/>
                    <a:ln>
                      <a:noFill/>
                    </a:ln>
                  </pic:spPr>
                </pic:pic>
              </a:graphicData>
            </a:graphic>
          </wp:inline>
        </w:drawing>
      </w:r>
    </w:p>
    <w:p w14:paraId="53DD6118" w14:textId="77777777" w:rsidR="000B0A5B" w:rsidRPr="00AC6188" w:rsidRDefault="000B0A5B">
      <w:pPr>
        <w:rPr>
          <w:rFonts w:ascii="Times New Roman" w:hAnsi="Times New Roman" w:cs="Times New Roman"/>
          <w:sz w:val="24"/>
          <w:szCs w:val="24"/>
        </w:rPr>
      </w:pPr>
      <w:r w:rsidRPr="00AC6188">
        <w:rPr>
          <w:rFonts w:ascii="Times New Roman" w:hAnsi="Times New Roman" w:cs="Times New Roman"/>
          <w:sz w:val="24"/>
          <w:szCs w:val="24"/>
        </w:rPr>
        <w:br w:type="page"/>
      </w:r>
    </w:p>
    <w:p w14:paraId="6EE2A7D6" w14:textId="77777777" w:rsidR="002815BC" w:rsidRPr="00AC6188" w:rsidRDefault="00913962" w:rsidP="000B0A5B">
      <w:pPr>
        <w:jc w:val="center"/>
        <w:rPr>
          <w:rFonts w:ascii="Times New Roman" w:hAnsi="Times New Roman" w:cs="Times New Roman"/>
          <w:sz w:val="24"/>
          <w:szCs w:val="24"/>
        </w:rPr>
      </w:pPr>
      <w:r w:rsidRPr="00AC6188">
        <w:rPr>
          <w:rFonts w:ascii="Times New Roman" w:hAnsi="Times New Roman" w:cs="Times New Roman"/>
          <w:b/>
          <w:bCs/>
          <w:sz w:val="28"/>
          <w:szCs w:val="28"/>
        </w:rPr>
        <w:lastRenderedPageBreak/>
        <w:t>I</w:t>
      </w:r>
      <w:r w:rsidR="002815BC" w:rsidRPr="00AC6188">
        <w:rPr>
          <w:rFonts w:ascii="Times New Roman" w:hAnsi="Times New Roman" w:cs="Times New Roman"/>
          <w:b/>
          <w:bCs/>
          <w:sz w:val="28"/>
          <w:szCs w:val="28"/>
        </w:rPr>
        <w:t>ntroduction and Problem Statement</w:t>
      </w:r>
    </w:p>
    <w:p w14:paraId="084DBFF2"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Nainital, a colonial-era hill station in Uttarakhand's Kumaon region, is centred on the ecologically sensitive Naini Lake and is one of the most visited destinations in the Indian Himalayan Region. In recent years</w:t>
      </w:r>
      <w:r w:rsidR="00913962" w:rsidRPr="00AC6188">
        <w:rPr>
          <w:rFonts w:ascii="Times New Roman" w:hAnsi="Times New Roman" w:cs="Times New Roman"/>
          <w:sz w:val="24"/>
          <w:szCs w:val="24"/>
        </w:rPr>
        <w:t>,</w:t>
      </w:r>
      <w:r w:rsidRPr="00AC6188">
        <w:rPr>
          <w:rFonts w:ascii="Times New Roman" w:hAnsi="Times New Roman" w:cs="Times New Roman"/>
          <w:sz w:val="24"/>
          <w:szCs w:val="24"/>
        </w:rPr>
        <w:t xml:space="preserve"> the town's ecological base has come under measurable stress. Jain et al. (2024) documented microplastic pollution in the lake at surface concentrations of 8.6–56.0 particles per litre, rising to 88 particles per litre at hotspots, and sediment concentrations of 400–10,600 particles per kilogram. Sharma (2014) reported year-round exceedances of </w:t>
      </w:r>
      <w:r w:rsidR="00913962" w:rsidRPr="00AC6188">
        <w:rPr>
          <w:rFonts w:ascii="Times New Roman" w:hAnsi="Times New Roman" w:cs="Times New Roman"/>
          <w:sz w:val="24"/>
          <w:szCs w:val="24"/>
        </w:rPr>
        <w:t>permissible limits for turbidity</w:t>
      </w:r>
      <w:r w:rsidR="00952679" w:rsidRPr="00AC6188">
        <w:rPr>
          <w:rFonts w:ascii="Times New Roman" w:hAnsi="Times New Roman" w:cs="Times New Roman"/>
          <w:sz w:val="24"/>
          <w:szCs w:val="24"/>
        </w:rPr>
        <w:t xml:space="preserve"> (smog)</w:t>
      </w:r>
      <w:r w:rsidR="00913962" w:rsidRPr="00AC6188">
        <w:rPr>
          <w:rFonts w:ascii="Times New Roman" w:hAnsi="Times New Roman" w:cs="Times New Roman"/>
          <w:sz w:val="24"/>
          <w:szCs w:val="24"/>
        </w:rPr>
        <w:t>, conductivity, alkalinity, and heavy metals</w:t>
      </w:r>
      <w:r w:rsidRPr="00AC6188">
        <w:rPr>
          <w:rFonts w:ascii="Times New Roman" w:hAnsi="Times New Roman" w:cs="Times New Roman"/>
          <w:sz w:val="24"/>
          <w:szCs w:val="24"/>
        </w:rPr>
        <w:t xml:space="preserve">, particularly at the more heavily trafficked Mallital end. Down To Earth (2018) further notes that Naini Lake has reached </w:t>
      </w:r>
      <w:r w:rsidR="00913962" w:rsidRPr="00AC6188">
        <w:rPr>
          <w:rFonts w:ascii="Times New Roman" w:hAnsi="Times New Roman" w:cs="Times New Roman"/>
          <w:sz w:val="24"/>
          <w:szCs w:val="24"/>
        </w:rPr>
        <w:t>its zero level fifteen times since 2000, compared with only twice in the entire preceding century, and that the Sukhatal recharge zone, which contributes an estimated 40–50% of the lake's subsurface recharge, is being progressively encroached upon</w:t>
      </w:r>
      <w:r w:rsidRPr="00AC6188">
        <w:rPr>
          <w:rFonts w:ascii="Times New Roman" w:hAnsi="Times New Roman" w:cs="Times New Roman"/>
          <w:sz w:val="24"/>
          <w:szCs w:val="24"/>
        </w:rPr>
        <w:t>. In September 2024</w:t>
      </w:r>
      <w:r w:rsidR="00913962" w:rsidRPr="00AC6188">
        <w:rPr>
          <w:rFonts w:ascii="Times New Roman" w:hAnsi="Times New Roman" w:cs="Times New Roman"/>
          <w:sz w:val="24"/>
          <w:szCs w:val="24"/>
        </w:rPr>
        <w:t>,</w:t>
      </w:r>
      <w:r w:rsidRPr="00AC6188">
        <w:rPr>
          <w:rFonts w:ascii="Times New Roman" w:hAnsi="Times New Roman" w:cs="Times New Roman"/>
          <w:sz w:val="24"/>
          <w:szCs w:val="24"/>
        </w:rPr>
        <w:t xml:space="preserve"> the National Green Tribunal directed the state of Uttarakhand to classify Nainital district by carrying capacity and environmental sensitivity, triggering the state's first formal Tourist Carrying Capacity assessment in July 2025.</w:t>
      </w:r>
    </w:p>
    <w:p w14:paraId="29C95C7D"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Against this backdrop, tourist behaviour is treated in both policy and popular discourse as a proximate driver of environmental stress, and the standard response has been to install sign</w:t>
      </w:r>
      <w:r w:rsidR="003D5972" w:rsidRPr="00AC6188">
        <w:rPr>
          <w:rFonts w:ascii="Times New Roman" w:hAnsi="Times New Roman" w:cs="Times New Roman"/>
          <w:sz w:val="24"/>
          <w:szCs w:val="24"/>
        </w:rPr>
        <w:t>s</w:t>
      </w:r>
      <w:r w:rsidRPr="00AC6188">
        <w:rPr>
          <w:rFonts w:ascii="Times New Roman" w:hAnsi="Times New Roman" w:cs="Times New Roman"/>
          <w:sz w:val="24"/>
          <w:szCs w:val="24"/>
        </w:rPr>
        <w:t>, guidelines, and rules at tourist sites. Yet the empirical assumption</w:t>
      </w:r>
      <w:r w:rsidR="003D5972" w:rsidRPr="00AC6188">
        <w:rPr>
          <w:rFonts w:ascii="Times New Roman" w:hAnsi="Times New Roman" w:cs="Times New Roman"/>
          <w:sz w:val="24"/>
          <w:szCs w:val="24"/>
        </w:rPr>
        <w:t xml:space="preserve"> </w:t>
      </w:r>
      <w:r w:rsidRPr="00AC6188">
        <w:rPr>
          <w:rFonts w:ascii="Times New Roman" w:hAnsi="Times New Roman" w:cs="Times New Roman"/>
          <w:sz w:val="24"/>
          <w:szCs w:val="24"/>
        </w:rPr>
        <w:t>that awareness translates directly into behaviour</w:t>
      </w:r>
      <w:r w:rsidR="003D5972" w:rsidRPr="00AC6188">
        <w:rPr>
          <w:rFonts w:ascii="Times New Roman" w:hAnsi="Times New Roman" w:cs="Times New Roman"/>
          <w:sz w:val="24"/>
          <w:szCs w:val="24"/>
        </w:rPr>
        <w:t xml:space="preserve"> </w:t>
      </w:r>
      <w:r w:rsidRPr="00AC6188">
        <w:rPr>
          <w:rFonts w:ascii="Times New Roman" w:hAnsi="Times New Roman" w:cs="Times New Roman"/>
          <w:sz w:val="24"/>
          <w:szCs w:val="24"/>
        </w:rPr>
        <w:t>has been challenged in the environmental psychology and sustainable tourism literatures for over two decades (Blake, 1999; Kollmuss &amp; Agyeman, 2002; Juvan &amp; Dolnicar, 2014).</w:t>
      </w:r>
      <w:r w:rsidR="00C97017" w:rsidRPr="00AC6188">
        <w:rPr>
          <w:rFonts w:ascii="Times New Roman" w:hAnsi="Times New Roman" w:cs="Times New Roman"/>
          <w:sz w:val="24"/>
          <w:szCs w:val="24"/>
        </w:rPr>
        <w:t xml:space="preserve"> </w:t>
      </w:r>
    </w:p>
    <w:p w14:paraId="2CEDFC61" w14:textId="77777777" w:rsidR="00C97017"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This paper</w:t>
      </w:r>
      <w:r w:rsidR="00C97017" w:rsidRPr="00AC6188">
        <w:rPr>
          <w:rFonts w:ascii="Times New Roman" w:hAnsi="Times New Roman" w:cs="Times New Roman"/>
          <w:sz w:val="24"/>
          <w:szCs w:val="24"/>
        </w:rPr>
        <w:t>, therefore,</w:t>
      </w:r>
      <w:r w:rsidRPr="00AC6188">
        <w:rPr>
          <w:rFonts w:ascii="Times New Roman" w:hAnsi="Times New Roman" w:cs="Times New Roman"/>
          <w:sz w:val="24"/>
          <w:szCs w:val="24"/>
        </w:rPr>
        <w:t xml:space="preserve"> asks: </w:t>
      </w:r>
      <w:r w:rsidRPr="00AC6188">
        <w:rPr>
          <w:rFonts w:ascii="Times New Roman" w:hAnsi="Times New Roman" w:cs="Times New Roman"/>
          <w:i/>
          <w:iCs/>
          <w:sz w:val="24"/>
          <w:szCs w:val="24"/>
        </w:rPr>
        <w:t xml:space="preserve">How does </w:t>
      </w:r>
      <w:r w:rsidR="003D5972" w:rsidRPr="00AC6188">
        <w:rPr>
          <w:rFonts w:ascii="Times New Roman" w:hAnsi="Times New Roman" w:cs="Times New Roman"/>
          <w:i/>
          <w:iCs/>
          <w:sz w:val="24"/>
          <w:szCs w:val="24"/>
        </w:rPr>
        <w:t>tourist</w:t>
      </w:r>
      <w:r w:rsidRPr="00AC6188">
        <w:rPr>
          <w:rFonts w:ascii="Times New Roman" w:hAnsi="Times New Roman" w:cs="Times New Roman"/>
          <w:i/>
          <w:iCs/>
          <w:sz w:val="24"/>
          <w:szCs w:val="24"/>
        </w:rPr>
        <w:t xml:space="preserve"> stated awareness of on-site environmental information relate to their pro-environmental behaviour during their visit to Nainital, and what does the gap between the two reveal about the sufficiency of current environmental infrastructure?</w:t>
      </w:r>
      <w:r w:rsidRPr="00AC6188">
        <w:rPr>
          <w:rFonts w:ascii="Times New Roman" w:hAnsi="Times New Roman" w:cs="Times New Roman"/>
          <w:sz w:val="24"/>
          <w:szCs w:val="24"/>
        </w:rPr>
        <w:t xml:space="preserve"> </w:t>
      </w:r>
    </w:p>
    <w:p w14:paraId="40F7EE54"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The question is answered using primary tourist survey data (n = 311) and a supplementary ten-site environmental infrastructure audit. The paper's specific objectives are: (1) to characterise tourists' stated environmental awareness; (2) to characterise their pro-environmental behaviour; (3) to examine the association between the two and quantify the observed gap; and (4) to assess whether infrastructure provision at tourist sites is aligned with the awareness and behaviour patterns observed.</w:t>
      </w:r>
    </w:p>
    <w:p w14:paraId="027EE53C" w14:textId="77777777" w:rsidR="002815BC" w:rsidRPr="00AC6188" w:rsidRDefault="002815BC" w:rsidP="002815BC">
      <w:pPr>
        <w:jc w:val="both"/>
        <w:rPr>
          <w:rFonts w:ascii="Times New Roman" w:hAnsi="Times New Roman" w:cs="Times New Roman"/>
          <w:sz w:val="24"/>
          <w:szCs w:val="24"/>
        </w:rPr>
      </w:pPr>
    </w:p>
    <w:p w14:paraId="592CE4AB" w14:textId="77777777" w:rsidR="002815BC" w:rsidRPr="00AC6188" w:rsidRDefault="002815BC" w:rsidP="00CF3D2A">
      <w:pPr>
        <w:jc w:val="center"/>
        <w:rPr>
          <w:rFonts w:ascii="Times New Roman" w:hAnsi="Times New Roman" w:cs="Times New Roman"/>
          <w:b/>
          <w:bCs/>
          <w:sz w:val="28"/>
          <w:szCs w:val="28"/>
        </w:rPr>
      </w:pPr>
      <w:r w:rsidRPr="00AC6188">
        <w:rPr>
          <w:rFonts w:ascii="Times New Roman" w:hAnsi="Times New Roman" w:cs="Times New Roman"/>
          <w:b/>
          <w:bCs/>
          <w:sz w:val="28"/>
          <w:szCs w:val="28"/>
        </w:rPr>
        <w:t>Literature Review</w:t>
      </w:r>
    </w:p>
    <w:p w14:paraId="2A4D64F8"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2.1 The Attitude-Behaviour Gap</w:t>
      </w:r>
    </w:p>
    <w:p w14:paraId="76273756" w14:textId="77777777" w:rsidR="00371909"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The starting point for this study is the well-established finding that pro-environmental knowledge and attitudes do</w:t>
      </w:r>
      <w:r w:rsidR="00D221C1" w:rsidRPr="00AC6188">
        <w:rPr>
          <w:rFonts w:ascii="Times New Roman" w:hAnsi="Times New Roman" w:cs="Times New Roman"/>
          <w:sz w:val="24"/>
          <w:szCs w:val="24"/>
        </w:rPr>
        <w:t>es</w:t>
      </w:r>
      <w:r w:rsidRPr="00AC6188">
        <w:rPr>
          <w:rFonts w:ascii="Times New Roman" w:hAnsi="Times New Roman" w:cs="Times New Roman"/>
          <w:sz w:val="24"/>
          <w:szCs w:val="24"/>
        </w:rPr>
        <w:t xml:space="preserve"> not translate reliably into pro-environmental behaviour. </w:t>
      </w:r>
      <w:r w:rsidR="00371909" w:rsidRPr="00AC6188">
        <w:rPr>
          <w:rFonts w:ascii="Times New Roman" w:hAnsi="Times New Roman" w:cs="Times New Roman"/>
          <w:sz w:val="24"/>
          <w:szCs w:val="24"/>
        </w:rPr>
        <w:t>Kollmuss and Agyeman (2002) have combined the elements of this literature in what they describe as the "gap" between knowledge and action, discussing linear-progression models, altruism models, and sociological models, and collecting both internal and external barriers that stand between "knowledge" and "action". The "information deficit" model, which assumes more information equals more action, had been previously challenged by Blake (1999), based on evidence from the UK</w:t>
      </w:r>
      <w:r w:rsidR="00F42B11" w:rsidRPr="00AC6188">
        <w:rPr>
          <w:rFonts w:ascii="Times New Roman" w:hAnsi="Times New Roman" w:cs="Times New Roman"/>
          <w:sz w:val="24"/>
          <w:szCs w:val="24"/>
        </w:rPr>
        <w:t xml:space="preserve">, which identified three groups of barriers: individual, responsivity, </w:t>
      </w:r>
      <w:r w:rsidR="00F42B11" w:rsidRPr="00AC6188">
        <w:rPr>
          <w:rFonts w:ascii="Times New Roman" w:hAnsi="Times New Roman" w:cs="Times New Roman"/>
          <w:sz w:val="24"/>
          <w:szCs w:val="24"/>
        </w:rPr>
        <w:lastRenderedPageBreak/>
        <w:t xml:space="preserve">and </w:t>
      </w:r>
      <w:r w:rsidR="00371909" w:rsidRPr="00AC6188">
        <w:rPr>
          <w:rFonts w:ascii="Times New Roman" w:hAnsi="Times New Roman" w:cs="Times New Roman"/>
          <w:sz w:val="24"/>
          <w:szCs w:val="24"/>
        </w:rPr>
        <w:t xml:space="preserve">practicability. </w:t>
      </w:r>
      <w:r w:rsidR="00FB1A6D" w:rsidRPr="00AC6188">
        <w:rPr>
          <w:rFonts w:ascii="Times New Roman" w:hAnsi="Times New Roman" w:cs="Times New Roman"/>
          <w:sz w:val="24"/>
          <w:szCs w:val="24"/>
        </w:rPr>
        <w:t>T</w:t>
      </w:r>
      <w:r w:rsidR="00F42B11" w:rsidRPr="00AC6188">
        <w:rPr>
          <w:rFonts w:ascii="Times New Roman" w:hAnsi="Times New Roman" w:cs="Times New Roman"/>
          <w:sz w:val="24"/>
          <w:szCs w:val="24"/>
        </w:rPr>
        <w:t>his fieldwork also observed that displaying information at tourist sites is a necessary but not sufficient condition for behaviour change</w:t>
      </w:r>
      <w:r w:rsidR="00DE702D" w:rsidRPr="00AC6188">
        <w:rPr>
          <w:rFonts w:ascii="Times New Roman" w:hAnsi="Times New Roman" w:cs="Times New Roman"/>
          <w:sz w:val="24"/>
          <w:szCs w:val="24"/>
        </w:rPr>
        <w:t>.</w:t>
      </w:r>
    </w:p>
    <w:p w14:paraId="5982D5C0"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2.2 The Gap in Tourism Specifically</w:t>
      </w:r>
    </w:p>
    <w:p w14:paraId="0B4F1C2B"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Juvan and Dolnicar (2014) provide the foundational tourism-specific extension of this literature. In an ethnographic study of environmental activists on holiday, they found that even highly environmentally aware tourists displayed a marked attitude-behaviour gap and deployed six distinct justification strategies to reduce cognitive dissonance rather than change behaviour. Their central claim is that vacation behaviour is not driven by the same factors as home behaviour, and that high awareness routinely fails to produce sustainable behaviour in tourism contexts. Li et al. (2024) reviewed 331 </w:t>
      </w:r>
      <w:r w:rsidR="00D67A31" w:rsidRPr="00AC6188">
        <w:rPr>
          <w:rFonts w:ascii="Times New Roman" w:hAnsi="Times New Roman" w:cs="Times New Roman"/>
          <w:sz w:val="24"/>
          <w:szCs w:val="24"/>
        </w:rPr>
        <w:t>publications on sustainable tourist behaviour and found</w:t>
      </w:r>
      <w:r w:rsidRPr="00AC6188">
        <w:rPr>
          <w:rFonts w:ascii="Times New Roman" w:hAnsi="Times New Roman" w:cs="Times New Roman"/>
          <w:sz w:val="24"/>
          <w:szCs w:val="24"/>
        </w:rPr>
        <w:t xml:space="preserve"> that "the actions of tourists do not consistently align with their expressed attitudes and intentions." Carvajal-Trujillo, Pérez-Gálvez, and Orts-Cardador (2024), </w:t>
      </w:r>
      <w:r w:rsidR="005C43B2" w:rsidRPr="00AC6188">
        <w:rPr>
          <w:rFonts w:ascii="Times New Roman" w:hAnsi="Times New Roman" w:cs="Times New Roman"/>
          <w:sz w:val="24"/>
          <w:szCs w:val="24"/>
        </w:rPr>
        <w:t>did</w:t>
      </w:r>
      <w:r w:rsidRPr="00AC6188">
        <w:rPr>
          <w:rFonts w:ascii="Times New Roman" w:hAnsi="Times New Roman" w:cs="Times New Roman"/>
          <w:sz w:val="24"/>
          <w:szCs w:val="24"/>
        </w:rPr>
        <w:t xml:space="preserve"> a bibliometric analysis of 2,005 articles across two decades, </w:t>
      </w:r>
      <w:r w:rsidR="005C43B2" w:rsidRPr="00AC6188">
        <w:rPr>
          <w:rFonts w:ascii="Times New Roman" w:hAnsi="Times New Roman" w:cs="Times New Roman"/>
          <w:sz w:val="24"/>
          <w:szCs w:val="24"/>
        </w:rPr>
        <w:t xml:space="preserve">also </w:t>
      </w:r>
      <w:r w:rsidRPr="00AC6188">
        <w:rPr>
          <w:rFonts w:ascii="Times New Roman" w:hAnsi="Times New Roman" w:cs="Times New Roman"/>
          <w:sz w:val="24"/>
          <w:szCs w:val="24"/>
        </w:rPr>
        <w:t>concluded that positive attitudes do not necessarily translate into responsible holiday choices.</w:t>
      </w:r>
    </w:p>
    <w:p w14:paraId="74F842EF"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2.3 Value-Belief-Norm and Theory of Planned Behaviour</w:t>
      </w:r>
    </w:p>
    <w:p w14:paraId="732CB632" w14:textId="76883220" w:rsidR="003244A1" w:rsidRPr="00AC6188" w:rsidRDefault="00B522BF"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Two theories are most frequently mentioned to account for the formation of this gap. There are two theories that have recurred most often to explain when and why the gap arises. For this research, the Theory of Planned Behaviour (Ajzen, 1991) states that behaviour is a function of intention. Attitude towards the behaviour and the subjective norms, along with Perceived Behavioural Control (PBC), influence this intention. However, PBC is also known to have direct effects on behaviour under conditions of imperfect control. The Value-Belief-Norm theory (Stern, 2000) builds on values and depictions of the ecological worldview, in terms of the New Ecological Paradigm, and identifies norms (awareness of the consequences) as pointing toward an assigned responsibility and a personal moral norm that leads to behaviour. </w:t>
      </w:r>
      <w:r w:rsidR="002815BC" w:rsidRPr="00AC6188">
        <w:rPr>
          <w:rFonts w:ascii="Times New Roman" w:hAnsi="Times New Roman" w:cs="Times New Roman"/>
          <w:sz w:val="24"/>
          <w:szCs w:val="24"/>
        </w:rPr>
        <w:t>Stern's key insight for the present study is that VBN predicts environmentally significant behaviour best when beliefs are matched to a specific behaviour</w:t>
      </w:r>
      <w:r w:rsidR="00DD3213" w:rsidRPr="00AC6188">
        <w:rPr>
          <w:rFonts w:ascii="Times New Roman" w:hAnsi="Times New Roman" w:cs="Times New Roman"/>
          <w:sz w:val="24"/>
          <w:szCs w:val="24"/>
        </w:rPr>
        <w:t>.</w:t>
      </w:r>
      <w:r w:rsidR="002815BC" w:rsidRPr="00AC6188">
        <w:rPr>
          <w:rFonts w:ascii="Times New Roman" w:hAnsi="Times New Roman" w:cs="Times New Roman"/>
          <w:sz w:val="24"/>
          <w:szCs w:val="24"/>
        </w:rPr>
        <w:t xml:space="preserve"> </w:t>
      </w:r>
      <w:r w:rsidR="00DD3213" w:rsidRPr="00AC6188">
        <w:rPr>
          <w:rFonts w:ascii="Times New Roman" w:hAnsi="Times New Roman" w:cs="Times New Roman"/>
          <w:sz w:val="24"/>
          <w:szCs w:val="24"/>
        </w:rPr>
        <w:t>P</w:t>
      </w:r>
      <w:r w:rsidR="002815BC" w:rsidRPr="00AC6188">
        <w:rPr>
          <w:rFonts w:ascii="Times New Roman" w:hAnsi="Times New Roman" w:cs="Times New Roman"/>
          <w:sz w:val="24"/>
          <w:szCs w:val="24"/>
        </w:rPr>
        <w:t xml:space="preserve">redictive power </w:t>
      </w:r>
      <w:r w:rsidR="00DD3213" w:rsidRPr="00AC6188">
        <w:rPr>
          <w:rFonts w:ascii="Times New Roman" w:hAnsi="Times New Roman" w:cs="Times New Roman"/>
          <w:sz w:val="24"/>
          <w:szCs w:val="24"/>
        </w:rPr>
        <w:t xml:space="preserve">also </w:t>
      </w:r>
      <w:r w:rsidR="002815BC" w:rsidRPr="00AC6188">
        <w:rPr>
          <w:rFonts w:ascii="Times New Roman" w:hAnsi="Times New Roman" w:cs="Times New Roman"/>
          <w:sz w:val="24"/>
          <w:szCs w:val="24"/>
        </w:rPr>
        <w:t xml:space="preserve">drops sharply when researchers try to link general environmental beliefs to broad behavioural composites. </w:t>
      </w:r>
      <w:r w:rsidR="003244A1" w:rsidRPr="00AC6188">
        <w:rPr>
          <w:rFonts w:ascii="Times New Roman" w:hAnsi="Times New Roman" w:cs="Times New Roman"/>
          <w:sz w:val="24"/>
          <w:szCs w:val="24"/>
        </w:rPr>
        <w:t xml:space="preserve">Han (2015) </w:t>
      </w:r>
      <w:r w:rsidRPr="00AC6188">
        <w:rPr>
          <w:rFonts w:ascii="Times New Roman" w:hAnsi="Times New Roman" w:cs="Times New Roman"/>
          <w:sz w:val="24"/>
          <w:szCs w:val="24"/>
        </w:rPr>
        <w:t>proposed a possible merger of both models in the tourism field</w:t>
      </w:r>
      <w:r w:rsidR="007D2255" w:rsidRPr="00AC6188">
        <w:rPr>
          <w:rFonts w:ascii="Times New Roman" w:hAnsi="Times New Roman" w:cs="Times New Roman"/>
          <w:sz w:val="24"/>
          <w:szCs w:val="24"/>
        </w:rPr>
        <w:t>. He demonstrated</w:t>
      </w:r>
      <w:r w:rsidRPr="00AC6188">
        <w:rPr>
          <w:rFonts w:ascii="Times New Roman" w:hAnsi="Times New Roman" w:cs="Times New Roman"/>
          <w:sz w:val="24"/>
          <w:szCs w:val="24"/>
        </w:rPr>
        <w:t xml:space="preserve"> that both model factors are important in an eco-lodge context: personal norms, along with perceived behavioural control, explain </w:t>
      </w:r>
      <w:r w:rsidR="003244A1" w:rsidRPr="00AC6188">
        <w:rPr>
          <w:rFonts w:ascii="Times New Roman" w:hAnsi="Times New Roman" w:cs="Times New Roman"/>
          <w:sz w:val="24"/>
          <w:szCs w:val="24"/>
        </w:rPr>
        <w:t>environmental choices.</w:t>
      </w:r>
    </w:p>
    <w:p w14:paraId="1556813F"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2.4 Information</w:t>
      </w:r>
      <w:r w:rsidR="0066226C" w:rsidRPr="00AC6188">
        <w:rPr>
          <w:rFonts w:ascii="Times New Roman" w:hAnsi="Times New Roman" w:cs="Times New Roman"/>
          <w:b/>
          <w:bCs/>
          <w:sz w:val="24"/>
          <w:szCs w:val="24"/>
        </w:rPr>
        <w:t xml:space="preserve"> </w:t>
      </w:r>
      <w:r w:rsidRPr="00AC6188">
        <w:rPr>
          <w:rFonts w:ascii="Times New Roman" w:hAnsi="Times New Roman" w:cs="Times New Roman"/>
          <w:b/>
          <w:bCs/>
          <w:sz w:val="24"/>
          <w:szCs w:val="24"/>
        </w:rPr>
        <w:t>and Contextual Constraints</w:t>
      </w:r>
    </w:p>
    <w:p w14:paraId="32A902B6" w14:textId="77777777" w:rsidR="003C5769" w:rsidRPr="00AC6188" w:rsidRDefault="003C5769" w:rsidP="002815BC">
      <w:pPr>
        <w:jc w:val="both"/>
        <w:rPr>
          <w:rFonts w:ascii="Times New Roman" w:hAnsi="Times New Roman" w:cs="Times New Roman"/>
          <w:sz w:val="24"/>
          <w:szCs w:val="24"/>
        </w:rPr>
      </w:pPr>
      <w:r w:rsidRPr="00AC6188">
        <w:rPr>
          <w:rFonts w:ascii="Times New Roman" w:hAnsi="Times New Roman" w:cs="Times New Roman"/>
          <w:sz w:val="24"/>
          <w:szCs w:val="24"/>
        </w:rPr>
        <w:t>However, Steg and Vlek (2009) have argued that motivational factors alone are insufficient to explain pro-environmental behaviour. The physical infrastructure, the availability of the facilities, and enabling cues all facilitate or hinder motivating behaviour. They also note that overall, the relationship between environmental concerns and pro-environmental attitudes and behaviours is "generally not strong. A review of visitor-education programmes in protected areas by Marion and Reid (2007) revealed that overall, most visitor-education programmes changed one or more of three different variables (visitor knowledge, behaviour, or resource conditions) in a desired direction, and that most studies investigated knowledge rather than behaviour directly at the site. Similarly, Ballantyne, Packer and Falk (2011) concluded that on-site interpretation can change behaviour and that effects are unlikely to occur unless reinforced.</w:t>
      </w:r>
    </w:p>
    <w:p w14:paraId="18D9DC22"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2.5 Himalayan Hill-Station and Nainital Context</w:t>
      </w:r>
    </w:p>
    <w:p w14:paraId="78DEB9EC" w14:textId="148C4977" w:rsidR="002815BC" w:rsidRPr="00AC6188" w:rsidRDefault="003C5769" w:rsidP="002815BC">
      <w:pPr>
        <w:jc w:val="both"/>
        <w:rPr>
          <w:rFonts w:ascii="Times New Roman" w:hAnsi="Times New Roman" w:cs="Times New Roman"/>
          <w:sz w:val="24"/>
          <w:szCs w:val="24"/>
        </w:rPr>
      </w:pPr>
      <w:r w:rsidRPr="00AC6188">
        <w:rPr>
          <w:rFonts w:ascii="Times New Roman" w:hAnsi="Times New Roman" w:cs="Times New Roman"/>
          <w:sz w:val="24"/>
          <w:szCs w:val="24"/>
        </w:rPr>
        <w:lastRenderedPageBreak/>
        <w:t>Kuniyal (2005) measured the amount of solid waste generated by tourists along the Valley of Flowers–Hemkund Sahib circuit, thus quantifying the load on fragile ecosystems in Uttarakhand. According to a Mussoorie tourist survey (Sharma et al., 2022), 94.8% of tourists would prefer to use reusable alternatives to plastic</w:t>
      </w:r>
      <w:r w:rsidR="007D2255" w:rsidRPr="00AC6188">
        <w:rPr>
          <w:rFonts w:ascii="Times New Roman" w:hAnsi="Times New Roman" w:cs="Times New Roman"/>
          <w:sz w:val="24"/>
          <w:szCs w:val="24"/>
        </w:rPr>
        <w:t>,</w:t>
      </w:r>
      <w:r w:rsidRPr="00AC6188">
        <w:rPr>
          <w:rFonts w:ascii="Times New Roman" w:hAnsi="Times New Roman" w:cs="Times New Roman"/>
          <w:sz w:val="24"/>
          <w:szCs w:val="24"/>
        </w:rPr>
        <w:t xml:space="preserve"> and 73% of the tourists said that they will be ready to pay more for the same; but, the problem with plastic-waste behaviour on the ground was still there. </w:t>
      </w:r>
      <w:r w:rsidR="00BC2762" w:rsidRPr="00AC6188">
        <w:rPr>
          <w:rFonts w:ascii="Times New Roman" w:hAnsi="Times New Roman" w:cs="Times New Roman"/>
          <w:sz w:val="24"/>
          <w:szCs w:val="24"/>
        </w:rPr>
        <w:t xml:space="preserve">In a recent study, Kuniyal et al. (2025) </w:t>
      </w:r>
      <w:r w:rsidR="007D2255" w:rsidRPr="00AC6188">
        <w:rPr>
          <w:rFonts w:ascii="Times New Roman" w:hAnsi="Times New Roman" w:cs="Times New Roman"/>
          <w:sz w:val="24"/>
          <w:szCs w:val="24"/>
        </w:rPr>
        <w:t>defined daily limits for sustainable visitor numbers that were much lower than the actual numbers at the Char Dham sites, putting into context how over-tourism is observed in Nainital and situating it within a statewide</w:t>
      </w:r>
      <w:r w:rsidR="00BC2762" w:rsidRPr="00AC6188">
        <w:rPr>
          <w:rFonts w:ascii="Times New Roman" w:hAnsi="Times New Roman" w:cs="Times New Roman"/>
          <w:sz w:val="24"/>
          <w:szCs w:val="24"/>
        </w:rPr>
        <w:t xml:space="preserve"> emergency. </w:t>
      </w:r>
      <w:r w:rsidRPr="00AC6188">
        <w:rPr>
          <w:rFonts w:ascii="Times New Roman" w:hAnsi="Times New Roman" w:cs="Times New Roman"/>
          <w:sz w:val="24"/>
          <w:szCs w:val="24"/>
        </w:rPr>
        <w:t xml:space="preserve">The literature essentially lacks engagement with the ecological and hydrological aspects of Nainital (Jain et al., 2024; Sharma, 2014) and also with policy and grey literature on land-use encroachment, water depletion, and the NGT process in Nainital, in particular. </w:t>
      </w:r>
      <w:r w:rsidR="002815BC" w:rsidRPr="00AC6188">
        <w:rPr>
          <w:rFonts w:ascii="Times New Roman" w:hAnsi="Times New Roman" w:cs="Times New Roman"/>
          <w:sz w:val="24"/>
          <w:szCs w:val="24"/>
        </w:rPr>
        <w:t>No published study has quantitatively examined the attitude-behaviour link among tourists in Nainital</w:t>
      </w:r>
      <w:r w:rsidR="00345DBB" w:rsidRPr="00AC6188">
        <w:rPr>
          <w:rFonts w:ascii="Times New Roman" w:hAnsi="Times New Roman" w:cs="Times New Roman"/>
          <w:sz w:val="24"/>
          <w:szCs w:val="24"/>
        </w:rPr>
        <w:t>,</w:t>
      </w:r>
      <w:r w:rsidR="009A1994" w:rsidRPr="00AC6188">
        <w:rPr>
          <w:rFonts w:ascii="Times New Roman" w:hAnsi="Times New Roman" w:cs="Times New Roman"/>
          <w:sz w:val="24"/>
          <w:szCs w:val="24"/>
        </w:rPr>
        <w:t xml:space="preserve"> and</w:t>
      </w:r>
      <w:r w:rsidR="002815BC" w:rsidRPr="00AC6188">
        <w:rPr>
          <w:rFonts w:ascii="Times New Roman" w:hAnsi="Times New Roman" w:cs="Times New Roman"/>
          <w:sz w:val="24"/>
          <w:szCs w:val="24"/>
        </w:rPr>
        <w:t xml:space="preserve"> that is the specific gap this paper addresses.</w:t>
      </w:r>
    </w:p>
    <w:p w14:paraId="138F8E12"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2.6 Sustainable Development Goals Framing</w:t>
      </w:r>
    </w:p>
    <w:p w14:paraId="0549FB6B" w14:textId="77777777" w:rsidR="002815BC" w:rsidRPr="00AC6188" w:rsidRDefault="003C5769"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In 2017, the World Tourism Organisation and United Nations Development Programme (UNDP) correlated tourism with the 17 SDGs, focusing mainly on Goal 12 (responsible consumption and production). Following this, Dolnicar and co. (2023) further demanded empirically proven behaviour change interventions to shift the behaviour of tourists towards SDG 12-related behaviours. This paper also situates Nainital </w:t>
      </w:r>
      <w:r w:rsidR="00BC2762" w:rsidRPr="00AC6188">
        <w:rPr>
          <w:rFonts w:ascii="Times New Roman" w:hAnsi="Times New Roman" w:cs="Times New Roman"/>
          <w:sz w:val="24"/>
          <w:szCs w:val="24"/>
        </w:rPr>
        <w:t xml:space="preserve">within that call and connects it with SDG 11 (sustainable cities and communities), as Nainital is a stressed urban town in the hill region, and with SDG 15 (life on land) due to the </w:t>
      </w:r>
      <w:r w:rsidRPr="00AC6188">
        <w:rPr>
          <w:rFonts w:ascii="Times New Roman" w:hAnsi="Times New Roman" w:cs="Times New Roman"/>
          <w:sz w:val="24"/>
          <w:szCs w:val="24"/>
        </w:rPr>
        <w:t>biodiversity value of the Kumaon region.</w:t>
      </w:r>
    </w:p>
    <w:p w14:paraId="023EF82A" w14:textId="77777777" w:rsidR="003C5769" w:rsidRPr="00AC6188" w:rsidRDefault="003C5769" w:rsidP="002815BC">
      <w:pPr>
        <w:jc w:val="both"/>
        <w:rPr>
          <w:rFonts w:ascii="Times New Roman" w:hAnsi="Times New Roman" w:cs="Times New Roman"/>
          <w:sz w:val="24"/>
          <w:szCs w:val="24"/>
        </w:rPr>
      </w:pPr>
    </w:p>
    <w:p w14:paraId="44C310E4" w14:textId="77777777" w:rsidR="002815BC" w:rsidRPr="00AC6188" w:rsidRDefault="002815BC" w:rsidP="009656D2">
      <w:pPr>
        <w:jc w:val="center"/>
        <w:rPr>
          <w:rFonts w:ascii="Times New Roman" w:hAnsi="Times New Roman" w:cs="Times New Roman"/>
          <w:b/>
          <w:bCs/>
          <w:sz w:val="28"/>
          <w:szCs w:val="28"/>
        </w:rPr>
      </w:pPr>
      <w:r w:rsidRPr="00AC6188">
        <w:rPr>
          <w:rFonts w:ascii="Times New Roman" w:hAnsi="Times New Roman" w:cs="Times New Roman"/>
          <w:b/>
          <w:bCs/>
          <w:sz w:val="28"/>
          <w:szCs w:val="28"/>
        </w:rPr>
        <w:t>Theoretical Framing</w:t>
      </w:r>
    </w:p>
    <w:p w14:paraId="0A6BC610" w14:textId="70286572" w:rsidR="002815BC" w:rsidRPr="00AC6188" w:rsidRDefault="00936AE1" w:rsidP="002815BC">
      <w:pPr>
        <w:jc w:val="both"/>
        <w:rPr>
          <w:rFonts w:ascii="Times New Roman" w:hAnsi="Times New Roman" w:cs="Times New Roman"/>
          <w:sz w:val="24"/>
          <w:szCs w:val="24"/>
        </w:rPr>
      </w:pPr>
      <w:r w:rsidRPr="00AC6188">
        <w:rPr>
          <w:rFonts w:ascii="Times New Roman" w:hAnsi="Times New Roman" w:cs="Times New Roman"/>
          <w:sz w:val="24"/>
          <w:szCs w:val="24"/>
        </w:rPr>
        <w:t>This study has three nested levels. On the highest level, the value-action gap tradition of Blake (1999), Kollmuss &amp; Agyeman (2002)</w:t>
      </w:r>
      <w:r w:rsidR="007D2255" w:rsidRPr="00AC6188">
        <w:rPr>
          <w:rFonts w:ascii="Times New Roman" w:hAnsi="Times New Roman" w:cs="Times New Roman"/>
          <w:sz w:val="24"/>
          <w:szCs w:val="24"/>
        </w:rPr>
        <w:t>, and</w:t>
      </w:r>
      <w:r w:rsidRPr="00AC6188">
        <w:rPr>
          <w:rFonts w:ascii="Times New Roman" w:hAnsi="Times New Roman" w:cs="Times New Roman"/>
          <w:sz w:val="24"/>
          <w:szCs w:val="24"/>
        </w:rPr>
        <w:t xml:space="preserve"> Juvan &amp; Dolnicar (2014) provides the phenomenon of interest: Awareness does not lead to action, thus the empirical part is to characterise the gap and to look at what correlates with it. </w:t>
      </w:r>
      <w:r w:rsidR="002815BC" w:rsidRPr="00AC6188">
        <w:rPr>
          <w:rFonts w:ascii="Times New Roman" w:hAnsi="Times New Roman" w:cs="Times New Roman"/>
          <w:sz w:val="24"/>
          <w:szCs w:val="24"/>
        </w:rPr>
        <w:t xml:space="preserve">At the explanatory level, Value-Belief-Norm theory (Stern, 2000) is the primary lens because the empirical results </w:t>
      </w:r>
      <w:r w:rsidR="00BC2762" w:rsidRPr="00AC6188">
        <w:rPr>
          <w:rFonts w:ascii="Times New Roman" w:hAnsi="Times New Roman" w:cs="Times New Roman"/>
          <w:sz w:val="24"/>
          <w:szCs w:val="24"/>
        </w:rPr>
        <w:t>(</w:t>
      </w:r>
      <w:r w:rsidR="002815BC" w:rsidRPr="00AC6188">
        <w:rPr>
          <w:rFonts w:ascii="Times New Roman" w:hAnsi="Times New Roman" w:cs="Times New Roman"/>
          <w:sz w:val="24"/>
          <w:szCs w:val="24"/>
        </w:rPr>
        <w:t>presented in Section 5</w:t>
      </w:r>
      <w:r w:rsidR="00BC2762" w:rsidRPr="00AC6188">
        <w:rPr>
          <w:rFonts w:ascii="Times New Roman" w:hAnsi="Times New Roman" w:cs="Times New Roman"/>
          <w:sz w:val="24"/>
          <w:szCs w:val="24"/>
        </w:rPr>
        <w:t xml:space="preserve">) </w:t>
      </w:r>
      <w:r w:rsidR="002815BC" w:rsidRPr="00AC6188">
        <w:rPr>
          <w:rFonts w:ascii="Times New Roman" w:hAnsi="Times New Roman" w:cs="Times New Roman"/>
          <w:sz w:val="24"/>
          <w:szCs w:val="24"/>
        </w:rPr>
        <w:t>show that environmental awareness predicts a specific environment-adjacent behaviour (dustbin use) but does not predict outcomes theoretically unrelated to environmental cognition (local purchasing, overall satisfaction, general cleanliness perception, broader responsible tourism). This specificity pattern is a signature prediction of VBN.</w:t>
      </w:r>
    </w:p>
    <w:p w14:paraId="639A0603" w14:textId="77777777" w:rsidR="002815BC" w:rsidRPr="00AC6188" w:rsidRDefault="002815BC" w:rsidP="002815BC">
      <w:pPr>
        <w:jc w:val="both"/>
        <w:rPr>
          <w:rFonts w:ascii="Times New Roman" w:hAnsi="Times New Roman" w:cs="Times New Roman"/>
          <w:sz w:val="24"/>
          <w:szCs w:val="24"/>
        </w:rPr>
      </w:pPr>
    </w:p>
    <w:p w14:paraId="26E595C1" w14:textId="77777777" w:rsidR="002815BC" w:rsidRPr="00AC6188" w:rsidRDefault="002815BC" w:rsidP="00E94AF4">
      <w:pPr>
        <w:jc w:val="center"/>
        <w:rPr>
          <w:rFonts w:ascii="Times New Roman" w:hAnsi="Times New Roman" w:cs="Times New Roman"/>
          <w:b/>
          <w:bCs/>
          <w:sz w:val="28"/>
          <w:szCs w:val="28"/>
        </w:rPr>
      </w:pPr>
      <w:r w:rsidRPr="00AC6188">
        <w:rPr>
          <w:rFonts w:ascii="Times New Roman" w:hAnsi="Times New Roman" w:cs="Times New Roman"/>
          <w:b/>
          <w:bCs/>
          <w:sz w:val="28"/>
          <w:szCs w:val="28"/>
        </w:rPr>
        <w:t>Methodology</w:t>
      </w:r>
    </w:p>
    <w:p w14:paraId="50AEDFD5"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4.1 Study Design</w:t>
      </w:r>
    </w:p>
    <w:p w14:paraId="5FCDDC99" w14:textId="77777777" w:rsidR="004E2C83" w:rsidRPr="00AC6188" w:rsidRDefault="002815BC" w:rsidP="00472A2B">
      <w:pPr>
        <w:jc w:val="both"/>
        <w:rPr>
          <w:rFonts w:ascii="Times New Roman" w:hAnsi="Times New Roman" w:cs="Times New Roman"/>
          <w:sz w:val="24"/>
          <w:szCs w:val="24"/>
        </w:rPr>
      </w:pPr>
      <w:r w:rsidRPr="00AC6188">
        <w:rPr>
          <w:rFonts w:ascii="Times New Roman" w:hAnsi="Times New Roman" w:cs="Times New Roman"/>
          <w:sz w:val="24"/>
          <w:szCs w:val="24"/>
        </w:rPr>
        <w:t xml:space="preserve">The study uses a cross-sectional, mixed-methods design combining </w:t>
      </w:r>
      <w:r w:rsidR="00D90112" w:rsidRPr="00AC6188">
        <w:rPr>
          <w:rFonts w:ascii="Times New Roman" w:hAnsi="Times New Roman" w:cs="Times New Roman"/>
          <w:sz w:val="24"/>
          <w:szCs w:val="24"/>
        </w:rPr>
        <w:t xml:space="preserve">a </w:t>
      </w:r>
      <w:r w:rsidRPr="00AC6188">
        <w:rPr>
          <w:rFonts w:ascii="Times New Roman" w:hAnsi="Times New Roman" w:cs="Times New Roman"/>
          <w:sz w:val="24"/>
          <w:szCs w:val="24"/>
        </w:rPr>
        <w:t>tourist</w:t>
      </w:r>
      <w:r w:rsidR="009E0D8F" w:rsidRPr="00AC6188">
        <w:rPr>
          <w:rFonts w:ascii="Times New Roman" w:hAnsi="Times New Roman" w:cs="Times New Roman"/>
          <w:sz w:val="24"/>
          <w:szCs w:val="24"/>
        </w:rPr>
        <w:t xml:space="preserve"> </w:t>
      </w:r>
      <w:r w:rsidRPr="00AC6188">
        <w:rPr>
          <w:rFonts w:ascii="Times New Roman" w:hAnsi="Times New Roman" w:cs="Times New Roman"/>
          <w:sz w:val="24"/>
          <w:szCs w:val="24"/>
        </w:rPr>
        <w:t>survey</w:t>
      </w:r>
      <w:r w:rsidR="009E0D8F" w:rsidRPr="00AC6188">
        <w:rPr>
          <w:rFonts w:ascii="Times New Roman" w:hAnsi="Times New Roman" w:cs="Times New Roman"/>
          <w:sz w:val="24"/>
          <w:szCs w:val="24"/>
        </w:rPr>
        <w:t xml:space="preserve"> (Tourist Data) </w:t>
      </w:r>
      <w:r w:rsidRPr="00AC6188">
        <w:rPr>
          <w:rFonts w:ascii="Times New Roman" w:hAnsi="Times New Roman" w:cs="Times New Roman"/>
          <w:sz w:val="24"/>
          <w:szCs w:val="24"/>
        </w:rPr>
        <w:t>with an on-site environmental infrastructure audit</w:t>
      </w:r>
      <w:r w:rsidR="009E0D8F" w:rsidRPr="00AC6188">
        <w:rPr>
          <w:rFonts w:ascii="Times New Roman" w:hAnsi="Times New Roman" w:cs="Times New Roman"/>
          <w:sz w:val="24"/>
          <w:szCs w:val="24"/>
        </w:rPr>
        <w:t xml:space="preserve"> (Location Data)</w:t>
      </w:r>
      <w:r w:rsidRPr="00AC6188">
        <w:rPr>
          <w:rFonts w:ascii="Times New Roman" w:hAnsi="Times New Roman" w:cs="Times New Roman"/>
          <w:sz w:val="24"/>
          <w:szCs w:val="24"/>
        </w:rPr>
        <w:t xml:space="preserve">. </w:t>
      </w:r>
    </w:p>
    <w:p w14:paraId="7794BAD6"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4.</w:t>
      </w:r>
      <w:r w:rsidR="00B64729" w:rsidRPr="00AC6188">
        <w:rPr>
          <w:rFonts w:ascii="Times New Roman" w:hAnsi="Times New Roman" w:cs="Times New Roman"/>
          <w:b/>
          <w:bCs/>
          <w:sz w:val="24"/>
          <w:szCs w:val="24"/>
        </w:rPr>
        <w:t>2</w:t>
      </w:r>
      <w:r w:rsidRPr="00AC6188">
        <w:rPr>
          <w:rFonts w:ascii="Times New Roman" w:hAnsi="Times New Roman" w:cs="Times New Roman"/>
          <w:b/>
          <w:bCs/>
          <w:sz w:val="24"/>
          <w:szCs w:val="24"/>
        </w:rPr>
        <w:t xml:space="preserve"> Sampling and Sample Description</w:t>
      </w:r>
    </w:p>
    <w:p w14:paraId="1FD09B1B" w14:textId="22199F71" w:rsidR="00A26D3A" w:rsidRPr="00AC6188" w:rsidRDefault="00A26D3A"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Tourist respondents have been surveyed </w:t>
      </w:r>
      <w:r w:rsidR="007D2255" w:rsidRPr="00AC6188">
        <w:rPr>
          <w:rFonts w:ascii="Times New Roman" w:hAnsi="Times New Roman" w:cs="Times New Roman"/>
          <w:sz w:val="24"/>
          <w:szCs w:val="24"/>
        </w:rPr>
        <w:t>at Naini Lake and in nearby high-tourist areas</w:t>
      </w:r>
      <w:r w:rsidRPr="00AC6188">
        <w:rPr>
          <w:rFonts w:ascii="Times New Roman" w:hAnsi="Times New Roman" w:cs="Times New Roman"/>
          <w:sz w:val="24"/>
          <w:szCs w:val="24"/>
        </w:rPr>
        <w:t xml:space="preserve">. Prior to administration, consent has been obtained on-record with the tourists. 320 responses were </w:t>
      </w:r>
      <w:r w:rsidRPr="00AC6188">
        <w:rPr>
          <w:rFonts w:ascii="Times New Roman" w:hAnsi="Times New Roman" w:cs="Times New Roman"/>
          <w:sz w:val="24"/>
          <w:szCs w:val="24"/>
        </w:rPr>
        <w:lastRenderedPageBreak/>
        <w:t>received; 311 were used</w:t>
      </w:r>
      <w:r w:rsidR="007D2255" w:rsidRPr="00AC6188">
        <w:rPr>
          <w:rFonts w:ascii="Times New Roman" w:hAnsi="Times New Roman" w:cs="Times New Roman"/>
          <w:sz w:val="24"/>
          <w:szCs w:val="24"/>
        </w:rPr>
        <w:t>,</w:t>
      </w:r>
      <w:r w:rsidRPr="00AC6188">
        <w:rPr>
          <w:rFonts w:ascii="Times New Roman" w:hAnsi="Times New Roman" w:cs="Times New Roman"/>
          <w:sz w:val="24"/>
          <w:szCs w:val="24"/>
        </w:rPr>
        <w:t xml:space="preserve"> and the remainder (1 non-consent and 8 blanks) were dropped. The last sample consisted of 62% male, 37% female and less than 1% other gender. 58% of the sample were first-time visitors. 57% of the respondents were domestic </w:t>
      </w:r>
      <w:r w:rsidR="007D2255" w:rsidRPr="00AC6188">
        <w:rPr>
          <w:rFonts w:ascii="Times New Roman" w:hAnsi="Times New Roman" w:cs="Times New Roman"/>
          <w:sz w:val="24"/>
          <w:szCs w:val="24"/>
        </w:rPr>
        <w:t>travellers, with the highest numbers coming from Uttar Pradesh (36%), followed by Delhi (19%),</w:t>
      </w:r>
      <w:r w:rsidRPr="00AC6188">
        <w:rPr>
          <w:rFonts w:ascii="Times New Roman" w:hAnsi="Times New Roman" w:cs="Times New Roman"/>
          <w:sz w:val="24"/>
          <w:szCs w:val="24"/>
        </w:rPr>
        <w:t xml:space="preserve"> Uttarakhand (6%) and 3% from overseas. Leisure/Vacation (52%) and Family Trip (33%) were the major reasons for visits</w:t>
      </w:r>
      <w:r w:rsidR="007D2255" w:rsidRPr="00AC6188">
        <w:rPr>
          <w:rFonts w:ascii="Times New Roman" w:hAnsi="Times New Roman" w:cs="Times New Roman"/>
          <w:sz w:val="24"/>
          <w:szCs w:val="24"/>
        </w:rPr>
        <w:t>,</w:t>
      </w:r>
      <w:r w:rsidRPr="00AC6188">
        <w:rPr>
          <w:rFonts w:ascii="Times New Roman" w:hAnsi="Times New Roman" w:cs="Times New Roman"/>
          <w:sz w:val="24"/>
          <w:szCs w:val="24"/>
        </w:rPr>
        <w:t xml:space="preserve"> while Pilgrimage, Honeymoon, Adventure, and Business+Leisure each accounted for 13% of visits. The median duration was 1-2 days. Ten sites were surveyed and selected for infrastructure audit because they were considered to be representative of the lake boundary, commercial and viewing areas.</w:t>
      </w:r>
    </w:p>
    <w:p w14:paraId="20DB1BEC" w14:textId="77777777" w:rsidR="00BE0A94" w:rsidRPr="00AC6188" w:rsidRDefault="00F27489" w:rsidP="00F27489">
      <w:pPr>
        <w:jc w:val="center"/>
        <w:rPr>
          <w:rFonts w:ascii="Times New Roman" w:hAnsi="Times New Roman" w:cs="Times New Roman"/>
          <w:sz w:val="24"/>
          <w:szCs w:val="24"/>
        </w:rPr>
      </w:pPr>
      <w:r w:rsidRPr="00AC6188">
        <w:rPr>
          <w:rFonts w:ascii="Times New Roman" w:hAnsi="Times New Roman" w:cs="Times New Roman"/>
          <w:noProof/>
          <w:sz w:val="24"/>
          <w:szCs w:val="24"/>
        </w:rPr>
        <w:drawing>
          <wp:inline distT="0" distB="0" distL="0" distR="0" wp14:anchorId="08E31A51" wp14:editId="0B7558A4">
            <wp:extent cx="5731510" cy="3223895"/>
            <wp:effectExtent l="0" t="0" r="2540" b="0"/>
            <wp:docPr id="167130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05861" name=""/>
                    <pic:cNvPicPr/>
                  </pic:nvPicPr>
                  <pic:blipFill>
                    <a:blip r:embed="rId5"/>
                    <a:stretch>
                      <a:fillRect/>
                    </a:stretch>
                  </pic:blipFill>
                  <pic:spPr>
                    <a:xfrm>
                      <a:off x="0" y="0"/>
                      <a:ext cx="5731510" cy="3223895"/>
                    </a:xfrm>
                    <a:prstGeom prst="rect">
                      <a:avLst/>
                    </a:prstGeom>
                  </pic:spPr>
                </pic:pic>
              </a:graphicData>
            </a:graphic>
          </wp:inline>
        </w:drawing>
      </w:r>
      <w:r w:rsidR="00BB38CA" w:rsidRPr="00AC6188">
        <w:rPr>
          <w:rFonts w:ascii="Times New Roman" w:hAnsi="Times New Roman" w:cs="Times New Roman"/>
          <w:sz w:val="24"/>
          <w:szCs w:val="24"/>
        </w:rPr>
        <w:br/>
        <w:t>Figure. 1</w:t>
      </w:r>
    </w:p>
    <w:p w14:paraId="10CB00A8" w14:textId="77777777" w:rsidR="00F27489" w:rsidRPr="00AC6188" w:rsidRDefault="00F27489" w:rsidP="00F27489">
      <w:pPr>
        <w:jc w:val="center"/>
        <w:rPr>
          <w:rFonts w:ascii="Times New Roman" w:hAnsi="Times New Roman" w:cs="Times New Roman"/>
          <w:sz w:val="24"/>
          <w:szCs w:val="24"/>
        </w:rPr>
      </w:pPr>
    </w:p>
    <w:p w14:paraId="56E4F14A"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4.</w:t>
      </w:r>
      <w:r w:rsidR="00B64729" w:rsidRPr="00AC6188">
        <w:rPr>
          <w:rFonts w:ascii="Times New Roman" w:hAnsi="Times New Roman" w:cs="Times New Roman"/>
          <w:b/>
          <w:bCs/>
          <w:sz w:val="24"/>
          <w:szCs w:val="24"/>
        </w:rPr>
        <w:t>3</w:t>
      </w:r>
      <w:r w:rsidRPr="00AC6188">
        <w:rPr>
          <w:rFonts w:ascii="Times New Roman" w:hAnsi="Times New Roman" w:cs="Times New Roman"/>
          <w:b/>
          <w:bCs/>
          <w:sz w:val="24"/>
          <w:szCs w:val="24"/>
        </w:rPr>
        <w:t xml:space="preserve"> Data Cleaning and Variable Construction</w:t>
      </w:r>
    </w:p>
    <w:p w14:paraId="28098FEE" w14:textId="4302A8B1" w:rsidR="00881F98" w:rsidRPr="00AC6188" w:rsidRDefault="00881F98" w:rsidP="00C56C85">
      <w:pPr>
        <w:jc w:val="both"/>
        <w:rPr>
          <w:rFonts w:ascii="Times New Roman" w:hAnsi="Times New Roman" w:cs="Times New Roman"/>
          <w:sz w:val="24"/>
          <w:szCs w:val="24"/>
        </w:rPr>
      </w:pPr>
      <w:r w:rsidRPr="00AC6188">
        <w:rPr>
          <w:rFonts w:ascii="Times New Roman" w:hAnsi="Times New Roman" w:cs="Times New Roman"/>
          <w:sz w:val="24"/>
          <w:szCs w:val="24"/>
        </w:rPr>
        <w:t xml:space="preserve">Data cleaning was performed in Python and </w:t>
      </w:r>
      <w:r w:rsidR="007D2255" w:rsidRPr="00AC6188">
        <w:rPr>
          <w:rFonts w:ascii="Times New Roman" w:hAnsi="Times New Roman" w:cs="Times New Roman"/>
          <w:sz w:val="24"/>
          <w:szCs w:val="24"/>
        </w:rPr>
        <w:t>executed sequentially for documentation</w:t>
      </w:r>
      <w:r w:rsidRPr="00AC6188">
        <w:rPr>
          <w:rFonts w:ascii="Times New Roman" w:hAnsi="Times New Roman" w:cs="Times New Roman"/>
          <w:sz w:val="24"/>
          <w:szCs w:val="24"/>
        </w:rPr>
        <w:t xml:space="preserve">. Version split columns were consolidated if the two versions had </w:t>
      </w:r>
      <w:r w:rsidR="007D2255" w:rsidRPr="00AC6188">
        <w:rPr>
          <w:rFonts w:ascii="Times New Roman" w:hAnsi="Times New Roman" w:cs="Times New Roman"/>
          <w:sz w:val="24"/>
          <w:szCs w:val="24"/>
        </w:rPr>
        <w:t>structurally equivalent columns or retained if structurally different</w:t>
      </w:r>
      <w:r w:rsidRPr="00AC6188">
        <w:rPr>
          <w:rFonts w:ascii="Times New Roman" w:hAnsi="Times New Roman" w:cs="Times New Roman"/>
          <w:sz w:val="24"/>
          <w:szCs w:val="24"/>
        </w:rPr>
        <w:t xml:space="preserve">, such as the amenity-use item in one version vs. the same item in the other but with a binary column. </w:t>
      </w:r>
      <w:r w:rsidR="007D2255" w:rsidRPr="00AC6188">
        <w:rPr>
          <w:rFonts w:ascii="Times New Roman" w:hAnsi="Times New Roman" w:cs="Times New Roman"/>
          <w:sz w:val="24"/>
          <w:szCs w:val="24"/>
        </w:rPr>
        <w:t>A clearly implausible value</w:t>
      </w:r>
      <w:r w:rsidRPr="00AC6188">
        <w:rPr>
          <w:rFonts w:ascii="Times New Roman" w:hAnsi="Times New Roman" w:cs="Times New Roman"/>
          <w:sz w:val="24"/>
          <w:szCs w:val="24"/>
        </w:rPr>
        <w:t>, in this example</w:t>
      </w:r>
      <w:r w:rsidR="007D2255" w:rsidRPr="00AC6188">
        <w:rPr>
          <w:rFonts w:ascii="Times New Roman" w:hAnsi="Times New Roman" w:cs="Times New Roman"/>
          <w:sz w:val="24"/>
          <w:szCs w:val="24"/>
        </w:rPr>
        <w:t>, a 10,000-night</w:t>
      </w:r>
      <w:r w:rsidRPr="00AC6188">
        <w:rPr>
          <w:rFonts w:ascii="Times New Roman" w:hAnsi="Times New Roman" w:cs="Times New Roman"/>
          <w:sz w:val="24"/>
          <w:szCs w:val="24"/>
        </w:rPr>
        <w:t xml:space="preserve"> stay was not imputed but was left at a "missing" value. To reconcile the results of three different question formats used across the different versions of the questionnaire, length of stay was collapsed into four categories: day trip, 1-2 days, 3-5 days, </w:t>
      </w:r>
      <w:r w:rsidR="007D2255" w:rsidRPr="00AC6188">
        <w:rPr>
          <w:rFonts w:ascii="Times New Roman" w:hAnsi="Times New Roman" w:cs="Times New Roman"/>
          <w:sz w:val="24"/>
          <w:szCs w:val="24"/>
        </w:rPr>
        <w:t>and</w:t>
      </w:r>
      <w:r w:rsidRPr="00AC6188">
        <w:rPr>
          <w:rFonts w:ascii="Times New Roman" w:hAnsi="Times New Roman" w:cs="Times New Roman"/>
          <w:sz w:val="24"/>
          <w:szCs w:val="24"/>
        </w:rPr>
        <w:t xml:space="preserve">&gt;5 days. Entries related to expenditures were forced into a five banded system. Key variables in the study were created as outlined below. </w:t>
      </w:r>
    </w:p>
    <w:p w14:paraId="11E37475" w14:textId="08B908E7" w:rsidR="00881F98" w:rsidRPr="00AC6188" w:rsidRDefault="00881F98" w:rsidP="00C56C85">
      <w:pPr>
        <w:jc w:val="both"/>
        <w:rPr>
          <w:rFonts w:ascii="Times New Roman" w:hAnsi="Times New Roman" w:cs="Times New Roman"/>
          <w:sz w:val="24"/>
          <w:szCs w:val="24"/>
        </w:rPr>
      </w:pPr>
      <w:r w:rsidRPr="00AC6188">
        <w:rPr>
          <w:rFonts w:ascii="Times New Roman" w:hAnsi="Times New Roman" w:cs="Times New Roman"/>
          <w:sz w:val="24"/>
          <w:szCs w:val="24"/>
        </w:rPr>
        <w:t>Primary awareness was considered in its binary form (seen/not seen) for the tourist concerning the presence of the environmental guidelines</w:t>
      </w:r>
      <w:r w:rsidR="007D2255" w:rsidRPr="00AC6188">
        <w:rPr>
          <w:rFonts w:ascii="Times New Roman" w:hAnsi="Times New Roman" w:cs="Times New Roman"/>
          <w:sz w:val="24"/>
          <w:szCs w:val="24"/>
        </w:rPr>
        <w:t>,</w:t>
      </w:r>
      <w:r w:rsidRPr="00AC6188">
        <w:rPr>
          <w:rFonts w:ascii="Times New Roman" w:hAnsi="Times New Roman" w:cs="Times New Roman"/>
          <w:sz w:val="24"/>
          <w:szCs w:val="24"/>
        </w:rPr>
        <w:t xml:space="preserve"> specifically. As only one information item is environmental </w:t>
      </w:r>
      <w:r w:rsidR="00B61860" w:rsidRPr="00AC6188">
        <w:rPr>
          <w:rFonts w:ascii="Times New Roman" w:hAnsi="Times New Roman" w:cs="Times New Roman"/>
          <w:sz w:val="24"/>
          <w:szCs w:val="24"/>
        </w:rPr>
        <w:t>(</w:t>
      </w:r>
      <w:r w:rsidRPr="00AC6188">
        <w:rPr>
          <w:rFonts w:ascii="Times New Roman" w:hAnsi="Times New Roman" w:cs="Times New Roman"/>
          <w:sz w:val="24"/>
          <w:szCs w:val="24"/>
        </w:rPr>
        <w:t>environmental guidelines</w:t>
      </w:r>
      <w:r w:rsidR="00B61860" w:rsidRPr="00AC6188">
        <w:rPr>
          <w:rFonts w:ascii="Times New Roman" w:hAnsi="Times New Roman" w:cs="Times New Roman"/>
          <w:sz w:val="24"/>
          <w:szCs w:val="24"/>
        </w:rPr>
        <w:t>)</w:t>
      </w:r>
      <w:r w:rsidR="007D2255" w:rsidRPr="00AC6188">
        <w:rPr>
          <w:rFonts w:ascii="Times New Roman" w:hAnsi="Times New Roman" w:cs="Times New Roman"/>
          <w:sz w:val="24"/>
          <w:szCs w:val="24"/>
        </w:rPr>
        <w:t>, it was identified as a control item; a general information awareness score was compiled by aggregating across all items except the content item, which is not</w:t>
      </w:r>
      <w:r w:rsidRPr="00AC6188">
        <w:rPr>
          <w:rFonts w:ascii="Times New Roman" w:hAnsi="Times New Roman" w:cs="Times New Roman"/>
          <w:sz w:val="24"/>
          <w:szCs w:val="24"/>
        </w:rPr>
        <w:t xml:space="preserve"> a primary construct. The </w:t>
      </w:r>
      <w:r w:rsidR="007D2255" w:rsidRPr="00AC6188">
        <w:rPr>
          <w:rFonts w:ascii="Times New Roman" w:hAnsi="Times New Roman" w:cs="Times New Roman"/>
          <w:sz w:val="24"/>
          <w:szCs w:val="24"/>
        </w:rPr>
        <w:t>dustbin-use behavioural item was adopted to represent primary pro-environment</w:t>
      </w:r>
      <w:r w:rsidRPr="00AC6188">
        <w:rPr>
          <w:rFonts w:ascii="Times New Roman" w:hAnsi="Times New Roman" w:cs="Times New Roman"/>
          <w:sz w:val="24"/>
          <w:szCs w:val="24"/>
        </w:rPr>
        <w:t xml:space="preserve"> behaviour (binary). </w:t>
      </w:r>
    </w:p>
    <w:p w14:paraId="5DF75B8F" w14:textId="103C4BB6" w:rsidR="00881F98" w:rsidRPr="00AC6188" w:rsidRDefault="00881F98" w:rsidP="00C56C85">
      <w:pPr>
        <w:jc w:val="both"/>
        <w:rPr>
          <w:rFonts w:ascii="Times New Roman" w:hAnsi="Times New Roman" w:cs="Times New Roman"/>
          <w:sz w:val="24"/>
          <w:szCs w:val="24"/>
        </w:rPr>
      </w:pPr>
      <w:r w:rsidRPr="00AC6188">
        <w:rPr>
          <w:rFonts w:ascii="Times New Roman" w:hAnsi="Times New Roman" w:cs="Times New Roman"/>
          <w:sz w:val="24"/>
          <w:szCs w:val="24"/>
        </w:rPr>
        <w:lastRenderedPageBreak/>
        <w:t xml:space="preserve">A second, more general Responsible Tourism Behaviour Score (0-3) was developed as the </w:t>
      </w:r>
      <w:r w:rsidR="007D2255" w:rsidRPr="00AC6188">
        <w:rPr>
          <w:rFonts w:ascii="Times New Roman" w:hAnsi="Times New Roman" w:cs="Times New Roman"/>
          <w:sz w:val="24"/>
          <w:szCs w:val="24"/>
        </w:rPr>
        <w:t>sum of the three sub-scores (dustbin use, purchase of local products, and local guide) and tested for discriminant validity</w:t>
      </w:r>
      <w:r w:rsidRPr="00AC6188">
        <w:rPr>
          <w:rFonts w:ascii="Times New Roman" w:hAnsi="Times New Roman" w:cs="Times New Roman"/>
          <w:sz w:val="24"/>
          <w:szCs w:val="24"/>
        </w:rPr>
        <w:t xml:space="preserve">. Free-text responses to the question on </w:t>
      </w:r>
      <w:r w:rsidR="007D2255" w:rsidRPr="00AC6188">
        <w:rPr>
          <w:rFonts w:ascii="Times New Roman" w:hAnsi="Times New Roman" w:cs="Times New Roman"/>
          <w:sz w:val="24"/>
          <w:szCs w:val="24"/>
        </w:rPr>
        <w:t>state of origin were recoded into State response types, with cities incorporated into their State, and small "Other" and "International" categories</w:t>
      </w:r>
      <w:r w:rsidRPr="00AC6188">
        <w:rPr>
          <w:rFonts w:ascii="Times New Roman" w:hAnsi="Times New Roman" w:cs="Times New Roman"/>
          <w:sz w:val="24"/>
          <w:szCs w:val="24"/>
        </w:rPr>
        <w:t xml:space="preserve"> retained. </w:t>
      </w:r>
      <w:r w:rsidR="007D2255" w:rsidRPr="00AC6188">
        <w:rPr>
          <w:rFonts w:ascii="Times New Roman" w:hAnsi="Times New Roman" w:cs="Times New Roman"/>
          <w:sz w:val="24"/>
          <w:szCs w:val="24"/>
        </w:rPr>
        <w:t>A hierarchy of "specificity" was used to collapse multiple selections</w:t>
      </w:r>
      <w:r w:rsidRPr="00AC6188">
        <w:rPr>
          <w:rFonts w:ascii="Times New Roman" w:hAnsi="Times New Roman" w:cs="Times New Roman"/>
          <w:sz w:val="24"/>
          <w:szCs w:val="24"/>
        </w:rPr>
        <w:t xml:space="preserve"> of purpose-of-visit, where the most specific category found in the answer was the most specific category to which to collapse. Two additive scores of infrastructure were built using location audit variables. The sum of </w:t>
      </w:r>
      <w:r w:rsidR="007D2255" w:rsidRPr="00AC6188">
        <w:rPr>
          <w:rFonts w:ascii="Times New Roman" w:hAnsi="Times New Roman" w:cs="Times New Roman"/>
          <w:sz w:val="24"/>
          <w:szCs w:val="24"/>
        </w:rPr>
        <w:t xml:space="preserve">the </w:t>
      </w:r>
      <w:r w:rsidRPr="00AC6188">
        <w:rPr>
          <w:rFonts w:ascii="Times New Roman" w:hAnsi="Times New Roman" w:cs="Times New Roman"/>
          <w:sz w:val="24"/>
          <w:szCs w:val="24"/>
        </w:rPr>
        <w:t>presence of environmental guidelines, rules and regulations, dustbin functional status, dustbin segregation and public toilet presence yielded an Environmental Infrastructure Score (0–5). A General Urban Infrastructure Score (0-6) was calculated</w:t>
      </w:r>
      <w:r w:rsidR="007D2255" w:rsidRPr="00AC6188">
        <w:rPr>
          <w:rFonts w:ascii="Times New Roman" w:hAnsi="Times New Roman" w:cs="Times New Roman"/>
          <w:sz w:val="24"/>
          <w:szCs w:val="24"/>
        </w:rPr>
        <w:t>, which added together the scores</w:t>
      </w:r>
      <w:r w:rsidRPr="00AC6188">
        <w:rPr>
          <w:rFonts w:ascii="Times New Roman" w:hAnsi="Times New Roman" w:cs="Times New Roman"/>
          <w:sz w:val="24"/>
          <w:szCs w:val="24"/>
        </w:rPr>
        <w:t xml:space="preserve"> for three elements (footpath, disability access, directional signage presence, multilingual signage presence, parking availability, and emergency contact display). Other features </w:t>
      </w:r>
      <w:r w:rsidR="007D2255" w:rsidRPr="00AC6188">
        <w:rPr>
          <w:rFonts w:ascii="Times New Roman" w:hAnsi="Times New Roman" w:cs="Times New Roman"/>
          <w:sz w:val="24"/>
          <w:szCs w:val="24"/>
        </w:rPr>
        <w:t>that score 1 on all sites, e.g., on-site WiFi and healthcare, did not count toward the scoring but are included in this descriptive report as features</w:t>
      </w:r>
      <w:r w:rsidRPr="00AC6188">
        <w:rPr>
          <w:rFonts w:ascii="Times New Roman" w:hAnsi="Times New Roman" w:cs="Times New Roman"/>
          <w:sz w:val="24"/>
          <w:szCs w:val="24"/>
        </w:rPr>
        <w:t>.</w:t>
      </w:r>
    </w:p>
    <w:p w14:paraId="7580597C" w14:textId="77777777" w:rsidR="002815BC" w:rsidRPr="00AC6188" w:rsidRDefault="002815BC" w:rsidP="00B64729">
      <w:pPr>
        <w:rPr>
          <w:rFonts w:ascii="Times New Roman" w:hAnsi="Times New Roman" w:cs="Times New Roman"/>
          <w:b/>
          <w:bCs/>
          <w:sz w:val="24"/>
          <w:szCs w:val="24"/>
        </w:rPr>
      </w:pPr>
      <w:r w:rsidRPr="00AC6188">
        <w:rPr>
          <w:rFonts w:ascii="Times New Roman" w:hAnsi="Times New Roman" w:cs="Times New Roman"/>
          <w:b/>
          <w:bCs/>
          <w:sz w:val="24"/>
          <w:szCs w:val="24"/>
        </w:rPr>
        <w:t>4.</w:t>
      </w:r>
      <w:r w:rsidR="00B64729" w:rsidRPr="00AC6188">
        <w:rPr>
          <w:rFonts w:ascii="Times New Roman" w:hAnsi="Times New Roman" w:cs="Times New Roman"/>
          <w:b/>
          <w:bCs/>
          <w:sz w:val="24"/>
          <w:szCs w:val="24"/>
        </w:rPr>
        <w:t>4</w:t>
      </w:r>
      <w:r w:rsidRPr="00AC6188">
        <w:rPr>
          <w:rFonts w:ascii="Times New Roman" w:hAnsi="Times New Roman" w:cs="Times New Roman"/>
          <w:b/>
          <w:bCs/>
          <w:sz w:val="24"/>
          <w:szCs w:val="24"/>
        </w:rPr>
        <w:t xml:space="preserve"> Analytical Approach</w:t>
      </w:r>
    </w:p>
    <w:p w14:paraId="57F5D066" w14:textId="38FA8C50" w:rsidR="00C56C85" w:rsidRPr="00AC6188" w:rsidRDefault="00C56C85" w:rsidP="00C56C85">
      <w:pPr>
        <w:jc w:val="both"/>
        <w:rPr>
          <w:rFonts w:ascii="Times New Roman" w:hAnsi="Times New Roman" w:cs="Times New Roman"/>
          <w:sz w:val="24"/>
          <w:szCs w:val="24"/>
        </w:rPr>
      </w:pPr>
      <w:r w:rsidRPr="00AC6188">
        <w:rPr>
          <w:rFonts w:ascii="Times New Roman" w:hAnsi="Times New Roman" w:cs="Times New Roman"/>
          <w:sz w:val="24"/>
          <w:szCs w:val="24"/>
        </w:rPr>
        <w:t xml:space="preserve">Descriptive </w:t>
      </w:r>
      <w:r w:rsidR="007D2255" w:rsidRPr="00AC6188">
        <w:rPr>
          <w:rFonts w:ascii="Times New Roman" w:hAnsi="Times New Roman" w:cs="Times New Roman"/>
          <w:sz w:val="24"/>
          <w:szCs w:val="24"/>
        </w:rPr>
        <w:t>statistics for the sample and the distribution of the awareness, behaviour,</w:t>
      </w:r>
      <w:r w:rsidRPr="00AC6188">
        <w:rPr>
          <w:rFonts w:ascii="Times New Roman" w:hAnsi="Times New Roman" w:cs="Times New Roman"/>
          <w:sz w:val="24"/>
          <w:szCs w:val="24"/>
        </w:rPr>
        <w:t xml:space="preserve"> and infrastructure variables were used to understand the sample under study. The key test of the awareness–behaviour relationship was a Pearson chi-square test of independence</w:t>
      </w:r>
      <w:r w:rsidR="007D2255" w:rsidRPr="00AC6188">
        <w:rPr>
          <w:rFonts w:ascii="Times New Roman" w:hAnsi="Times New Roman" w:cs="Times New Roman"/>
          <w:sz w:val="24"/>
          <w:szCs w:val="24"/>
        </w:rPr>
        <w:t xml:space="preserve">; the phi coefficient is a measure of the effect size, with </w:t>
      </w:r>
      <w:r w:rsidRPr="00AC6188">
        <w:rPr>
          <w:rFonts w:ascii="Times New Roman" w:hAnsi="Times New Roman" w:cs="Times New Roman"/>
          <w:sz w:val="24"/>
          <w:szCs w:val="24"/>
        </w:rPr>
        <w:t xml:space="preserve">Fisher's Exact test and continuity-corrected chi-square also reported. Robustness checks included chi-square </w:t>
      </w:r>
      <w:r w:rsidR="007D2255" w:rsidRPr="00AC6188">
        <w:rPr>
          <w:rFonts w:ascii="Times New Roman" w:hAnsi="Times New Roman" w:cs="Times New Roman"/>
          <w:sz w:val="24"/>
          <w:szCs w:val="24"/>
        </w:rPr>
        <w:t xml:space="preserve">tests (with a multilevel ordinal predictor, the </w:t>
      </w:r>
      <w:r w:rsidRPr="00AC6188">
        <w:rPr>
          <w:rFonts w:ascii="Times New Roman" w:hAnsi="Times New Roman" w:cs="Times New Roman"/>
          <w:sz w:val="24"/>
          <w:szCs w:val="24"/>
        </w:rPr>
        <w:t xml:space="preserve">general information awareness score) and independent-samples t-tests for continuous measures. A Spearman rank-order correlation matrix was generated for variables with an ordinal scale of measurement. The audit-versus-survey comparison was </w:t>
      </w:r>
      <w:r w:rsidR="007D2255" w:rsidRPr="00AC6188">
        <w:rPr>
          <w:rFonts w:ascii="Times New Roman" w:hAnsi="Times New Roman" w:cs="Times New Roman"/>
          <w:sz w:val="24"/>
          <w:szCs w:val="24"/>
        </w:rPr>
        <w:t>conducted at the aggregate (destination) level because the survey could not identify the individual site where each tourist stood; therefore, the two data sources could not</w:t>
      </w:r>
      <w:r w:rsidRPr="00AC6188">
        <w:rPr>
          <w:rFonts w:ascii="Times New Roman" w:hAnsi="Times New Roman" w:cs="Times New Roman"/>
          <w:sz w:val="24"/>
          <w:szCs w:val="24"/>
        </w:rPr>
        <w:t xml:space="preserve"> be matched at the record level. Data analysis was carried out in IBM SPSS Statistics, </w:t>
      </w:r>
      <w:r w:rsidR="007D2255" w:rsidRPr="00AC6188">
        <w:rPr>
          <w:rFonts w:ascii="Times New Roman" w:hAnsi="Times New Roman" w:cs="Times New Roman"/>
          <w:sz w:val="24"/>
          <w:szCs w:val="24"/>
        </w:rPr>
        <w:t>and the visualisations were</w:t>
      </w:r>
      <w:r w:rsidRPr="00AC6188">
        <w:rPr>
          <w:rFonts w:ascii="Times New Roman" w:hAnsi="Times New Roman" w:cs="Times New Roman"/>
          <w:sz w:val="24"/>
          <w:szCs w:val="24"/>
        </w:rPr>
        <w:t xml:space="preserve"> created using Tableau. Results were considered </w:t>
      </w:r>
      <w:r w:rsidR="007D2255" w:rsidRPr="00AC6188">
        <w:rPr>
          <w:rFonts w:ascii="Times New Roman" w:hAnsi="Times New Roman" w:cs="Times New Roman"/>
          <w:sz w:val="24"/>
          <w:szCs w:val="24"/>
        </w:rPr>
        <w:t>statistically significant at α = .05 and, according to the magnitude of the phi coefficient (Cohen, 1988), were deemed small (.10), medium (.30), or</w:t>
      </w:r>
      <w:r w:rsidRPr="00AC6188">
        <w:rPr>
          <w:rFonts w:ascii="Times New Roman" w:hAnsi="Times New Roman" w:cs="Times New Roman"/>
          <w:sz w:val="24"/>
          <w:szCs w:val="24"/>
        </w:rPr>
        <w:t xml:space="preserve"> large (.50).</w:t>
      </w:r>
    </w:p>
    <w:p w14:paraId="0C48B7B1" w14:textId="77777777" w:rsidR="002815BC" w:rsidRPr="00AC6188" w:rsidRDefault="002815BC" w:rsidP="00881F98">
      <w:pPr>
        <w:rPr>
          <w:rFonts w:ascii="Times New Roman" w:hAnsi="Times New Roman" w:cs="Times New Roman"/>
          <w:b/>
          <w:bCs/>
          <w:sz w:val="24"/>
          <w:szCs w:val="24"/>
        </w:rPr>
      </w:pPr>
      <w:r w:rsidRPr="00AC6188">
        <w:rPr>
          <w:rFonts w:ascii="Times New Roman" w:hAnsi="Times New Roman" w:cs="Times New Roman"/>
          <w:b/>
          <w:bCs/>
          <w:sz w:val="24"/>
          <w:szCs w:val="24"/>
        </w:rPr>
        <w:t>4.</w:t>
      </w:r>
      <w:r w:rsidR="00B64729" w:rsidRPr="00AC6188">
        <w:rPr>
          <w:rFonts w:ascii="Times New Roman" w:hAnsi="Times New Roman" w:cs="Times New Roman"/>
          <w:b/>
          <w:bCs/>
          <w:sz w:val="24"/>
          <w:szCs w:val="24"/>
        </w:rPr>
        <w:t>5</w:t>
      </w:r>
      <w:r w:rsidRPr="00AC6188">
        <w:rPr>
          <w:rFonts w:ascii="Times New Roman" w:hAnsi="Times New Roman" w:cs="Times New Roman"/>
          <w:b/>
          <w:bCs/>
          <w:sz w:val="24"/>
          <w:szCs w:val="24"/>
        </w:rPr>
        <w:t xml:space="preserve"> Ethical Considerations and Limitations</w:t>
      </w:r>
    </w:p>
    <w:p w14:paraId="5CBBC496" w14:textId="4E8C09B1" w:rsidR="002815BC" w:rsidRPr="00AC6188" w:rsidRDefault="00C56C85" w:rsidP="002815BC">
      <w:pPr>
        <w:jc w:val="both"/>
        <w:rPr>
          <w:rFonts w:ascii="Times New Roman" w:hAnsi="Times New Roman" w:cs="Times New Roman"/>
          <w:sz w:val="24"/>
          <w:szCs w:val="24"/>
        </w:rPr>
      </w:pPr>
      <w:r w:rsidRPr="00AC6188">
        <w:rPr>
          <w:rFonts w:ascii="Times New Roman" w:hAnsi="Times New Roman" w:cs="Times New Roman"/>
          <w:sz w:val="24"/>
          <w:szCs w:val="24"/>
        </w:rPr>
        <w:t>Information consent was recorded</w:t>
      </w:r>
      <w:r w:rsidR="00CF26CD" w:rsidRPr="00AC6188">
        <w:rPr>
          <w:rFonts w:ascii="Times New Roman" w:hAnsi="Times New Roman" w:cs="Times New Roman"/>
          <w:sz w:val="24"/>
          <w:szCs w:val="24"/>
        </w:rPr>
        <w:t>,</w:t>
      </w:r>
      <w:r w:rsidRPr="00AC6188">
        <w:rPr>
          <w:rFonts w:ascii="Times New Roman" w:hAnsi="Times New Roman" w:cs="Times New Roman"/>
          <w:sz w:val="24"/>
          <w:szCs w:val="24"/>
        </w:rPr>
        <w:t xml:space="preserve"> and respondents who refused to give information were not included in the analysis. Responses were anonymous. </w:t>
      </w:r>
      <w:r w:rsidR="00C06AE6" w:rsidRPr="00AC6188">
        <w:rPr>
          <w:rFonts w:ascii="Times New Roman" w:hAnsi="Times New Roman" w:cs="Times New Roman"/>
          <w:sz w:val="24"/>
          <w:szCs w:val="24"/>
        </w:rPr>
        <w:t xml:space="preserve">Both </w:t>
      </w:r>
      <w:r w:rsidRPr="00AC6188">
        <w:rPr>
          <w:rFonts w:ascii="Times New Roman" w:hAnsi="Times New Roman" w:cs="Times New Roman"/>
          <w:sz w:val="24"/>
          <w:szCs w:val="24"/>
        </w:rPr>
        <w:t xml:space="preserve">instruments include the </w:t>
      </w:r>
      <w:r w:rsidR="00CF26CD" w:rsidRPr="00AC6188">
        <w:rPr>
          <w:rFonts w:ascii="Times New Roman" w:hAnsi="Times New Roman" w:cs="Times New Roman"/>
          <w:sz w:val="24"/>
          <w:szCs w:val="24"/>
        </w:rPr>
        <w:t>above-mentioned two-form version of the question, resulting in the item-level</w:t>
      </w:r>
      <w:r w:rsidRPr="00AC6188">
        <w:rPr>
          <w:rFonts w:ascii="Times New Roman" w:hAnsi="Times New Roman" w:cs="Times New Roman"/>
          <w:sz w:val="24"/>
          <w:szCs w:val="24"/>
        </w:rPr>
        <w:t xml:space="preserve"> missingness rate of 31% for the awareness item and 22% for the behaviour item. </w:t>
      </w:r>
      <w:r w:rsidR="00FA334C" w:rsidRPr="00AC6188">
        <w:rPr>
          <w:rFonts w:ascii="Times New Roman" w:hAnsi="Times New Roman" w:cs="Times New Roman"/>
          <w:sz w:val="24"/>
          <w:szCs w:val="24"/>
        </w:rPr>
        <w:t>Also, t</w:t>
      </w:r>
      <w:r w:rsidRPr="00AC6188">
        <w:rPr>
          <w:rFonts w:ascii="Times New Roman" w:hAnsi="Times New Roman" w:cs="Times New Roman"/>
          <w:sz w:val="24"/>
          <w:szCs w:val="24"/>
        </w:rPr>
        <w:t xml:space="preserve">he audit sample size is relatively small (only </w:t>
      </w:r>
      <w:r w:rsidR="007D2255" w:rsidRPr="00AC6188">
        <w:rPr>
          <w:rFonts w:ascii="Times New Roman" w:hAnsi="Times New Roman" w:cs="Times New Roman"/>
          <w:sz w:val="24"/>
          <w:szCs w:val="24"/>
        </w:rPr>
        <w:t>10 sites) for</w:t>
      </w:r>
      <w:r w:rsidRPr="00AC6188">
        <w:rPr>
          <w:rFonts w:ascii="Times New Roman" w:hAnsi="Times New Roman" w:cs="Times New Roman"/>
          <w:sz w:val="24"/>
          <w:szCs w:val="24"/>
        </w:rPr>
        <w:t xml:space="preserve"> descriptive triangulation</w:t>
      </w:r>
      <w:r w:rsidR="00CF26CD" w:rsidRPr="00AC6188">
        <w:rPr>
          <w:rFonts w:ascii="Times New Roman" w:hAnsi="Times New Roman" w:cs="Times New Roman"/>
          <w:sz w:val="24"/>
          <w:szCs w:val="24"/>
        </w:rPr>
        <w:t>,</w:t>
      </w:r>
      <w:r w:rsidRPr="00AC6188">
        <w:rPr>
          <w:rFonts w:ascii="Times New Roman" w:hAnsi="Times New Roman" w:cs="Times New Roman"/>
          <w:sz w:val="24"/>
          <w:szCs w:val="24"/>
        </w:rPr>
        <w:t xml:space="preserve"> but not for statistical inference at the site level. </w:t>
      </w:r>
      <w:r w:rsidR="00CF26CD" w:rsidRPr="00AC6188">
        <w:rPr>
          <w:rFonts w:ascii="Times New Roman" w:hAnsi="Times New Roman" w:cs="Times New Roman"/>
          <w:sz w:val="24"/>
          <w:szCs w:val="24"/>
        </w:rPr>
        <w:t>T</w:t>
      </w:r>
      <w:r w:rsidRPr="00AC6188">
        <w:rPr>
          <w:rFonts w:ascii="Times New Roman" w:hAnsi="Times New Roman" w:cs="Times New Roman"/>
          <w:sz w:val="24"/>
          <w:szCs w:val="24"/>
        </w:rPr>
        <w:t xml:space="preserve">here is some </w:t>
      </w:r>
      <w:r w:rsidR="00CF26CD" w:rsidRPr="00AC6188">
        <w:rPr>
          <w:rFonts w:ascii="Times New Roman" w:hAnsi="Times New Roman" w:cs="Times New Roman"/>
          <w:sz w:val="24"/>
          <w:szCs w:val="24"/>
        </w:rPr>
        <w:t>social desirability bias, and observed behaviour would yield much higher figures, as the reported 74% dustbin-use rate below was overreported</w:t>
      </w:r>
      <w:r w:rsidRPr="00AC6188">
        <w:rPr>
          <w:rFonts w:ascii="Times New Roman" w:hAnsi="Times New Roman" w:cs="Times New Roman"/>
          <w:sz w:val="24"/>
          <w:szCs w:val="24"/>
        </w:rPr>
        <w:t>.</w:t>
      </w:r>
    </w:p>
    <w:p w14:paraId="2A718CAE" w14:textId="77777777" w:rsidR="007A1B54" w:rsidRPr="00AC6188" w:rsidRDefault="007A1B54" w:rsidP="002815BC">
      <w:pPr>
        <w:jc w:val="both"/>
        <w:rPr>
          <w:rFonts w:ascii="Times New Roman" w:hAnsi="Times New Roman" w:cs="Times New Roman"/>
          <w:sz w:val="24"/>
          <w:szCs w:val="24"/>
        </w:rPr>
      </w:pPr>
    </w:p>
    <w:p w14:paraId="612EAF0C" w14:textId="77777777" w:rsidR="002815BC" w:rsidRPr="00AC6188" w:rsidRDefault="002815BC" w:rsidP="00E94AF4">
      <w:pPr>
        <w:jc w:val="center"/>
        <w:rPr>
          <w:rFonts w:ascii="Times New Roman" w:hAnsi="Times New Roman" w:cs="Times New Roman"/>
          <w:b/>
          <w:bCs/>
          <w:sz w:val="28"/>
          <w:szCs w:val="28"/>
        </w:rPr>
      </w:pPr>
      <w:r w:rsidRPr="00AC6188">
        <w:rPr>
          <w:rFonts w:ascii="Times New Roman" w:hAnsi="Times New Roman" w:cs="Times New Roman"/>
          <w:b/>
          <w:bCs/>
          <w:sz w:val="28"/>
          <w:szCs w:val="28"/>
        </w:rPr>
        <w:t>Analysis</w:t>
      </w:r>
    </w:p>
    <w:p w14:paraId="56FE5645"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5.1 Awareness Distribution</w:t>
      </w:r>
    </w:p>
    <w:p w14:paraId="76407905" w14:textId="1BF4135F" w:rsidR="002815BC" w:rsidRPr="00AC6188" w:rsidRDefault="002815BC" w:rsidP="009077F1">
      <w:pPr>
        <w:jc w:val="both"/>
        <w:rPr>
          <w:rFonts w:ascii="Times New Roman" w:hAnsi="Times New Roman" w:cs="Times New Roman"/>
          <w:sz w:val="24"/>
          <w:szCs w:val="24"/>
        </w:rPr>
      </w:pPr>
      <w:r w:rsidRPr="00AC6188">
        <w:rPr>
          <w:rFonts w:ascii="Times New Roman" w:hAnsi="Times New Roman" w:cs="Times New Roman"/>
          <w:sz w:val="24"/>
          <w:szCs w:val="24"/>
        </w:rPr>
        <w:lastRenderedPageBreak/>
        <w:t xml:space="preserve">Of the 244 tourists who answered the awareness item, 139 (57.0%) reported noticing environmental guidelines at tourist sites, and 105 (43.0%) reported not noticing them. The most-noticed on-site </w:t>
      </w:r>
      <w:r w:rsidR="007D2255" w:rsidRPr="00AC6188">
        <w:rPr>
          <w:rFonts w:ascii="Times New Roman" w:hAnsi="Times New Roman" w:cs="Times New Roman"/>
          <w:sz w:val="24"/>
          <w:szCs w:val="24"/>
        </w:rPr>
        <w:t>items were</w:t>
      </w:r>
      <w:r w:rsidRPr="00AC6188">
        <w:rPr>
          <w:rFonts w:ascii="Times New Roman" w:hAnsi="Times New Roman" w:cs="Times New Roman"/>
          <w:sz w:val="24"/>
          <w:szCs w:val="24"/>
        </w:rPr>
        <w:t xml:space="preserve"> entry fees and timings (82.4%), followed by environmental guidelines (57.0%), local rules and regulations (52.9%), and emergency contact information (42.2%). Fewer than 2% of respondents reported noticing none of these items. On the general information awareness score, the modal category was two of four items noticed (37.3% of respondents who answered the item).</w:t>
      </w:r>
    </w:p>
    <w:p w14:paraId="226F9A7F" w14:textId="0E0AB881" w:rsidR="009077F1" w:rsidRPr="00AC6188" w:rsidRDefault="009077F1" w:rsidP="009077F1">
      <w:pPr>
        <w:jc w:val="center"/>
        <w:rPr>
          <w:rFonts w:ascii="Times New Roman" w:hAnsi="Times New Roman" w:cs="Times New Roman"/>
          <w:b/>
          <w:bCs/>
          <w:sz w:val="24"/>
          <w:szCs w:val="24"/>
        </w:rPr>
      </w:pPr>
      <w:r w:rsidRPr="00AC6188">
        <w:rPr>
          <w:rFonts w:ascii="Times New Roman" w:hAnsi="Times New Roman" w:cs="Times New Roman"/>
          <w:b/>
          <w:bCs/>
          <w:noProof/>
          <w:sz w:val="24"/>
          <w:szCs w:val="24"/>
        </w:rPr>
        <w:drawing>
          <wp:inline distT="0" distB="0" distL="0" distR="0" wp14:anchorId="2FD63C6F" wp14:editId="48D93249">
            <wp:extent cx="5320303" cy="3715842"/>
            <wp:effectExtent l="0" t="0" r="0" b="0"/>
            <wp:docPr id="1985266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66618" name="Picture 1985266618"/>
                    <pic:cNvPicPr/>
                  </pic:nvPicPr>
                  <pic:blipFill>
                    <a:blip r:embed="rId6">
                      <a:extLst>
                        <a:ext uri="{28A0092B-C50C-407E-A947-70E740481C1C}">
                          <a14:useLocalDpi xmlns:a14="http://schemas.microsoft.com/office/drawing/2010/main" val="0"/>
                        </a:ext>
                      </a:extLst>
                    </a:blip>
                    <a:stretch>
                      <a:fillRect/>
                    </a:stretch>
                  </pic:blipFill>
                  <pic:spPr>
                    <a:xfrm>
                      <a:off x="0" y="0"/>
                      <a:ext cx="5320621" cy="3716064"/>
                    </a:xfrm>
                    <a:prstGeom prst="rect">
                      <a:avLst/>
                    </a:prstGeom>
                  </pic:spPr>
                </pic:pic>
              </a:graphicData>
            </a:graphic>
          </wp:inline>
        </w:drawing>
      </w:r>
      <w:r w:rsidRPr="00AC6188">
        <w:rPr>
          <w:rFonts w:ascii="Times New Roman" w:hAnsi="Times New Roman" w:cs="Times New Roman"/>
          <w:b/>
          <w:bCs/>
          <w:sz w:val="24"/>
          <w:szCs w:val="24"/>
        </w:rPr>
        <w:br/>
      </w:r>
      <w:r w:rsidRPr="00AC6188">
        <w:rPr>
          <w:rFonts w:ascii="Times New Roman" w:hAnsi="Times New Roman" w:cs="Times New Roman"/>
          <w:sz w:val="24"/>
          <w:szCs w:val="24"/>
        </w:rPr>
        <w:t>Figure.</w:t>
      </w:r>
      <w:r w:rsidRPr="00AC6188">
        <w:rPr>
          <w:rFonts w:ascii="Times New Roman" w:hAnsi="Times New Roman" w:cs="Times New Roman"/>
          <w:b/>
          <w:bCs/>
          <w:sz w:val="24"/>
          <w:szCs w:val="24"/>
        </w:rPr>
        <w:t xml:space="preserve"> </w:t>
      </w:r>
      <w:r w:rsidR="000455F0" w:rsidRPr="00AC6188">
        <w:rPr>
          <w:rFonts w:ascii="Times New Roman" w:hAnsi="Times New Roman" w:cs="Times New Roman"/>
          <w:sz w:val="24"/>
          <w:szCs w:val="24"/>
        </w:rPr>
        <w:t>2</w:t>
      </w:r>
    </w:p>
    <w:p w14:paraId="2E86C059" w14:textId="77777777" w:rsidR="009077F1" w:rsidRPr="00AC6188" w:rsidRDefault="009077F1" w:rsidP="009077F1">
      <w:pPr>
        <w:jc w:val="center"/>
        <w:rPr>
          <w:rFonts w:ascii="Times New Roman" w:hAnsi="Times New Roman" w:cs="Times New Roman"/>
          <w:b/>
          <w:bCs/>
          <w:sz w:val="24"/>
          <w:szCs w:val="24"/>
        </w:rPr>
      </w:pPr>
    </w:p>
    <w:p w14:paraId="028DD161" w14:textId="77777777" w:rsidR="002815BC" w:rsidRPr="00AC6188" w:rsidRDefault="002815BC" w:rsidP="009077F1">
      <w:pPr>
        <w:rPr>
          <w:rFonts w:ascii="Times New Roman" w:hAnsi="Times New Roman" w:cs="Times New Roman"/>
          <w:b/>
          <w:bCs/>
          <w:sz w:val="24"/>
          <w:szCs w:val="24"/>
        </w:rPr>
      </w:pPr>
      <w:r w:rsidRPr="00AC6188">
        <w:rPr>
          <w:rFonts w:ascii="Times New Roman" w:hAnsi="Times New Roman" w:cs="Times New Roman"/>
          <w:b/>
          <w:bCs/>
          <w:sz w:val="24"/>
          <w:szCs w:val="24"/>
        </w:rPr>
        <w:t>5.2 Behaviour Distribution</w:t>
      </w:r>
    </w:p>
    <w:p w14:paraId="15A62ED0" w14:textId="2B9B985F" w:rsidR="00D715A0"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Of the 215 tourists who answered the specific amenity-use questions, 159 (74.0%) reported using dustbins during their visit. Bench and seating use was similarly high (87.9%), while public toilet use (44.7%) and drinking-water station use (17.2%) were lower. </w:t>
      </w:r>
      <w:r w:rsidR="007D2255" w:rsidRPr="00AC6188">
        <w:rPr>
          <w:rFonts w:ascii="Times New Roman" w:hAnsi="Times New Roman" w:cs="Times New Roman"/>
          <w:sz w:val="24"/>
          <w:szCs w:val="24"/>
        </w:rPr>
        <w:t>Regarding broader responsible tourism items, 36.6% of respondents reported purchasing local products, handicrafts, or souvenirs during the trip, and 11.0% reported hiring</w:t>
      </w:r>
      <w:r w:rsidRPr="00AC6188">
        <w:rPr>
          <w:rFonts w:ascii="Times New Roman" w:hAnsi="Times New Roman" w:cs="Times New Roman"/>
          <w:sz w:val="24"/>
          <w:szCs w:val="24"/>
        </w:rPr>
        <w:t xml:space="preserve"> a local guide. The distribution of the composite Responsible Tourism Behaviour Score was concentrated at 0 and 1 (together 68% of respondents who answered all three items).</w:t>
      </w:r>
    </w:p>
    <w:p w14:paraId="235E9A5D" w14:textId="77777777"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5.3 The Core Awareness–Behaviour Test</w:t>
      </w:r>
    </w:p>
    <w:p w14:paraId="2519C893" w14:textId="5D3D9DC6" w:rsidR="002815BC" w:rsidRPr="00AC6188" w:rsidRDefault="002815BC" w:rsidP="000455F0">
      <w:pPr>
        <w:jc w:val="both"/>
        <w:rPr>
          <w:rFonts w:ascii="Times New Roman" w:hAnsi="Times New Roman" w:cs="Times New Roman"/>
          <w:sz w:val="24"/>
          <w:szCs w:val="24"/>
        </w:rPr>
      </w:pPr>
      <w:r w:rsidRPr="00AC6188">
        <w:rPr>
          <w:rFonts w:ascii="Times New Roman" w:hAnsi="Times New Roman" w:cs="Times New Roman"/>
          <w:sz w:val="24"/>
          <w:szCs w:val="24"/>
        </w:rPr>
        <w:t xml:space="preserve">The core cross-tabulation tests whether tourists who reported noticing environmental guidelines were also more likely to report using dustbins. Among the 173 respondents with valid data on both variables, 80.4% of aware tourists reported using dustbins, compared with 68.4% of unaware tourists — a descriptive gap of 12.0 percentage points in the theoretically expected direction. The Pearson chi-square test returned χ²(1) = 3.28, p = .07, with phi = .14. </w:t>
      </w:r>
      <w:r w:rsidRPr="00AC6188">
        <w:rPr>
          <w:rFonts w:ascii="Times New Roman" w:hAnsi="Times New Roman" w:cs="Times New Roman"/>
          <w:sz w:val="24"/>
          <w:szCs w:val="24"/>
        </w:rPr>
        <w:lastRenderedPageBreak/>
        <w:t>Fisher's Exact returned a two-tailed p of .08, and the continuity-corrected chi-square returned p = .10. The relationship therefore does not clear the conventional α = .05 threshold, but is a small, directional, marginally significant association</w:t>
      </w:r>
    </w:p>
    <w:p w14:paraId="2197EB3A" w14:textId="77777777" w:rsidR="000455F0" w:rsidRPr="00AC6188" w:rsidRDefault="000455F0">
      <w:pPr>
        <w:rPr>
          <w:rFonts w:ascii="Times New Roman" w:hAnsi="Times New Roman" w:cs="Times New Roman"/>
          <w:b/>
        </w:rPr>
      </w:pPr>
      <w:r w:rsidRPr="00AC6188">
        <w:rPr>
          <w:rFonts w:ascii="Times New Roman" w:hAnsi="Times New Roman" w:cs="Times New Roman"/>
          <w:b/>
        </w:rPr>
        <w:br w:type="page"/>
      </w:r>
    </w:p>
    <w:p w14:paraId="6C8FCA42" w14:textId="1FDAA27A" w:rsidR="00080EDD" w:rsidRPr="00AC6188" w:rsidRDefault="00000000">
      <w:pPr>
        <w:rPr>
          <w:rFonts w:ascii="Times New Roman" w:hAnsi="Times New Roman" w:cs="Times New Roman"/>
        </w:rPr>
      </w:pPr>
      <w:r w:rsidRPr="00AC6188">
        <w:rPr>
          <w:rFonts w:ascii="Times New Roman" w:hAnsi="Times New Roman" w:cs="Times New Roman"/>
          <w:b/>
        </w:rPr>
        <w:lastRenderedPageBreak/>
        <w:t>Table 1</w:t>
      </w:r>
    </w:p>
    <w:p w14:paraId="634F2FB3" w14:textId="77777777" w:rsidR="00080EDD" w:rsidRPr="00AC6188" w:rsidRDefault="00000000">
      <w:pPr>
        <w:rPr>
          <w:rFonts w:ascii="Times New Roman" w:hAnsi="Times New Roman" w:cs="Times New Roman"/>
        </w:rPr>
      </w:pPr>
      <w:r w:rsidRPr="00AC6188">
        <w:rPr>
          <w:rFonts w:ascii="Times New Roman" w:hAnsi="Times New Roman" w:cs="Times New Roman"/>
          <w:i/>
        </w:rPr>
        <w:t>Cross-Tabulation of Environmental Awareness and Pro-Environmental Behaviour (n = 173)</w:t>
      </w:r>
    </w:p>
    <w:tbl>
      <w:tblPr>
        <w:tblW w:w="0" w:type="auto"/>
        <w:jc w:val="center"/>
        <w:tblLook w:val="04A0" w:firstRow="1" w:lastRow="0" w:firstColumn="1" w:lastColumn="0" w:noHBand="0" w:noVBand="1"/>
      </w:tblPr>
      <w:tblGrid>
        <w:gridCol w:w="2592"/>
        <w:gridCol w:w="1728"/>
        <w:gridCol w:w="1152"/>
        <w:gridCol w:w="1152"/>
        <w:gridCol w:w="1152"/>
      </w:tblGrid>
      <w:tr w:rsidR="00080EDD" w:rsidRPr="00AC6188" w14:paraId="71E4F8CE" w14:textId="77777777">
        <w:trPr>
          <w:jc w:val="center"/>
        </w:trPr>
        <w:tc>
          <w:tcPr>
            <w:tcW w:w="2592" w:type="dxa"/>
            <w:tcBorders>
              <w:top w:val="single" w:sz="8" w:space="0" w:color="000000"/>
            </w:tcBorders>
            <w:vAlign w:val="center"/>
          </w:tcPr>
          <w:p w14:paraId="6FE5CB41" w14:textId="77777777" w:rsidR="00080EDD" w:rsidRPr="00AC6188" w:rsidRDefault="00000000">
            <w:pPr>
              <w:rPr>
                <w:rFonts w:ascii="Times New Roman" w:hAnsi="Times New Roman" w:cs="Times New Roman"/>
              </w:rPr>
            </w:pPr>
            <w:r w:rsidRPr="00AC6188">
              <w:rPr>
                <w:rFonts w:ascii="Times New Roman" w:hAnsi="Times New Roman" w:cs="Times New Roman"/>
                <w:b/>
                <w:sz w:val="20"/>
              </w:rPr>
              <w:t>Noticed Environmental Guidelines</w:t>
            </w:r>
          </w:p>
        </w:tc>
        <w:tc>
          <w:tcPr>
            <w:tcW w:w="1728" w:type="dxa"/>
            <w:tcBorders>
              <w:top w:val="single" w:sz="8" w:space="0" w:color="000000"/>
            </w:tcBorders>
            <w:vAlign w:val="center"/>
          </w:tcPr>
          <w:p w14:paraId="5DB365A9" w14:textId="77777777" w:rsidR="00080EDD" w:rsidRPr="00AC6188" w:rsidRDefault="00080EDD">
            <w:pPr>
              <w:rPr>
                <w:rFonts w:ascii="Times New Roman" w:hAnsi="Times New Roman" w:cs="Times New Roman"/>
              </w:rPr>
            </w:pPr>
          </w:p>
        </w:tc>
        <w:tc>
          <w:tcPr>
            <w:tcW w:w="1152" w:type="dxa"/>
            <w:gridSpan w:val="2"/>
            <w:tcBorders>
              <w:top w:val="single" w:sz="8" w:space="0" w:color="000000"/>
            </w:tcBorders>
            <w:vAlign w:val="center"/>
          </w:tcPr>
          <w:p w14:paraId="464FF7B6"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Dustbin Use</w:t>
            </w:r>
          </w:p>
        </w:tc>
        <w:tc>
          <w:tcPr>
            <w:tcW w:w="1152" w:type="dxa"/>
            <w:tcBorders>
              <w:top w:val="single" w:sz="8" w:space="0" w:color="000000"/>
            </w:tcBorders>
            <w:vAlign w:val="center"/>
          </w:tcPr>
          <w:p w14:paraId="04DEC980"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Total</w:t>
            </w:r>
          </w:p>
        </w:tc>
      </w:tr>
      <w:tr w:rsidR="00080EDD" w:rsidRPr="00AC6188" w14:paraId="5D981583" w14:textId="77777777">
        <w:trPr>
          <w:jc w:val="center"/>
        </w:trPr>
        <w:tc>
          <w:tcPr>
            <w:tcW w:w="2592" w:type="dxa"/>
            <w:tcBorders>
              <w:bottom w:val="single" w:sz="4" w:space="0" w:color="000000"/>
            </w:tcBorders>
            <w:vAlign w:val="center"/>
          </w:tcPr>
          <w:p w14:paraId="7829F7B6" w14:textId="77777777" w:rsidR="00080EDD" w:rsidRPr="00AC6188" w:rsidRDefault="00080EDD">
            <w:pPr>
              <w:rPr>
                <w:rFonts w:ascii="Times New Roman" w:hAnsi="Times New Roman" w:cs="Times New Roman"/>
              </w:rPr>
            </w:pPr>
          </w:p>
        </w:tc>
        <w:tc>
          <w:tcPr>
            <w:tcW w:w="1728" w:type="dxa"/>
            <w:tcBorders>
              <w:bottom w:val="single" w:sz="4" w:space="0" w:color="000000"/>
            </w:tcBorders>
            <w:vAlign w:val="center"/>
          </w:tcPr>
          <w:p w14:paraId="7D10EB23" w14:textId="77777777" w:rsidR="00080EDD" w:rsidRPr="00AC6188" w:rsidRDefault="00080EDD">
            <w:pPr>
              <w:rPr>
                <w:rFonts w:ascii="Times New Roman" w:hAnsi="Times New Roman" w:cs="Times New Roman"/>
              </w:rPr>
            </w:pPr>
          </w:p>
        </w:tc>
        <w:tc>
          <w:tcPr>
            <w:tcW w:w="1152" w:type="dxa"/>
            <w:tcBorders>
              <w:bottom w:val="single" w:sz="4" w:space="0" w:color="000000"/>
            </w:tcBorders>
            <w:vAlign w:val="center"/>
          </w:tcPr>
          <w:p w14:paraId="0D199ED2"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No</w:t>
            </w:r>
          </w:p>
        </w:tc>
        <w:tc>
          <w:tcPr>
            <w:tcW w:w="1152" w:type="dxa"/>
            <w:tcBorders>
              <w:bottom w:val="single" w:sz="4" w:space="0" w:color="000000"/>
            </w:tcBorders>
            <w:vAlign w:val="center"/>
          </w:tcPr>
          <w:p w14:paraId="2AEE9091"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Yes</w:t>
            </w:r>
          </w:p>
        </w:tc>
        <w:tc>
          <w:tcPr>
            <w:tcW w:w="1152" w:type="dxa"/>
            <w:tcBorders>
              <w:bottom w:val="single" w:sz="4" w:space="0" w:color="000000"/>
            </w:tcBorders>
            <w:vAlign w:val="center"/>
          </w:tcPr>
          <w:p w14:paraId="1D2CDFF2" w14:textId="77777777" w:rsidR="00080EDD" w:rsidRPr="00AC6188" w:rsidRDefault="00080EDD">
            <w:pPr>
              <w:rPr>
                <w:rFonts w:ascii="Times New Roman" w:hAnsi="Times New Roman" w:cs="Times New Roman"/>
              </w:rPr>
            </w:pPr>
          </w:p>
        </w:tc>
      </w:tr>
      <w:tr w:rsidR="00080EDD" w:rsidRPr="00AC6188" w14:paraId="1C6773ED" w14:textId="77777777">
        <w:trPr>
          <w:jc w:val="center"/>
        </w:trPr>
        <w:tc>
          <w:tcPr>
            <w:tcW w:w="2592" w:type="dxa"/>
            <w:vAlign w:val="center"/>
          </w:tcPr>
          <w:p w14:paraId="2E7E312F" w14:textId="77777777" w:rsidR="00080EDD" w:rsidRPr="00AC6188" w:rsidRDefault="00000000">
            <w:pPr>
              <w:rPr>
                <w:rFonts w:ascii="Times New Roman" w:hAnsi="Times New Roman" w:cs="Times New Roman"/>
              </w:rPr>
            </w:pPr>
            <w:r w:rsidRPr="00AC6188">
              <w:rPr>
                <w:rFonts w:ascii="Times New Roman" w:hAnsi="Times New Roman" w:cs="Times New Roman"/>
                <w:b/>
                <w:sz w:val="20"/>
              </w:rPr>
              <w:t>No</w:t>
            </w:r>
          </w:p>
        </w:tc>
        <w:tc>
          <w:tcPr>
            <w:tcW w:w="1728" w:type="dxa"/>
            <w:vAlign w:val="center"/>
          </w:tcPr>
          <w:p w14:paraId="3A31B5CF" w14:textId="77777777" w:rsidR="00080EDD" w:rsidRPr="00AC6188" w:rsidRDefault="00000000">
            <w:pPr>
              <w:rPr>
                <w:rFonts w:ascii="Times New Roman" w:hAnsi="Times New Roman" w:cs="Times New Roman"/>
              </w:rPr>
            </w:pPr>
            <w:r w:rsidRPr="00AC6188">
              <w:rPr>
                <w:rFonts w:ascii="Times New Roman" w:hAnsi="Times New Roman" w:cs="Times New Roman"/>
                <w:sz w:val="20"/>
              </w:rPr>
              <w:t>Count</w:t>
            </w:r>
          </w:p>
        </w:tc>
        <w:tc>
          <w:tcPr>
            <w:tcW w:w="1152" w:type="dxa"/>
            <w:vAlign w:val="center"/>
          </w:tcPr>
          <w:p w14:paraId="2018A8F5"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24</w:t>
            </w:r>
          </w:p>
        </w:tc>
        <w:tc>
          <w:tcPr>
            <w:tcW w:w="1152" w:type="dxa"/>
            <w:vAlign w:val="center"/>
          </w:tcPr>
          <w:p w14:paraId="6D1681EA"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52</w:t>
            </w:r>
          </w:p>
        </w:tc>
        <w:tc>
          <w:tcPr>
            <w:tcW w:w="1152" w:type="dxa"/>
            <w:vAlign w:val="center"/>
          </w:tcPr>
          <w:p w14:paraId="1382CFB8"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76</w:t>
            </w:r>
          </w:p>
        </w:tc>
      </w:tr>
      <w:tr w:rsidR="00080EDD" w:rsidRPr="00AC6188" w14:paraId="46447622" w14:textId="77777777">
        <w:trPr>
          <w:jc w:val="center"/>
        </w:trPr>
        <w:tc>
          <w:tcPr>
            <w:tcW w:w="2592" w:type="dxa"/>
            <w:vAlign w:val="center"/>
          </w:tcPr>
          <w:p w14:paraId="47D719C6" w14:textId="77777777" w:rsidR="00080EDD" w:rsidRPr="00AC6188" w:rsidRDefault="00080EDD">
            <w:pPr>
              <w:rPr>
                <w:rFonts w:ascii="Times New Roman" w:hAnsi="Times New Roman" w:cs="Times New Roman"/>
              </w:rPr>
            </w:pPr>
          </w:p>
        </w:tc>
        <w:tc>
          <w:tcPr>
            <w:tcW w:w="1728" w:type="dxa"/>
            <w:vAlign w:val="center"/>
          </w:tcPr>
          <w:p w14:paraId="22049022" w14:textId="77777777" w:rsidR="00080EDD" w:rsidRPr="00AC6188" w:rsidRDefault="00000000">
            <w:pPr>
              <w:rPr>
                <w:rFonts w:ascii="Times New Roman" w:hAnsi="Times New Roman" w:cs="Times New Roman"/>
              </w:rPr>
            </w:pPr>
            <w:r w:rsidRPr="00AC6188">
              <w:rPr>
                <w:rFonts w:ascii="Times New Roman" w:hAnsi="Times New Roman" w:cs="Times New Roman"/>
                <w:sz w:val="20"/>
              </w:rPr>
              <w:t>% within row</w:t>
            </w:r>
          </w:p>
        </w:tc>
        <w:tc>
          <w:tcPr>
            <w:tcW w:w="1152" w:type="dxa"/>
            <w:vAlign w:val="center"/>
          </w:tcPr>
          <w:p w14:paraId="241A1B9B"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31.6%</w:t>
            </w:r>
          </w:p>
        </w:tc>
        <w:tc>
          <w:tcPr>
            <w:tcW w:w="1152" w:type="dxa"/>
            <w:vAlign w:val="center"/>
          </w:tcPr>
          <w:p w14:paraId="18A1C614"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68.4%</w:t>
            </w:r>
          </w:p>
        </w:tc>
        <w:tc>
          <w:tcPr>
            <w:tcW w:w="1152" w:type="dxa"/>
            <w:vAlign w:val="center"/>
          </w:tcPr>
          <w:p w14:paraId="1138ACA8"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100.0%</w:t>
            </w:r>
          </w:p>
        </w:tc>
      </w:tr>
      <w:tr w:rsidR="00080EDD" w:rsidRPr="00AC6188" w14:paraId="28EC65C4" w14:textId="77777777">
        <w:trPr>
          <w:jc w:val="center"/>
        </w:trPr>
        <w:tc>
          <w:tcPr>
            <w:tcW w:w="2592" w:type="dxa"/>
            <w:vAlign w:val="center"/>
          </w:tcPr>
          <w:p w14:paraId="4B74CCAB" w14:textId="77777777" w:rsidR="00080EDD" w:rsidRPr="00AC6188" w:rsidRDefault="00000000">
            <w:pPr>
              <w:rPr>
                <w:rFonts w:ascii="Times New Roman" w:hAnsi="Times New Roman" w:cs="Times New Roman"/>
              </w:rPr>
            </w:pPr>
            <w:r w:rsidRPr="00AC6188">
              <w:rPr>
                <w:rFonts w:ascii="Times New Roman" w:hAnsi="Times New Roman" w:cs="Times New Roman"/>
                <w:b/>
                <w:sz w:val="20"/>
              </w:rPr>
              <w:t>Yes</w:t>
            </w:r>
          </w:p>
        </w:tc>
        <w:tc>
          <w:tcPr>
            <w:tcW w:w="1728" w:type="dxa"/>
            <w:vAlign w:val="center"/>
          </w:tcPr>
          <w:p w14:paraId="5ADC9F8D" w14:textId="77777777" w:rsidR="00080EDD" w:rsidRPr="00AC6188" w:rsidRDefault="00000000">
            <w:pPr>
              <w:rPr>
                <w:rFonts w:ascii="Times New Roman" w:hAnsi="Times New Roman" w:cs="Times New Roman"/>
              </w:rPr>
            </w:pPr>
            <w:r w:rsidRPr="00AC6188">
              <w:rPr>
                <w:rFonts w:ascii="Times New Roman" w:hAnsi="Times New Roman" w:cs="Times New Roman"/>
                <w:sz w:val="20"/>
              </w:rPr>
              <w:t>Count</w:t>
            </w:r>
          </w:p>
        </w:tc>
        <w:tc>
          <w:tcPr>
            <w:tcW w:w="1152" w:type="dxa"/>
            <w:vAlign w:val="center"/>
          </w:tcPr>
          <w:p w14:paraId="5CE1BF7C"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19</w:t>
            </w:r>
          </w:p>
        </w:tc>
        <w:tc>
          <w:tcPr>
            <w:tcW w:w="1152" w:type="dxa"/>
            <w:vAlign w:val="center"/>
          </w:tcPr>
          <w:p w14:paraId="5B7BDB07"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78</w:t>
            </w:r>
          </w:p>
        </w:tc>
        <w:tc>
          <w:tcPr>
            <w:tcW w:w="1152" w:type="dxa"/>
            <w:vAlign w:val="center"/>
          </w:tcPr>
          <w:p w14:paraId="398E735C"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97</w:t>
            </w:r>
          </w:p>
        </w:tc>
      </w:tr>
      <w:tr w:rsidR="00080EDD" w:rsidRPr="00AC6188" w14:paraId="0131CF86" w14:textId="77777777">
        <w:trPr>
          <w:jc w:val="center"/>
        </w:trPr>
        <w:tc>
          <w:tcPr>
            <w:tcW w:w="2592" w:type="dxa"/>
            <w:vAlign w:val="center"/>
          </w:tcPr>
          <w:p w14:paraId="1008E5C6" w14:textId="77777777" w:rsidR="00080EDD" w:rsidRPr="00AC6188" w:rsidRDefault="00080EDD">
            <w:pPr>
              <w:rPr>
                <w:rFonts w:ascii="Times New Roman" w:hAnsi="Times New Roman" w:cs="Times New Roman"/>
              </w:rPr>
            </w:pPr>
          </w:p>
        </w:tc>
        <w:tc>
          <w:tcPr>
            <w:tcW w:w="1728" w:type="dxa"/>
            <w:vAlign w:val="center"/>
          </w:tcPr>
          <w:p w14:paraId="4063A10A" w14:textId="77777777" w:rsidR="00080EDD" w:rsidRPr="00AC6188" w:rsidRDefault="00000000">
            <w:pPr>
              <w:rPr>
                <w:rFonts w:ascii="Times New Roman" w:hAnsi="Times New Roman" w:cs="Times New Roman"/>
              </w:rPr>
            </w:pPr>
            <w:r w:rsidRPr="00AC6188">
              <w:rPr>
                <w:rFonts w:ascii="Times New Roman" w:hAnsi="Times New Roman" w:cs="Times New Roman"/>
                <w:sz w:val="20"/>
              </w:rPr>
              <w:t>% within row</w:t>
            </w:r>
          </w:p>
        </w:tc>
        <w:tc>
          <w:tcPr>
            <w:tcW w:w="1152" w:type="dxa"/>
            <w:vAlign w:val="center"/>
          </w:tcPr>
          <w:p w14:paraId="4925DABE"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19.6%</w:t>
            </w:r>
          </w:p>
        </w:tc>
        <w:tc>
          <w:tcPr>
            <w:tcW w:w="1152" w:type="dxa"/>
            <w:vAlign w:val="center"/>
          </w:tcPr>
          <w:p w14:paraId="4C458A42"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80.4%</w:t>
            </w:r>
          </w:p>
        </w:tc>
        <w:tc>
          <w:tcPr>
            <w:tcW w:w="1152" w:type="dxa"/>
            <w:vAlign w:val="center"/>
          </w:tcPr>
          <w:p w14:paraId="22D5DAA6"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100.0%</w:t>
            </w:r>
          </w:p>
        </w:tc>
      </w:tr>
      <w:tr w:rsidR="00080EDD" w:rsidRPr="00AC6188" w14:paraId="494E662D" w14:textId="77777777">
        <w:trPr>
          <w:jc w:val="center"/>
        </w:trPr>
        <w:tc>
          <w:tcPr>
            <w:tcW w:w="2592" w:type="dxa"/>
            <w:vAlign w:val="center"/>
          </w:tcPr>
          <w:p w14:paraId="6EF30A83" w14:textId="77777777" w:rsidR="00080EDD" w:rsidRPr="00AC6188" w:rsidRDefault="00000000">
            <w:pPr>
              <w:rPr>
                <w:rFonts w:ascii="Times New Roman" w:hAnsi="Times New Roman" w:cs="Times New Roman"/>
              </w:rPr>
            </w:pPr>
            <w:r w:rsidRPr="00AC6188">
              <w:rPr>
                <w:rFonts w:ascii="Times New Roman" w:hAnsi="Times New Roman" w:cs="Times New Roman"/>
                <w:b/>
                <w:sz w:val="20"/>
              </w:rPr>
              <w:t>Total</w:t>
            </w:r>
          </w:p>
        </w:tc>
        <w:tc>
          <w:tcPr>
            <w:tcW w:w="1728" w:type="dxa"/>
            <w:vAlign w:val="center"/>
          </w:tcPr>
          <w:p w14:paraId="7CE744B0" w14:textId="77777777" w:rsidR="00080EDD" w:rsidRPr="00AC6188" w:rsidRDefault="00000000">
            <w:pPr>
              <w:rPr>
                <w:rFonts w:ascii="Times New Roman" w:hAnsi="Times New Roman" w:cs="Times New Roman"/>
              </w:rPr>
            </w:pPr>
            <w:r w:rsidRPr="00AC6188">
              <w:rPr>
                <w:rFonts w:ascii="Times New Roman" w:hAnsi="Times New Roman" w:cs="Times New Roman"/>
                <w:sz w:val="20"/>
              </w:rPr>
              <w:t>Count</w:t>
            </w:r>
          </w:p>
        </w:tc>
        <w:tc>
          <w:tcPr>
            <w:tcW w:w="1152" w:type="dxa"/>
            <w:vAlign w:val="center"/>
          </w:tcPr>
          <w:p w14:paraId="4F431E7B"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43</w:t>
            </w:r>
          </w:p>
        </w:tc>
        <w:tc>
          <w:tcPr>
            <w:tcW w:w="1152" w:type="dxa"/>
            <w:vAlign w:val="center"/>
          </w:tcPr>
          <w:p w14:paraId="5CF528FA"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130</w:t>
            </w:r>
          </w:p>
        </w:tc>
        <w:tc>
          <w:tcPr>
            <w:tcW w:w="1152" w:type="dxa"/>
            <w:vAlign w:val="center"/>
          </w:tcPr>
          <w:p w14:paraId="4431E5EC"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173</w:t>
            </w:r>
          </w:p>
        </w:tc>
      </w:tr>
      <w:tr w:rsidR="00080EDD" w:rsidRPr="00AC6188" w14:paraId="1F39A9A9" w14:textId="77777777">
        <w:trPr>
          <w:jc w:val="center"/>
        </w:trPr>
        <w:tc>
          <w:tcPr>
            <w:tcW w:w="2592" w:type="dxa"/>
            <w:tcBorders>
              <w:bottom w:val="single" w:sz="8" w:space="0" w:color="000000"/>
            </w:tcBorders>
            <w:vAlign w:val="center"/>
          </w:tcPr>
          <w:p w14:paraId="5FB2A536" w14:textId="77777777" w:rsidR="00080EDD" w:rsidRPr="00AC6188" w:rsidRDefault="00080EDD">
            <w:pPr>
              <w:rPr>
                <w:rFonts w:ascii="Times New Roman" w:hAnsi="Times New Roman" w:cs="Times New Roman"/>
              </w:rPr>
            </w:pPr>
          </w:p>
        </w:tc>
        <w:tc>
          <w:tcPr>
            <w:tcW w:w="1728" w:type="dxa"/>
            <w:tcBorders>
              <w:bottom w:val="single" w:sz="8" w:space="0" w:color="000000"/>
            </w:tcBorders>
            <w:vAlign w:val="center"/>
          </w:tcPr>
          <w:p w14:paraId="6378F2CA" w14:textId="77777777" w:rsidR="00080EDD" w:rsidRPr="00AC6188" w:rsidRDefault="00000000">
            <w:pPr>
              <w:rPr>
                <w:rFonts w:ascii="Times New Roman" w:hAnsi="Times New Roman" w:cs="Times New Roman"/>
              </w:rPr>
            </w:pPr>
            <w:r w:rsidRPr="00AC6188">
              <w:rPr>
                <w:rFonts w:ascii="Times New Roman" w:hAnsi="Times New Roman" w:cs="Times New Roman"/>
                <w:sz w:val="20"/>
              </w:rPr>
              <w:t>% within row</w:t>
            </w:r>
          </w:p>
        </w:tc>
        <w:tc>
          <w:tcPr>
            <w:tcW w:w="1152" w:type="dxa"/>
            <w:tcBorders>
              <w:bottom w:val="single" w:sz="8" w:space="0" w:color="000000"/>
            </w:tcBorders>
            <w:vAlign w:val="center"/>
          </w:tcPr>
          <w:p w14:paraId="320717FC"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24.9%</w:t>
            </w:r>
          </w:p>
        </w:tc>
        <w:tc>
          <w:tcPr>
            <w:tcW w:w="1152" w:type="dxa"/>
            <w:tcBorders>
              <w:bottom w:val="single" w:sz="8" w:space="0" w:color="000000"/>
            </w:tcBorders>
            <w:vAlign w:val="center"/>
          </w:tcPr>
          <w:p w14:paraId="552FE7E7"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75.1%</w:t>
            </w:r>
          </w:p>
        </w:tc>
        <w:tc>
          <w:tcPr>
            <w:tcW w:w="1152" w:type="dxa"/>
            <w:tcBorders>
              <w:bottom w:val="single" w:sz="8" w:space="0" w:color="000000"/>
            </w:tcBorders>
            <w:vAlign w:val="center"/>
          </w:tcPr>
          <w:p w14:paraId="29E05C17"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100.0%</w:t>
            </w:r>
          </w:p>
        </w:tc>
      </w:tr>
    </w:tbl>
    <w:p w14:paraId="022E80EE" w14:textId="77777777" w:rsidR="00080EDD" w:rsidRPr="00AC6188" w:rsidRDefault="00000000">
      <w:pPr>
        <w:rPr>
          <w:rFonts w:ascii="Times New Roman" w:hAnsi="Times New Roman" w:cs="Times New Roman"/>
        </w:rPr>
      </w:pPr>
      <w:r w:rsidRPr="00AC6188">
        <w:rPr>
          <w:rFonts w:ascii="Times New Roman" w:hAnsi="Times New Roman" w:cs="Times New Roman"/>
          <w:i/>
          <w:sz w:val="20"/>
        </w:rPr>
        <w:t xml:space="preserve">Note. </w:t>
      </w:r>
      <w:r w:rsidRPr="00AC6188">
        <w:rPr>
          <w:rFonts w:ascii="Times New Roman" w:hAnsi="Times New Roman" w:cs="Times New Roman"/>
          <w:sz w:val="20"/>
        </w:rPr>
        <w:t>Pearson χ²(1) = 3.28, p = .07; continuity-corrected χ² = 2.67, p = .10; Fisher's Exact (2-tailed) p = .08; φ = .14. Marginally significant, directionally consistent.</w:t>
      </w:r>
    </w:p>
    <w:p w14:paraId="18539649" w14:textId="25BF0B5C" w:rsidR="00260E4C" w:rsidRPr="00AC6188" w:rsidRDefault="00260E4C" w:rsidP="00260E4C">
      <w:pPr>
        <w:jc w:val="both"/>
        <w:rPr>
          <w:rFonts w:ascii="Times New Roman" w:hAnsi="Times New Roman" w:cs="Times New Roman"/>
          <w:sz w:val="24"/>
          <w:szCs w:val="24"/>
        </w:rPr>
      </w:pPr>
      <w:r w:rsidRPr="00AC6188">
        <w:rPr>
          <w:rFonts w:ascii="Times New Roman" w:hAnsi="Times New Roman" w:cs="Times New Roman"/>
          <w:sz w:val="24"/>
          <w:szCs w:val="24"/>
        </w:rPr>
        <w:t xml:space="preserve">Firstly, 74% of tourists in the sample had already reported </w:t>
      </w:r>
      <w:r w:rsidR="007D2255" w:rsidRPr="00AC6188">
        <w:rPr>
          <w:rFonts w:ascii="Times New Roman" w:hAnsi="Times New Roman" w:cs="Times New Roman"/>
          <w:sz w:val="24"/>
          <w:szCs w:val="24"/>
        </w:rPr>
        <w:t>using dustbins; this ceiling effect means that when the outcome variable is highly saturated, less variance is available for the other variable(s) to account for. Therefore,</w:t>
      </w:r>
      <w:r w:rsidRPr="00AC6188">
        <w:rPr>
          <w:rFonts w:ascii="Times New Roman" w:hAnsi="Times New Roman" w:cs="Times New Roman"/>
          <w:sz w:val="24"/>
          <w:szCs w:val="24"/>
        </w:rPr>
        <w:t xml:space="preserve"> it is </w:t>
      </w:r>
      <w:r w:rsidR="007D2255" w:rsidRPr="00AC6188">
        <w:rPr>
          <w:rFonts w:ascii="Times New Roman" w:hAnsi="Times New Roman" w:cs="Times New Roman"/>
          <w:sz w:val="24"/>
          <w:szCs w:val="24"/>
        </w:rPr>
        <w:t>common to find small effect sizes, and they do not indicate</w:t>
      </w:r>
      <w:r w:rsidRPr="00AC6188">
        <w:rPr>
          <w:rFonts w:ascii="Times New Roman" w:hAnsi="Times New Roman" w:cs="Times New Roman"/>
          <w:sz w:val="24"/>
          <w:szCs w:val="24"/>
        </w:rPr>
        <w:t xml:space="preserve"> that there is no true effect. Second, and more </w:t>
      </w:r>
      <w:r w:rsidR="007D2255" w:rsidRPr="00AC6188">
        <w:rPr>
          <w:rFonts w:ascii="Times New Roman" w:hAnsi="Times New Roman" w:cs="Times New Roman"/>
          <w:sz w:val="24"/>
          <w:szCs w:val="24"/>
        </w:rPr>
        <w:t xml:space="preserve">importantly, the observed result is in line with the literature, because the theoretical model the research was based on makes a clear prediction: awareness –behaviour relationships, in the </w:t>
      </w:r>
      <w:r w:rsidRPr="00AC6188">
        <w:rPr>
          <w:rFonts w:ascii="Times New Roman" w:hAnsi="Times New Roman" w:cs="Times New Roman"/>
          <w:sz w:val="24"/>
          <w:szCs w:val="24"/>
        </w:rPr>
        <w:t>tourism context, would be only modest and inconsistent (Juvan &amp; Dolnicar, 2014; Steg &amp; Vlek, 2009).</w:t>
      </w:r>
    </w:p>
    <w:p w14:paraId="00BDDC7E" w14:textId="5387B5BB" w:rsidR="00186DC4" w:rsidRPr="00AC6188" w:rsidRDefault="00DB5EEE" w:rsidP="00186DC4">
      <w:pPr>
        <w:jc w:val="center"/>
        <w:rPr>
          <w:rFonts w:ascii="Times New Roman" w:hAnsi="Times New Roman" w:cs="Times New Roman"/>
          <w:sz w:val="24"/>
          <w:szCs w:val="24"/>
        </w:rPr>
      </w:pPr>
      <w:r w:rsidRPr="00AC6188">
        <w:rPr>
          <w:rFonts w:ascii="Times New Roman" w:hAnsi="Times New Roman" w:cs="Times New Roman"/>
          <w:noProof/>
          <w:sz w:val="24"/>
          <w:szCs w:val="24"/>
        </w:rPr>
        <w:drawing>
          <wp:inline distT="0" distB="0" distL="0" distR="0" wp14:anchorId="4F6AEAB1" wp14:editId="53BA6FC7">
            <wp:extent cx="5055409" cy="3530833"/>
            <wp:effectExtent l="0" t="0" r="0" b="0"/>
            <wp:docPr id="807300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0090" name="Picture 807300090"/>
                    <pic:cNvPicPr/>
                  </pic:nvPicPr>
                  <pic:blipFill>
                    <a:blip r:embed="rId7">
                      <a:extLst>
                        <a:ext uri="{28A0092B-C50C-407E-A947-70E740481C1C}">
                          <a14:useLocalDpi xmlns:a14="http://schemas.microsoft.com/office/drawing/2010/main" val="0"/>
                        </a:ext>
                      </a:extLst>
                    </a:blip>
                    <a:stretch>
                      <a:fillRect/>
                    </a:stretch>
                  </pic:blipFill>
                  <pic:spPr>
                    <a:xfrm>
                      <a:off x="0" y="0"/>
                      <a:ext cx="5055846" cy="3531138"/>
                    </a:xfrm>
                    <a:prstGeom prst="rect">
                      <a:avLst/>
                    </a:prstGeom>
                  </pic:spPr>
                </pic:pic>
              </a:graphicData>
            </a:graphic>
          </wp:inline>
        </w:drawing>
      </w:r>
      <w:r w:rsidR="00186DC4" w:rsidRPr="00AC6188">
        <w:rPr>
          <w:rFonts w:ascii="Times New Roman" w:hAnsi="Times New Roman" w:cs="Times New Roman"/>
          <w:sz w:val="24"/>
          <w:szCs w:val="24"/>
        </w:rPr>
        <w:br/>
        <w:t>Figure. 3</w:t>
      </w:r>
    </w:p>
    <w:p w14:paraId="20D00399" w14:textId="660C659C" w:rsidR="002815BC" w:rsidRPr="00AC6188" w:rsidRDefault="00186DC4" w:rsidP="00186DC4">
      <w:pPr>
        <w:rPr>
          <w:rFonts w:ascii="Times New Roman" w:hAnsi="Times New Roman" w:cs="Times New Roman"/>
          <w:sz w:val="24"/>
          <w:szCs w:val="24"/>
        </w:rPr>
      </w:pPr>
      <w:r w:rsidRPr="00AC6188">
        <w:rPr>
          <w:rFonts w:ascii="Times New Roman" w:hAnsi="Times New Roman" w:cs="Times New Roman"/>
          <w:sz w:val="24"/>
          <w:szCs w:val="24"/>
        </w:rPr>
        <w:br w:type="page"/>
      </w:r>
      <w:r w:rsidR="002815BC" w:rsidRPr="00AC6188">
        <w:rPr>
          <w:rFonts w:ascii="Times New Roman" w:hAnsi="Times New Roman" w:cs="Times New Roman"/>
          <w:b/>
          <w:bCs/>
          <w:sz w:val="24"/>
          <w:szCs w:val="24"/>
        </w:rPr>
        <w:lastRenderedPageBreak/>
        <w:t>5.4 Robustness and Discriminant Checks</w:t>
      </w:r>
    </w:p>
    <w:p w14:paraId="6726DAAC" w14:textId="0A8D1ECA"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Three additional analyses were </w:t>
      </w:r>
      <w:r w:rsidR="007D2255" w:rsidRPr="00AC6188">
        <w:rPr>
          <w:rFonts w:ascii="Times New Roman" w:hAnsi="Times New Roman" w:cs="Times New Roman"/>
          <w:sz w:val="24"/>
          <w:szCs w:val="24"/>
        </w:rPr>
        <w:t>conducted to characterise the nature of the awareness-behaviour link further</w:t>
      </w:r>
      <w:r w:rsidRPr="00AC6188">
        <w:rPr>
          <w:rFonts w:ascii="Times New Roman" w:hAnsi="Times New Roman" w:cs="Times New Roman"/>
          <w:sz w:val="24"/>
          <w:szCs w:val="24"/>
        </w:rPr>
        <w:t>. First, the general information awareness score (0–4 items noticed) was cross-tabulated against dustbin use. Dustbin-use rates rose monotonically with awareness score</w:t>
      </w:r>
      <w:r w:rsidR="007D2255" w:rsidRPr="00AC6188">
        <w:rPr>
          <w:rFonts w:ascii="Times New Roman" w:hAnsi="Times New Roman" w:cs="Times New Roman"/>
          <w:sz w:val="24"/>
          <w:szCs w:val="24"/>
        </w:rPr>
        <w:t>, such as 64.7%, 76.6%, 76.8%, and 84.2% at scores of 1, 2, 3, and 4, respectively. However, the</w:t>
      </w:r>
      <w:r w:rsidRPr="00AC6188">
        <w:rPr>
          <w:rFonts w:ascii="Times New Roman" w:hAnsi="Times New Roman" w:cs="Times New Roman"/>
          <w:sz w:val="24"/>
          <w:szCs w:val="24"/>
        </w:rPr>
        <w:t xml:space="preserve"> overall Pearson chi-square was not significant, χ²(3) = 2.97, p = .40. The Linear-by-Linear Association test, which is the appropriate test for an ordinal predictor against a binary outcome, returned 2.30, p = .13, again marginal but consistent with the monotonic pattern.</w:t>
      </w:r>
    </w:p>
    <w:p w14:paraId="589FED5F" w14:textId="209C140A"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Second, awareness was cross-tabulated </w:t>
      </w:r>
      <w:r w:rsidR="007D2255" w:rsidRPr="00AC6188">
        <w:rPr>
          <w:rFonts w:ascii="Times New Roman" w:hAnsi="Times New Roman" w:cs="Times New Roman"/>
          <w:sz w:val="24"/>
          <w:szCs w:val="24"/>
        </w:rPr>
        <w:t>with the purchase</w:t>
      </w:r>
      <w:r w:rsidRPr="00AC6188">
        <w:rPr>
          <w:rFonts w:ascii="Times New Roman" w:hAnsi="Times New Roman" w:cs="Times New Roman"/>
          <w:sz w:val="24"/>
          <w:szCs w:val="24"/>
        </w:rPr>
        <w:t xml:space="preserve"> of local products — a behaviour theoretically unrelated to on-site environmental information. The result was a complete null: 40.6% of unaware tourists and 38.5% of aware tourists reported purchasing local products, with phi = –.03, p = .70. Third, independent-samples t-tests compared aware versus unaware tourists on three continuous outcomes: overall satisfaction (M aware = 3.74, M unaware = 3.84, p = .35), cleanliness rating (M aware = 3.50, M unaware = 3.38, p = .33), and the Responsible Tourism Behaviour Score (M aware = 1.06, M unaware = 0.98, p = .42). All three returned no significant difference.</w:t>
      </w:r>
    </w:p>
    <w:p w14:paraId="0A623D24" w14:textId="3310922E" w:rsidR="001B3E4D" w:rsidRPr="00AC6188" w:rsidRDefault="002815BC" w:rsidP="001B3E4D">
      <w:pPr>
        <w:jc w:val="both"/>
        <w:rPr>
          <w:rFonts w:ascii="Times New Roman" w:hAnsi="Times New Roman" w:cs="Times New Roman"/>
          <w:sz w:val="24"/>
          <w:szCs w:val="24"/>
        </w:rPr>
      </w:pPr>
      <w:r w:rsidRPr="00AC6188">
        <w:rPr>
          <w:rFonts w:ascii="Times New Roman" w:hAnsi="Times New Roman" w:cs="Times New Roman"/>
          <w:sz w:val="24"/>
          <w:szCs w:val="24"/>
        </w:rPr>
        <w:t>Taken together, this pattern is theoretically informative. Environmental awareness is weakly and marginally associated with a specifically environment-adjacent behaviour (dustbin use)</w:t>
      </w:r>
      <w:r w:rsidR="007D2255" w:rsidRPr="00AC6188">
        <w:rPr>
          <w:rFonts w:ascii="Times New Roman" w:hAnsi="Times New Roman" w:cs="Times New Roman"/>
          <w:sz w:val="24"/>
          <w:szCs w:val="24"/>
        </w:rPr>
        <w:t>. However, it shows</w:t>
      </w:r>
      <w:r w:rsidRPr="00AC6188">
        <w:rPr>
          <w:rFonts w:ascii="Times New Roman" w:hAnsi="Times New Roman" w:cs="Times New Roman"/>
          <w:sz w:val="24"/>
          <w:szCs w:val="24"/>
        </w:rPr>
        <w:t xml:space="preserve"> no association with either a general satisfaction rating, a general cleanliness perception, or unrelated tourism behaviours. This discriminant pattern rules out a simple confounding explanation in which "conscientious tourists" would look aware and behave well across all measures.</w:t>
      </w:r>
    </w:p>
    <w:p w14:paraId="75D04991" w14:textId="77777777" w:rsidR="00080EDD" w:rsidRPr="00AC6188" w:rsidRDefault="00000000">
      <w:pPr>
        <w:rPr>
          <w:rFonts w:ascii="Times New Roman" w:hAnsi="Times New Roman" w:cs="Times New Roman"/>
        </w:rPr>
      </w:pPr>
      <w:r w:rsidRPr="00AC6188">
        <w:rPr>
          <w:rFonts w:ascii="Times New Roman" w:hAnsi="Times New Roman" w:cs="Times New Roman"/>
          <w:b/>
        </w:rPr>
        <w:t>Table 2</w:t>
      </w:r>
    </w:p>
    <w:p w14:paraId="52A3486B" w14:textId="77777777" w:rsidR="00080EDD" w:rsidRPr="00AC6188" w:rsidRDefault="00000000">
      <w:pPr>
        <w:rPr>
          <w:rFonts w:ascii="Times New Roman" w:hAnsi="Times New Roman" w:cs="Times New Roman"/>
        </w:rPr>
      </w:pPr>
      <w:r w:rsidRPr="00AC6188">
        <w:rPr>
          <w:rFonts w:ascii="Times New Roman" w:hAnsi="Times New Roman" w:cs="Times New Roman"/>
          <w:i/>
        </w:rPr>
        <w:t>Robustness and Discriminant Check Summary</w:t>
      </w:r>
    </w:p>
    <w:tbl>
      <w:tblPr>
        <w:tblW w:w="0" w:type="auto"/>
        <w:jc w:val="center"/>
        <w:tblLook w:val="04A0" w:firstRow="1" w:lastRow="0" w:firstColumn="1" w:lastColumn="0" w:noHBand="0" w:noVBand="1"/>
      </w:tblPr>
      <w:tblGrid>
        <w:gridCol w:w="3744"/>
        <w:gridCol w:w="720"/>
        <w:gridCol w:w="1440"/>
        <w:gridCol w:w="720"/>
        <w:gridCol w:w="864"/>
        <w:gridCol w:w="1440"/>
      </w:tblGrid>
      <w:tr w:rsidR="00080EDD" w:rsidRPr="00AC6188" w14:paraId="639A9B40" w14:textId="77777777">
        <w:trPr>
          <w:jc w:val="center"/>
        </w:trPr>
        <w:tc>
          <w:tcPr>
            <w:tcW w:w="3744" w:type="dxa"/>
            <w:tcBorders>
              <w:top w:val="single" w:sz="8" w:space="0" w:color="000000"/>
              <w:bottom w:val="single" w:sz="4" w:space="0" w:color="000000"/>
            </w:tcBorders>
            <w:vAlign w:val="center"/>
          </w:tcPr>
          <w:p w14:paraId="5D1E1DBE"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Test</w:t>
            </w:r>
          </w:p>
        </w:tc>
        <w:tc>
          <w:tcPr>
            <w:tcW w:w="720" w:type="dxa"/>
            <w:tcBorders>
              <w:top w:val="single" w:sz="8" w:space="0" w:color="000000"/>
              <w:bottom w:val="single" w:sz="4" w:space="0" w:color="000000"/>
            </w:tcBorders>
            <w:vAlign w:val="center"/>
          </w:tcPr>
          <w:p w14:paraId="6767D8F0"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n</w:t>
            </w:r>
          </w:p>
        </w:tc>
        <w:tc>
          <w:tcPr>
            <w:tcW w:w="1440" w:type="dxa"/>
            <w:tcBorders>
              <w:top w:val="single" w:sz="8" w:space="0" w:color="000000"/>
              <w:bottom w:val="single" w:sz="4" w:space="0" w:color="000000"/>
            </w:tcBorders>
            <w:vAlign w:val="center"/>
          </w:tcPr>
          <w:p w14:paraId="15FA6401"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Statistic</w:t>
            </w:r>
          </w:p>
        </w:tc>
        <w:tc>
          <w:tcPr>
            <w:tcW w:w="720" w:type="dxa"/>
            <w:tcBorders>
              <w:top w:val="single" w:sz="8" w:space="0" w:color="000000"/>
              <w:bottom w:val="single" w:sz="4" w:space="0" w:color="000000"/>
            </w:tcBorders>
            <w:vAlign w:val="center"/>
          </w:tcPr>
          <w:p w14:paraId="41DB34A8"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df</w:t>
            </w:r>
          </w:p>
        </w:tc>
        <w:tc>
          <w:tcPr>
            <w:tcW w:w="864" w:type="dxa"/>
            <w:tcBorders>
              <w:top w:val="single" w:sz="8" w:space="0" w:color="000000"/>
              <w:bottom w:val="single" w:sz="4" w:space="0" w:color="000000"/>
            </w:tcBorders>
            <w:vAlign w:val="center"/>
          </w:tcPr>
          <w:p w14:paraId="117FF703"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p</w:t>
            </w:r>
          </w:p>
        </w:tc>
        <w:tc>
          <w:tcPr>
            <w:tcW w:w="1440" w:type="dxa"/>
            <w:tcBorders>
              <w:top w:val="single" w:sz="8" w:space="0" w:color="000000"/>
              <w:bottom w:val="single" w:sz="4" w:space="0" w:color="000000"/>
            </w:tcBorders>
            <w:vAlign w:val="center"/>
          </w:tcPr>
          <w:p w14:paraId="7533E9BB" w14:textId="77777777" w:rsidR="00080EDD" w:rsidRPr="00AC6188" w:rsidRDefault="00000000">
            <w:pPr>
              <w:jc w:val="center"/>
              <w:rPr>
                <w:rFonts w:ascii="Times New Roman" w:hAnsi="Times New Roman" w:cs="Times New Roman"/>
              </w:rPr>
            </w:pPr>
            <w:r w:rsidRPr="00AC6188">
              <w:rPr>
                <w:rFonts w:ascii="Times New Roman" w:hAnsi="Times New Roman" w:cs="Times New Roman"/>
                <w:b/>
                <w:sz w:val="20"/>
              </w:rPr>
              <w:t>Effect Size</w:t>
            </w:r>
          </w:p>
        </w:tc>
      </w:tr>
      <w:tr w:rsidR="00080EDD" w:rsidRPr="00AC6188" w14:paraId="427C091B" w14:textId="77777777">
        <w:trPr>
          <w:jc w:val="center"/>
        </w:trPr>
        <w:tc>
          <w:tcPr>
            <w:tcW w:w="3744" w:type="dxa"/>
            <w:vAlign w:val="center"/>
          </w:tcPr>
          <w:p w14:paraId="3D42CAE1" w14:textId="77777777" w:rsidR="00080EDD" w:rsidRPr="00AC6188" w:rsidRDefault="00000000">
            <w:pPr>
              <w:rPr>
                <w:rFonts w:ascii="Times New Roman" w:hAnsi="Times New Roman" w:cs="Times New Roman"/>
              </w:rPr>
            </w:pPr>
            <w:r w:rsidRPr="00AC6188">
              <w:rPr>
                <w:rFonts w:ascii="Times New Roman" w:hAnsi="Times New Roman" w:cs="Times New Roman"/>
                <w:sz w:val="20"/>
              </w:rPr>
              <w:t>General Info Awareness Score × Dustbin Use</w:t>
            </w:r>
          </w:p>
        </w:tc>
        <w:tc>
          <w:tcPr>
            <w:tcW w:w="720" w:type="dxa"/>
            <w:vAlign w:val="center"/>
          </w:tcPr>
          <w:p w14:paraId="466DF168"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215</w:t>
            </w:r>
          </w:p>
        </w:tc>
        <w:tc>
          <w:tcPr>
            <w:tcW w:w="1440" w:type="dxa"/>
            <w:vAlign w:val="center"/>
          </w:tcPr>
          <w:p w14:paraId="02D2EA31"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χ² = 2.97</w:t>
            </w:r>
          </w:p>
        </w:tc>
        <w:tc>
          <w:tcPr>
            <w:tcW w:w="720" w:type="dxa"/>
            <w:vAlign w:val="center"/>
          </w:tcPr>
          <w:p w14:paraId="706F113F"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3</w:t>
            </w:r>
          </w:p>
        </w:tc>
        <w:tc>
          <w:tcPr>
            <w:tcW w:w="864" w:type="dxa"/>
            <w:vAlign w:val="center"/>
          </w:tcPr>
          <w:p w14:paraId="6FF5879C"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.40</w:t>
            </w:r>
          </w:p>
        </w:tc>
        <w:tc>
          <w:tcPr>
            <w:tcW w:w="1440" w:type="dxa"/>
            <w:vAlign w:val="center"/>
          </w:tcPr>
          <w:p w14:paraId="396067D4"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φ = .12</w:t>
            </w:r>
          </w:p>
        </w:tc>
      </w:tr>
      <w:tr w:rsidR="00080EDD" w:rsidRPr="00AC6188" w14:paraId="2DA3709F" w14:textId="77777777">
        <w:trPr>
          <w:jc w:val="center"/>
        </w:trPr>
        <w:tc>
          <w:tcPr>
            <w:tcW w:w="3744" w:type="dxa"/>
            <w:vAlign w:val="center"/>
          </w:tcPr>
          <w:p w14:paraId="2B762986" w14:textId="77777777" w:rsidR="00080EDD" w:rsidRPr="00AC6188" w:rsidRDefault="00000000">
            <w:pPr>
              <w:rPr>
                <w:rFonts w:ascii="Times New Roman" w:hAnsi="Times New Roman" w:cs="Times New Roman"/>
              </w:rPr>
            </w:pPr>
            <w:r w:rsidRPr="00AC6188">
              <w:rPr>
                <w:rFonts w:ascii="Times New Roman" w:hAnsi="Times New Roman" w:cs="Times New Roman"/>
                <w:sz w:val="20"/>
              </w:rPr>
              <w:t>Awareness × Purchased Local Products</w:t>
            </w:r>
          </w:p>
        </w:tc>
        <w:tc>
          <w:tcPr>
            <w:tcW w:w="720" w:type="dxa"/>
            <w:vAlign w:val="center"/>
          </w:tcPr>
          <w:p w14:paraId="6F23D5EA"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240</w:t>
            </w:r>
          </w:p>
        </w:tc>
        <w:tc>
          <w:tcPr>
            <w:tcW w:w="1440" w:type="dxa"/>
            <w:vAlign w:val="center"/>
          </w:tcPr>
          <w:p w14:paraId="4CD262D9"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χ² = 0.15</w:t>
            </w:r>
          </w:p>
        </w:tc>
        <w:tc>
          <w:tcPr>
            <w:tcW w:w="720" w:type="dxa"/>
            <w:vAlign w:val="center"/>
          </w:tcPr>
          <w:p w14:paraId="3E270DF3"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w:t>
            </w:r>
          </w:p>
        </w:tc>
        <w:tc>
          <w:tcPr>
            <w:tcW w:w="864" w:type="dxa"/>
            <w:vAlign w:val="center"/>
          </w:tcPr>
          <w:p w14:paraId="7B4F0B6D"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.70</w:t>
            </w:r>
          </w:p>
        </w:tc>
        <w:tc>
          <w:tcPr>
            <w:tcW w:w="1440" w:type="dxa"/>
            <w:vAlign w:val="center"/>
          </w:tcPr>
          <w:p w14:paraId="227640DF"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φ = –.03</w:t>
            </w:r>
          </w:p>
        </w:tc>
      </w:tr>
      <w:tr w:rsidR="00080EDD" w:rsidRPr="00AC6188" w14:paraId="44BE1FB3" w14:textId="77777777">
        <w:trPr>
          <w:jc w:val="center"/>
        </w:trPr>
        <w:tc>
          <w:tcPr>
            <w:tcW w:w="3744" w:type="dxa"/>
            <w:vAlign w:val="center"/>
          </w:tcPr>
          <w:p w14:paraId="722453C8" w14:textId="77777777" w:rsidR="00080EDD" w:rsidRPr="00AC6188" w:rsidRDefault="00000000">
            <w:pPr>
              <w:rPr>
                <w:rFonts w:ascii="Times New Roman" w:hAnsi="Times New Roman" w:cs="Times New Roman"/>
              </w:rPr>
            </w:pPr>
            <w:r w:rsidRPr="00AC6188">
              <w:rPr>
                <w:rFonts w:ascii="Times New Roman" w:hAnsi="Times New Roman" w:cs="Times New Roman"/>
                <w:sz w:val="20"/>
              </w:rPr>
              <w:t>Awareness × Overall Satisfaction (t-test)</w:t>
            </w:r>
          </w:p>
        </w:tc>
        <w:tc>
          <w:tcPr>
            <w:tcW w:w="720" w:type="dxa"/>
            <w:vAlign w:val="center"/>
          </w:tcPr>
          <w:p w14:paraId="76AF1F8E"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178</w:t>
            </w:r>
          </w:p>
        </w:tc>
        <w:tc>
          <w:tcPr>
            <w:tcW w:w="1440" w:type="dxa"/>
            <w:vAlign w:val="center"/>
          </w:tcPr>
          <w:p w14:paraId="375A8D30"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t = 0.95</w:t>
            </w:r>
          </w:p>
        </w:tc>
        <w:tc>
          <w:tcPr>
            <w:tcW w:w="720" w:type="dxa"/>
            <w:vAlign w:val="center"/>
          </w:tcPr>
          <w:p w14:paraId="27E734FE"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176</w:t>
            </w:r>
          </w:p>
        </w:tc>
        <w:tc>
          <w:tcPr>
            <w:tcW w:w="864" w:type="dxa"/>
            <w:vAlign w:val="center"/>
          </w:tcPr>
          <w:p w14:paraId="6BE8C3D8"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.35</w:t>
            </w:r>
          </w:p>
        </w:tc>
        <w:tc>
          <w:tcPr>
            <w:tcW w:w="1440" w:type="dxa"/>
            <w:vAlign w:val="center"/>
          </w:tcPr>
          <w:p w14:paraId="5BAE31EC"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M diff = 0.10</w:t>
            </w:r>
          </w:p>
        </w:tc>
      </w:tr>
      <w:tr w:rsidR="00080EDD" w:rsidRPr="00AC6188" w14:paraId="07E0DA86" w14:textId="77777777">
        <w:trPr>
          <w:jc w:val="center"/>
        </w:trPr>
        <w:tc>
          <w:tcPr>
            <w:tcW w:w="3744" w:type="dxa"/>
            <w:vAlign w:val="center"/>
          </w:tcPr>
          <w:p w14:paraId="4CD2DE42" w14:textId="77777777" w:rsidR="00080EDD" w:rsidRPr="00AC6188" w:rsidRDefault="00000000">
            <w:pPr>
              <w:rPr>
                <w:rFonts w:ascii="Times New Roman" w:hAnsi="Times New Roman" w:cs="Times New Roman"/>
              </w:rPr>
            </w:pPr>
            <w:r w:rsidRPr="00AC6188">
              <w:rPr>
                <w:rFonts w:ascii="Times New Roman" w:hAnsi="Times New Roman" w:cs="Times New Roman"/>
                <w:sz w:val="20"/>
              </w:rPr>
              <w:t>Awareness × Cleanliness Rating (t-test)</w:t>
            </w:r>
          </w:p>
        </w:tc>
        <w:tc>
          <w:tcPr>
            <w:tcW w:w="720" w:type="dxa"/>
            <w:vAlign w:val="center"/>
          </w:tcPr>
          <w:p w14:paraId="50A567B6"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178</w:t>
            </w:r>
          </w:p>
        </w:tc>
        <w:tc>
          <w:tcPr>
            <w:tcW w:w="1440" w:type="dxa"/>
            <w:vAlign w:val="center"/>
          </w:tcPr>
          <w:p w14:paraId="748893DF"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t = –0.98</w:t>
            </w:r>
          </w:p>
        </w:tc>
        <w:tc>
          <w:tcPr>
            <w:tcW w:w="720" w:type="dxa"/>
            <w:vAlign w:val="center"/>
          </w:tcPr>
          <w:p w14:paraId="369DBB49"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176</w:t>
            </w:r>
          </w:p>
        </w:tc>
        <w:tc>
          <w:tcPr>
            <w:tcW w:w="864" w:type="dxa"/>
            <w:vAlign w:val="center"/>
          </w:tcPr>
          <w:p w14:paraId="5C26C14D"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.33</w:t>
            </w:r>
          </w:p>
        </w:tc>
        <w:tc>
          <w:tcPr>
            <w:tcW w:w="1440" w:type="dxa"/>
            <w:vAlign w:val="center"/>
          </w:tcPr>
          <w:p w14:paraId="55D28262"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M diff = –0.12</w:t>
            </w:r>
          </w:p>
        </w:tc>
      </w:tr>
      <w:tr w:rsidR="00080EDD" w:rsidRPr="00AC6188" w14:paraId="6A528AE1" w14:textId="77777777">
        <w:trPr>
          <w:jc w:val="center"/>
        </w:trPr>
        <w:tc>
          <w:tcPr>
            <w:tcW w:w="3744" w:type="dxa"/>
            <w:tcBorders>
              <w:bottom w:val="single" w:sz="8" w:space="0" w:color="000000"/>
            </w:tcBorders>
            <w:vAlign w:val="center"/>
          </w:tcPr>
          <w:p w14:paraId="582BEFE4" w14:textId="77777777" w:rsidR="00080EDD" w:rsidRPr="00AC6188" w:rsidRDefault="00000000">
            <w:pPr>
              <w:rPr>
                <w:rFonts w:ascii="Times New Roman" w:hAnsi="Times New Roman" w:cs="Times New Roman"/>
              </w:rPr>
            </w:pPr>
            <w:r w:rsidRPr="00AC6188">
              <w:rPr>
                <w:rFonts w:ascii="Times New Roman" w:hAnsi="Times New Roman" w:cs="Times New Roman"/>
                <w:sz w:val="20"/>
              </w:rPr>
              <w:t>Awareness × Responsible Tourism Score (t-test)</w:t>
            </w:r>
          </w:p>
        </w:tc>
        <w:tc>
          <w:tcPr>
            <w:tcW w:w="720" w:type="dxa"/>
            <w:tcBorders>
              <w:bottom w:val="single" w:sz="8" w:space="0" w:color="000000"/>
            </w:tcBorders>
            <w:vAlign w:val="center"/>
          </w:tcPr>
          <w:p w14:paraId="289ED3EC"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244</w:t>
            </w:r>
          </w:p>
        </w:tc>
        <w:tc>
          <w:tcPr>
            <w:tcW w:w="1440" w:type="dxa"/>
            <w:tcBorders>
              <w:bottom w:val="single" w:sz="8" w:space="0" w:color="000000"/>
            </w:tcBorders>
            <w:vAlign w:val="center"/>
          </w:tcPr>
          <w:p w14:paraId="7034D342"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t = –0.81</w:t>
            </w:r>
          </w:p>
        </w:tc>
        <w:tc>
          <w:tcPr>
            <w:tcW w:w="720" w:type="dxa"/>
            <w:tcBorders>
              <w:bottom w:val="single" w:sz="8" w:space="0" w:color="000000"/>
            </w:tcBorders>
            <w:vAlign w:val="center"/>
          </w:tcPr>
          <w:p w14:paraId="3599729A"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242</w:t>
            </w:r>
          </w:p>
        </w:tc>
        <w:tc>
          <w:tcPr>
            <w:tcW w:w="864" w:type="dxa"/>
            <w:tcBorders>
              <w:bottom w:val="single" w:sz="8" w:space="0" w:color="000000"/>
            </w:tcBorders>
            <w:vAlign w:val="center"/>
          </w:tcPr>
          <w:p w14:paraId="5ACE5FE0"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.42</w:t>
            </w:r>
          </w:p>
        </w:tc>
        <w:tc>
          <w:tcPr>
            <w:tcW w:w="1440" w:type="dxa"/>
            <w:tcBorders>
              <w:bottom w:val="single" w:sz="8" w:space="0" w:color="000000"/>
            </w:tcBorders>
            <w:vAlign w:val="center"/>
          </w:tcPr>
          <w:p w14:paraId="3A40FDBA" w14:textId="77777777" w:rsidR="00080EDD" w:rsidRPr="00AC6188" w:rsidRDefault="00000000">
            <w:pPr>
              <w:jc w:val="center"/>
              <w:rPr>
                <w:rFonts w:ascii="Times New Roman" w:hAnsi="Times New Roman" w:cs="Times New Roman"/>
              </w:rPr>
            </w:pPr>
            <w:r w:rsidRPr="00AC6188">
              <w:rPr>
                <w:rFonts w:ascii="Times New Roman" w:hAnsi="Times New Roman" w:cs="Times New Roman"/>
                <w:sz w:val="20"/>
              </w:rPr>
              <w:t>M diff = –0.08</w:t>
            </w:r>
          </w:p>
        </w:tc>
      </w:tr>
    </w:tbl>
    <w:p w14:paraId="4996B4A6" w14:textId="53D34B5A" w:rsidR="00080EDD" w:rsidRPr="00AC6188" w:rsidRDefault="00000000">
      <w:pPr>
        <w:rPr>
          <w:rFonts w:ascii="Times New Roman" w:hAnsi="Times New Roman" w:cs="Times New Roman"/>
        </w:rPr>
      </w:pPr>
      <w:r w:rsidRPr="00AC6188">
        <w:rPr>
          <w:rFonts w:ascii="Times New Roman" w:hAnsi="Times New Roman" w:cs="Times New Roman"/>
          <w:i/>
          <w:sz w:val="20"/>
        </w:rPr>
        <w:t xml:space="preserve">Note. </w:t>
      </w:r>
      <w:r w:rsidRPr="00AC6188">
        <w:rPr>
          <w:rFonts w:ascii="Times New Roman" w:hAnsi="Times New Roman" w:cs="Times New Roman"/>
          <w:sz w:val="20"/>
        </w:rPr>
        <w:t xml:space="preserve">All tests </w:t>
      </w:r>
      <w:r w:rsidR="007D2255" w:rsidRPr="00AC6188">
        <w:rPr>
          <w:rFonts w:ascii="Times New Roman" w:hAnsi="Times New Roman" w:cs="Times New Roman"/>
          <w:sz w:val="20"/>
        </w:rPr>
        <w:t xml:space="preserve">are </w:t>
      </w:r>
      <w:r w:rsidRPr="00AC6188">
        <w:rPr>
          <w:rFonts w:ascii="Times New Roman" w:hAnsi="Times New Roman" w:cs="Times New Roman"/>
          <w:sz w:val="20"/>
        </w:rPr>
        <w:t>two-tailed. All p &gt; .05. Discriminant pattern: environmental awareness relates only to the environment-adjacent behaviour (dustbin use, reported in Table 1), not to unrelated tourism behaviours or general perceptions.</w:t>
      </w:r>
    </w:p>
    <w:p w14:paraId="359D100F" w14:textId="77777777" w:rsidR="002815BC" w:rsidRPr="00AC6188" w:rsidRDefault="002815BC" w:rsidP="001B3E4D">
      <w:pPr>
        <w:jc w:val="both"/>
        <w:rPr>
          <w:rFonts w:ascii="Times New Roman" w:hAnsi="Times New Roman" w:cs="Times New Roman"/>
          <w:sz w:val="24"/>
          <w:szCs w:val="24"/>
        </w:rPr>
      </w:pPr>
      <w:r w:rsidRPr="00AC6188">
        <w:rPr>
          <w:rFonts w:ascii="Times New Roman" w:hAnsi="Times New Roman" w:cs="Times New Roman"/>
          <w:b/>
          <w:bCs/>
          <w:sz w:val="24"/>
          <w:szCs w:val="24"/>
        </w:rPr>
        <w:t>5.5 Correlational Structure</w:t>
      </w:r>
    </w:p>
    <w:p w14:paraId="2C0047F4" w14:textId="201329EA" w:rsidR="00D65651" w:rsidRPr="00AC6188" w:rsidRDefault="007D2255" w:rsidP="002815BC">
      <w:pPr>
        <w:jc w:val="both"/>
        <w:rPr>
          <w:rFonts w:ascii="Times New Roman" w:hAnsi="Times New Roman" w:cs="Times New Roman"/>
          <w:sz w:val="24"/>
          <w:szCs w:val="24"/>
        </w:rPr>
      </w:pPr>
      <w:r w:rsidRPr="00AC6188">
        <w:rPr>
          <w:rFonts w:ascii="Times New Roman" w:hAnsi="Times New Roman" w:cs="Times New Roman"/>
          <w:sz w:val="24"/>
          <w:szCs w:val="24"/>
        </w:rPr>
        <w:t>Spearman's correlation matrix of the ordinal and rating variables revealed one noteworthy association beyond those already reported: general information awareness was positively correlated with tourists' ease-of-navigation</w:t>
      </w:r>
      <w:r w:rsidR="00D65651" w:rsidRPr="00AC6188">
        <w:rPr>
          <w:rFonts w:ascii="Times New Roman" w:hAnsi="Times New Roman" w:cs="Times New Roman"/>
          <w:sz w:val="24"/>
          <w:szCs w:val="24"/>
        </w:rPr>
        <w:t xml:space="preserve"> rating (ρ = .17, p = .01, n = 244). This indicates that people who perceived </w:t>
      </w:r>
      <w:r w:rsidRPr="00AC6188">
        <w:rPr>
          <w:rFonts w:ascii="Times New Roman" w:hAnsi="Times New Roman" w:cs="Times New Roman"/>
          <w:sz w:val="24"/>
          <w:szCs w:val="24"/>
        </w:rPr>
        <w:t xml:space="preserve">a greater amount of in-place information were also the ones who reported greater ease of navigation, which is in line with a general attentiveness or engagement effect </w:t>
      </w:r>
      <w:r w:rsidRPr="00AC6188">
        <w:rPr>
          <w:rFonts w:ascii="Times New Roman" w:hAnsi="Times New Roman" w:cs="Times New Roman"/>
          <w:sz w:val="24"/>
          <w:szCs w:val="24"/>
        </w:rPr>
        <w:lastRenderedPageBreak/>
        <w:t xml:space="preserve">and should be treated as a covariate </w:t>
      </w:r>
      <w:r w:rsidR="00D65651" w:rsidRPr="00AC6188">
        <w:rPr>
          <w:rFonts w:ascii="Times New Roman" w:hAnsi="Times New Roman" w:cs="Times New Roman"/>
          <w:sz w:val="24"/>
          <w:szCs w:val="24"/>
        </w:rPr>
        <w:t>in new studies, but does not detract from the above specificity result.</w:t>
      </w:r>
    </w:p>
    <w:p w14:paraId="2857C57B" w14:textId="32095B4C" w:rsidR="002815BC" w:rsidRPr="00AC6188" w:rsidRDefault="002815BC" w:rsidP="002815BC">
      <w:pPr>
        <w:jc w:val="both"/>
        <w:rPr>
          <w:rFonts w:ascii="Times New Roman" w:hAnsi="Times New Roman" w:cs="Times New Roman"/>
          <w:b/>
          <w:bCs/>
          <w:sz w:val="24"/>
          <w:szCs w:val="24"/>
        </w:rPr>
      </w:pPr>
      <w:r w:rsidRPr="00AC6188">
        <w:rPr>
          <w:rFonts w:ascii="Times New Roman" w:hAnsi="Times New Roman" w:cs="Times New Roman"/>
          <w:b/>
          <w:bCs/>
          <w:sz w:val="24"/>
          <w:szCs w:val="24"/>
        </w:rPr>
        <w:t>5.6 Site-Level Environmental Infrastructure</w:t>
      </w:r>
    </w:p>
    <w:p w14:paraId="10AB6BBE" w14:textId="3B634C9C" w:rsidR="001E73F7" w:rsidRPr="00AC6188" w:rsidRDefault="001E73F7" w:rsidP="001E73F7">
      <w:pPr>
        <w:jc w:val="both"/>
        <w:rPr>
          <w:rFonts w:ascii="Times New Roman" w:hAnsi="Times New Roman" w:cs="Times New Roman"/>
          <w:sz w:val="24"/>
          <w:szCs w:val="24"/>
        </w:rPr>
      </w:pPr>
      <w:r w:rsidRPr="00AC6188">
        <w:rPr>
          <w:rFonts w:ascii="Times New Roman" w:hAnsi="Times New Roman" w:cs="Times New Roman"/>
          <w:sz w:val="24"/>
          <w:szCs w:val="24"/>
        </w:rPr>
        <w:t xml:space="preserve">The Environmental Infrastructure Score showed a range from 2 to 5 on the 10 sites shown for which this information was available, with a mean score of 2.6 and a median score of 2. The scores for the </w:t>
      </w:r>
      <w:r w:rsidR="007D2255" w:rsidRPr="00AC6188">
        <w:rPr>
          <w:rFonts w:ascii="Times New Roman" w:hAnsi="Times New Roman" w:cs="Times New Roman"/>
          <w:sz w:val="24"/>
          <w:szCs w:val="24"/>
        </w:rPr>
        <w:t>remaining</w:t>
      </w:r>
      <w:r w:rsidRPr="00AC6188">
        <w:rPr>
          <w:rFonts w:ascii="Times New Roman" w:hAnsi="Times New Roman" w:cs="Times New Roman"/>
          <w:sz w:val="24"/>
          <w:szCs w:val="24"/>
        </w:rPr>
        <w:t xml:space="preserve"> sites were as follows: 5 sites scored 5, 2 sites scored 4, 2 sites scored 3, and 5 sites scored 2. </w:t>
      </w:r>
      <w:r w:rsidR="007D2255" w:rsidRPr="00AC6188">
        <w:rPr>
          <w:rFonts w:ascii="Times New Roman" w:hAnsi="Times New Roman" w:cs="Times New Roman"/>
          <w:sz w:val="24"/>
          <w:szCs w:val="24"/>
        </w:rPr>
        <w:t>Among the items at the individual site, 60% had environmental information guidelines, 90% had rules and regulations, 30% had emergency contact information, 100% had dustbins on hand, and 40% had working dustbins. In comparison, 30% had fully segregated (dry/wet) bins</w:t>
      </w:r>
      <w:r w:rsidRPr="00AC6188">
        <w:rPr>
          <w:rFonts w:ascii="Times New Roman" w:hAnsi="Times New Roman" w:cs="Times New Roman"/>
          <w:sz w:val="24"/>
          <w:szCs w:val="24"/>
        </w:rPr>
        <w:t xml:space="preserve">. At 40% of sites, public toilets existed. The mode score of the General Urban Infrastructure Score was also grouped, accounting for 3 </w:t>
      </w:r>
      <w:r w:rsidR="007D2255" w:rsidRPr="00AC6188">
        <w:rPr>
          <w:rFonts w:ascii="Times New Roman" w:hAnsi="Times New Roman" w:cs="Times New Roman"/>
          <w:sz w:val="24"/>
          <w:szCs w:val="24"/>
        </w:rPr>
        <w:t xml:space="preserve">scores at 1 site and 5 </w:t>
      </w:r>
      <w:r w:rsidRPr="00AC6188">
        <w:rPr>
          <w:rFonts w:ascii="Times New Roman" w:hAnsi="Times New Roman" w:cs="Times New Roman"/>
          <w:sz w:val="24"/>
          <w:szCs w:val="24"/>
        </w:rPr>
        <w:t>scores at 2 sites. All sites lacked public Wi-Fi/on-site health facilities.</w:t>
      </w:r>
    </w:p>
    <w:p w14:paraId="0DBCA489" w14:textId="78A297EE" w:rsidR="00B54134" w:rsidRPr="00AC6188" w:rsidRDefault="00B54134" w:rsidP="001E73F7">
      <w:pPr>
        <w:jc w:val="center"/>
        <w:rPr>
          <w:rFonts w:ascii="Times New Roman" w:hAnsi="Times New Roman" w:cs="Times New Roman"/>
          <w:sz w:val="24"/>
          <w:szCs w:val="24"/>
        </w:rPr>
      </w:pPr>
      <w:r w:rsidRPr="00AC6188">
        <w:rPr>
          <w:rFonts w:ascii="Times New Roman" w:hAnsi="Times New Roman" w:cs="Times New Roman"/>
          <w:noProof/>
          <w:sz w:val="24"/>
          <w:szCs w:val="24"/>
        </w:rPr>
        <w:drawing>
          <wp:inline distT="0" distB="0" distL="0" distR="0" wp14:anchorId="325EF937" wp14:editId="008B773F">
            <wp:extent cx="6342891" cy="4187602"/>
            <wp:effectExtent l="0" t="0" r="1270" b="3810"/>
            <wp:docPr id="18509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5688" name="Picture 18509756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43781" cy="4188189"/>
                    </a:xfrm>
                    <a:prstGeom prst="rect">
                      <a:avLst/>
                    </a:prstGeom>
                  </pic:spPr>
                </pic:pic>
              </a:graphicData>
            </a:graphic>
          </wp:inline>
        </w:drawing>
      </w:r>
      <w:r w:rsidRPr="00AC6188">
        <w:rPr>
          <w:rFonts w:ascii="Times New Roman" w:hAnsi="Times New Roman" w:cs="Times New Roman"/>
          <w:sz w:val="24"/>
          <w:szCs w:val="24"/>
        </w:rPr>
        <w:br/>
        <w:t xml:space="preserve">Figure. </w:t>
      </w:r>
      <w:r w:rsidR="005506F6" w:rsidRPr="00AC6188">
        <w:rPr>
          <w:rFonts w:ascii="Times New Roman" w:hAnsi="Times New Roman" w:cs="Times New Roman"/>
          <w:sz w:val="24"/>
          <w:szCs w:val="24"/>
        </w:rPr>
        <w:t>4</w:t>
      </w:r>
    </w:p>
    <w:p w14:paraId="1900E6DA" w14:textId="33D58B06" w:rsidR="00B54134" w:rsidRPr="00AC6188" w:rsidRDefault="00B54134" w:rsidP="002C0CE2">
      <w:pPr>
        <w:jc w:val="center"/>
        <w:rPr>
          <w:rFonts w:ascii="Times New Roman" w:hAnsi="Times New Roman" w:cs="Times New Roman"/>
          <w:sz w:val="24"/>
          <w:szCs w:val="24"/>
        </w:rPr>
      </w:pPr>
      <w:r w:rsidRPr="00AC6188">
        <w:rPr>
          <w:rFonts w:ascii="Times New Roman" w:hAnsi="Times New Roman" w:cs="Times New Roman"/>
          <w:noProof/>
          <w:sz w:val="24"/>
          <w:szCs w:val="24"/>
        </w:rPr>
        <w:lastRenderedPageBreak/>
        <w:drawing>
          <wp:inline distT="0" distB="0" distL="0" distR="0" wp14:anchorId="016A4B36" wp14:editId="65D4073F">
            <wp:extent cx="5678877" cy="3966283"/>
            <wp:effectExtent l="0" t="0" r="0" b="0"/>
            <wp:docPr id="1083354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54401" name="Picture 10833544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1471" cy="3968095"/>
                    </a:xfrm>
                    <a:prstGeom prst="rect">
                      <a:avLst/>
                    </a:prstGeom>
                  </pic:spPr>
                </pic:pic>
              </a:graphicData>
            </a:graphic>
          </wp:inline>
        </w:drawing>
      </w:r>
      <w:r w:rsidRPr="00AC6188">
        <w:rPr>
          <w:rFonts w:ascii="Times New Roman" w:hAnsi="Times New Roman" w:cs="Times New Roman"/>
          <w:sz w:val="24"/>
          <w:szCs w:val="24"/>
        </w:rPr>
        <w:br/>
        <w:t xml:space="preserve">Figure. </w:t>
      </w:r>
      <w:r w:rsidR="005506F6" w:rsidRPr="00AC6188">
        <w:rPr>
          <w:rFonts w:ascii="Times New Roman" w:hAnsi="Times New Roman" w:cs="Times New Roman"/>
          <w:sz w:val="24"/>
          <w:szCs w:val="24"/>
        </w:rPr>
        <w:t>5</w:t>
      </w:r>
    </w:p>
    <w:p w14:paraId="52A4ECD2" w14:textId="77777777" w:rsidR="00FA27B9" w:rsidRPr="00AC6188" w:rsidRDefault="00FA27B9" w:rsidP="00B54134">
      <w:pPr>
        <w:rPr>
          <w:rFonts w:ascii="Times New Roman" w:hAnsi="Times New Roman" w:cs="Times New Roman"/>
          <w:b/>
          <w:bCs/>
          <w:sz w:val="24"/>
          <w:szCs w:val="24"/>
        </w:rPr>
      </w:pPr>
    </w:p>
    <w:p w14:paraId="1C1E13E6" w14:textId="04DBE246" w:rsidR="00DF19D0" w:rsidRPr="00AC6188" w:rsidRDefault="00DF19D0" w:rsidP="00DF19D0">
      <w:pPr>
        <w:jc w:val="center"/>
        <w:rPr>
          <w:rFonts w:ascii="Times New Roman" w:hAnsi="Times New Roman" w:cs="Times New Roman"/>
          <w:b/>
          <w:bCs/>
          <w:sz w:val="24"/>
          <w:szCs w:val="24"/>
        </w:rPr>
      </w:pPr>
      <w:r w:rsidRPr="00AC6188">
        <w:rPr>
          <w:rFonts w:ascii="Times New Roman" w:hAnsi="Times New Roman" w:cs="Times New Roman"/>
          <w:b/>
          <w:bCs/>
          <w:noProof/>
          <w:sz w:val="24"/>
          <w:szCs w:val="24"/>
        </w:rPr>
        <w:drawing>
          <wp:inline distT="0" distB="0" distL="0" distR="0" wp14:anchorId="1226DCCF" wp14:editId="77F19F0D">
            <wp:extent cx="5220173" cy="4053646"/>
            <wp:effectExtent l="0" t="0" r="0" b="4445"/>
            <wp:docPr id="321008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08319" name="Picture 321008319"/>
                    <pic:cNvPicPr/>
                  </pic:nvPicPr>
                  <pic:blipFill>
                    <a:blip r:embed="rId10">
                      <a:extLst>
                        <a:ext uri="{28A0092B-C50C-407E-A947-70E740481C1C}">
                          <a14:useLocalDpi xmlns:a14="http://schemas.microsoft.com/office/drawing/2010/main" val="0"/>
                        </a:ext>
                      </a:extLst>
                    </a:blip>
                    <a:stretch>
                      <a:fillRect/>
                    </a:stretch>
                  </pic:blipFill>
                  <pic:spPr>
                    <a:xfrm>
                      <a:off x="0" y="0"/>
                      <a:ext cx="5222990" cy="4055834"/>
                    </a:xfrm>
                    <a:prstGeom prst="rect">
                      <a:avLst/>
                    </a:prstGeom>
                  </pic:spPr>
                </pic:pic>
              </a:graphicData>
            </a:graphic>
          </wp:inline>
        </w:drawing>
      </w:r>
      <w:r w:rsidRPr="00AC6188">
        <w:rPr>
          <w:rFonts w:ascii="Times New Roman" w:hAnsi="Times New Roman" w:cs="Times New Roman"/>
          <w:b/>
          <w:bCs/>
          <w:sz w:val="24"/>
          <w:szCs w:val="24"/>
        </w:rPr>
        <w:br/>
      </w:r>
      <w:r w:rsidRPr="00AC6188">
        <w:rPr>
          <w:rFonts w:ascii="Times New Roman" w:hAnsi="Times New Roman" w:cs="Times New Roman"/>
          <w:sz w:val="24"/>
          <w:szCs w:val="24"/>
        </w:rPr>
        <w:t xml:space="preserve">Figure. </w:t>
      </w:r>
      <w:r w:rsidR="005506F6" w:rsidRPr="00AC6188">
        <w:rPr>
          <w:rFonts w:ascii="Times New Roman" w:hAnsi="Times New Roman" w:cs="Times New Roman"/>
          <w:sz w:val="24"/>
          <w:szCs w:val="24"/>
        </w:rPr>
        <w:t>6</w:t>
      </w:r>
    </w:p>
    <w:p w14:paraId="48EE2FB4" w14:textId="77777777" w:rsidR="002815BC" w:rsidRPr="00AC6188" w:rsidRDefault="002815BC" w:rsidP="00B54134">
      <w:pPr>
        <w:rPr>
          <w:rFonts w:ascii="Times New Roman" w:hAnsi="Times New Roman" w:cs="Times New Roman"/>
          <w:b/>
          <w:bCs/>
          <w:sz w:val="24"/>
          <w:szCs w:val="24"/>
        </w:rPr>
      </w:pPr>
      <w:r w:rsidRPr="00AC6188">
        <w:rPr>
          <w:rFonts w:ascii="Times New Roman" w:hAnsi="Times New Roman" w:cs="Times New Roman"/>
          <w:b/>
          <w:bCs/>
          <w:sz w:val="24"/>
          <w:szCs w:val="24"/>
        </w:rPr>
        <w:lastRenderedPageBreak/>
        <w:t>5.7 Aggregate Supply-Versus-Demand Comparison</w:t>
      </w:r>
    </w:p>
    <w:p w14:paraId="74A8DB5D" w14:textId="55FF4E24"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The final analysis compares </w:t>
      </w:r>
      <w:r w:rsidR="007D2255" w:rsidRPr="00AC6188">
        <w:rPr>
          <w:rFonts w:ascii="Times New Roman" w:hAnsi="Times New Roman" w:cs="Times New Roman"/>
          <w:sz w:val="24"/>
          <w:szCs w:val="24"/>
        </w:rPr>
        <w:t>the aggregate site-level provision of each information type with the proportion of tourists who report</w:t>
      </w:r>
      <w:r w:rsidRPr="00AC6188">
        <w:rPr>
          <w:rFonts w:ascii="Times New Roman" w:hAnsi="Times New Roman" w:cs="Times New Roman"/>
          <w:sz w:val="24"/>
          <w:szCs w:val="24"/>
        </w:rPr>
        <w:t xml:space="preserve"> noticing it. Environmental guidelines were displayed at 60% of sites and noticed by 57% of tourists. Emergency contact information was displayed at 30% of sites and noticed by 42% of tourists. The striking result is for local rules and regulations: displayed at 90% of sites and noticed by only 53% of tourists</w:t>
      </w:r>
      <w:r w:rsidR="00B54134" w:rsidRPr="00AC6188">
        <w:rPr>
          <w:rFonts w:ascii="Times New Roman" w:hAnsi="Times New Roman" w:cs="Times New Roman"/>
          <w:sz w:val="24"/>
          <w:szCs w:val="24"/>
        </w:rPr>
        <w:t xml:space="preserve">. </w:t>
      </w:r>
    </w:p>
    <w:p w14:paraId="0CF469DC" w14:textId="02844B82" w:rsidR="002815BC" w:rsidRPr="00AC6188" w:rsidRDefault="00C33F4D" w:rsidP="00C33F4D">
      <w:pPr>
        <w:jc w:val="center"/>
        <w:rPr>
          <w:rFonts w:ascii="Times New Roman" w:hAnsi="Times New Roman" w:cs="Times New Roman"/>
          <w:sz w:val="24"/>
          <w:szCs w:val="24"/>
        </w:rPr>
      </w:pPr>
      <w:r w:rsidRPr="00AC6188">
        <w:rPr>
          <w:rFonts w:ascii="Times New Roman" w:hAnsi="Times New Roman" w:cs="Times New Roman"/>
          <w:noProof/>
          <w:sz w:val="24"/>
          <w:szCs w:val="24"/>
        </w:rPr>
        <w:drawing>
          <wp:inline distT="0" distB="0" distL="0" distR="0" wp14:anchorId="0B6FBC39" wp14:editId="58948BFB">
            <wp:extent cx="5175125" cy="3611006"/>
            <wp:effectExtent l="0" t="0" r="6985" b="8890"/>
            <wp:docPr id="1409282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82501" name="Picture 1409282501"/>
                    <pic:cNvPicPr/>
                  </pic:nvPicPr>
                  <pic:blipFill>
                    <a:blip r:embed="rId11">
                      <a:extLst>
                        <a:ext uri="{28A0092B-C50C-407E-A947-70E740481C1C}">
                          <a14:useLocalDpi xmlns:a14="http://schemas.microsoft.com/office/drawing/2010/main" val="0"/>
                        </a:ext>
                      </a:extLst>
                    </a:blip>
                    <a:stretch>
                      <a:fillRect/>
                    </a:stretch>
                  </pic:blipFill>
                  <pic:spPr>
                    <a:xfrm>
                      <a:off x="0" y="0"/>
                      <a:ext cx="5175125" cy="3611006"/>
                    </a:xfrm>
                    <a:prstGeom prst="rect">
                      <a:avLst/>
                    </a:prstGeom>
                  </pic:spPr>
                </pic:pic>
              </a:graphicData>
            </a:graphic>
          </wp:inline>
        </w:drawing>
      </w:r>
      <w:r w:rsidRPr="00AC6188">
        <w:rPr>
          <w:rFonts w:ascii="Times New Roman" w:hAnsi="Times New Roman" w:cs="Times New Roman"/>
          <w:sz w:val="24"/>
          <w:szCs w:val="24"/>
        </w:rPr>
        <w:br/>
        <w:t xml:space="preserve">Figure. </w:t>
      </w:r>
      <w:r w:rsidR="005506F6" w:rsidRPr="00AC6188">
        <w:rPr>
          <w:rFonts w:ascii="Times New Roman" w:hAnsi="Times New Roman" w:cs="Times New Roman"/>
          <w:sz w:val="24"/>
          <w:szCs w:val="24"/>
        </w:rPr>
        <w:t>7</w:t>
      </w:r>
    </w:p>
    <w:p w14:paraId="178DE621" w14:textId="77777777" w:rsidR="00C33F4D" w:rsidRPr="00AC6188" w:rsidRDefault="00C33F4D" w:rsidP="00C33F4D">
      <w:pPr>
        <w:jc w:val="center"/>
        <w:rPr>
          <w:rFonts w:ascii="Times New Roman" w:hAnsi="Times New Roman" w:cs="Times New Roman"/>
          <w:sz w:val="24"/>
          <w:szCs w:val="24"/>
        </w:rPr>
      </w:pPr>
    </w:p>
    <w:p w14:paraId="39C24539" w14:textId="77777777" w:rsidR="002815BC" w:rsidRPr="00AC6188" w:rsidRDefault="002815BC" w:rsidP="00CA12A1">
      <w:pPr>
        <w:jc w:val="center"/>
        <w:rPr>
          <w:rFonts w:ascii="Times New Roman" w:hAnsi="Times New Roman" w:cs="Times New Roman"/>
          <w:b/>
          <w:bCs/>
          <w:sz w:val="28"/>
          <w:szCs w:val="28"/>
        </w:rPr>
      </w:pPr>
      <w:r w:rsidRPr="00AC6188">
        <w:rPr>
          <w:rFonts w:ascii="Times New Roman" w:hAnsi="Times New Roman" w:cs="Times New Roman"/>
          <w:b/>
          <w:bCs/>
          <w:sz w:val="28"/>
          <w:szCs w:val="28"/>
        </w:rPr>
        <w:t>Discussion</w:t>
      </w:r>
    </w:p>
    <w:p w14:paraId="6CE66F40" w14:textId="196B176F" w:rsidR="00AB41D7" w:rsidRPr="00AC6188" w:rsidRDefault="005506F6" w:rsidP="00AB41D7">
      <w:pPr>
        <w:jc w:val="both"/>
        <w:rPr>
          <w:rFonts w:ascii="Times New Roman" w:hAnsi="Times New Roman" w:cs="Times New Roman"/>
          <w:sz w:val="24"/>
          <w:szCs w:val="24"/>
        </w:rPr>
      </w:pPr>
      <w:r w:rsidRPr="00AC6188">
        <w:rPr>
          <w:rFonts w:ascii="Times New Roman" w:hAnsi="Times New Roman" w:cs="Times New Roman"/>
          <w:sz w:val="24"/>
          <w:szCs w:val="24"/>
        </w:rPr>
        <w:t xml:space="preserve">The </w:t>
      </w:r>
      <w:r w:rsidR="00AB41D7" w:rsidRPr="00AC6188">
        <w:rPr>
          <w:rFonts w:ascii="Times New Roman" w:hAnsi="Times New Roman" w:cs="Times New Roman"/>
          <w:sz w:val="24"/>
          <w:szCs w:val="24"/>
        </w:rPr>
        <w:t xml:space="preserve">overall picture of the empirical results of this study is not one of a strong link between awareness and behaviour; it is not one of an absolute null. </w:t>
      </w:r>
      <w:r w:rsidR="007D2255" w:rsidRPr="00AC6188">
        <w:rPr>
          <w:rFonts w:ascii="Times New Roman" w:hAnsi="Times New Roman" w:cs="Times New Roman"/>
          <w:sz w:val="24"/>
          <w:szCs w:val="24"/>
        </w:rPr>
        <w:t>It is</w:t>
      </w:r>
      <w:r w:rsidR="00AB41D7" w:rsidRPr="00AC6188">
        <w:rPr>
          <w:rFonts w:ascii="Times New Roman" w:hAnsi="Times New Roman" w:cs="Times New Roman"/>
          <w:sz w:val="24"/>
          <w:szCs w:val="24"/>
        </w:rPr>
        <w:t xml:space="preserve"> a snapshot of a certain, small, and, at least in theory, clear pattern: environmental knowledge is a poor predictor of a specifically environment-adjacent behaviour, and a poor indicator of any other tourism behaviour, that is, except for environmental infrastructure that is widely available at tourist sites in Nainital, with the largest single mismatch not being in the provision but in salience. For each of these findings</w:t>
      </w:r>
      <w:r w:rsidR="007D2255" w:rsidRPr="00AC6188">
        <w:rPr>
          <w:rFonts w:ascii="Times New Roman" w:hAnsi="Times New Roman" w:cs="Times New Roman"/>
          <w:sz w:val="24"/>
          <w:szCs w:val="24"/>
        </w:rPr>
        <w:t>,</w:t>
      </w:r>
      <w:r w:rsidR="00AB41D7" w:rsidRPr="00AC6188">
        <w:rPr>
          <w:rFonts w:ascii="Times New Roman" w:hAnsi="Times New Roman" w:cs="Times New Roman"/>
          <w:sz w:val="24"/>
          <w:szCs w:val="24"/>
        </w:rPr>
        <w:t xml:space="preserve"> there is a theoretical claim. The most interesting result of this paper is the specificity of the awareness effect. If the dispositional or “conscientious tourist” model were accurate, one would expect there to be a relationship between environmentally related attitudes and the majority of pro-social tourist </w:t>
      </w:r>
      <w:r w:rsidR="007D2255" w:rsidRPr="00AC6188">
        <w:rPr>
          <w:rFonts w:ascii="Times New Roman" w:hAnsi="Times New Roman" w:cs="Times New Roman"/>
          <w:sz w:val="24"/>
          <w:szCs w:val="24"/>
        </w:rPr>
        <w:t>behaviours, such as</w:t>
      </w:r>
      <w:r w:rsidR="00AB41D7" w:rsidRPr="00AC6188">
        <w:rPr>
          <w:rFonts w:ascii="Times New Roman" w:hAnsi="Times New Roman" w:cs="Times New Roman"/>
          <w:sz w:val="24"/>
          <w:szCs w:val="24"/>
        </w:rPr>
        <w:t xml:space="preserve"> making more purchases of local products, giving the tourist rating a score for the cleanness of the meals eaten, and expressing higher overall satisfaction with the tourist experience. This is not what the data indicate. Knowing about awareness predicts only the awareness target behaviour (dustbin usage)</w:t>
      </w:r>
      <w:r w:rsidR="007D2255" w:rsidRPr="00AC6188">
        <w:rPr>
          <w:rFonts w:ascii="Times New Roman" w:hAnsi="Times New Roman" w:cs="Times New Roman"/>
          <w:sz w:val="24"/>
          <w:szCs w:val="24"/>
        </w:rPr>
        <w:t>,</w:t>
      </w:r>
      <w:r w:rsidR="00AB41D7" w:rsidRPr="00AC6188">
        <w:rPr>
          <w:rFonts w:ascii="Times New Roman" w:hAnsi="Times New Roman" w:cs="Times New Roman"/>
          <w:sz w:val="24"/>
          <w:szCs w:val="24"/>
        </w:rPr>
        <w:t xml:space="preserve"> which </w:t>
      </w:r>
      <w:r w:rsidR="007D2255" w:rsidRPr="00AC6188">
        <w:rPr>
          <w:rFonts w:ascii="Times New Roman" w:hAnsi="Times New Roman" w:cs="Times New Roman"/>
          <w:sz w:val="24"/>
          <w:szCs w:val="24"/>
        </w:rPr>
        <w:t xml:space="preserve">was expected by a Value-Belief-Norm hierarchy after matching </w:t>
      </w:r>
      <w:r w:rsidR="00AB41D7" w:rsidRPr="00AC6188">
        <w:rPr>
          <w:rFonts w:ascii="Times New Roman" w:hAnsi="Times New Roman" w:cs="Times New Roman"/>
          <w:sz w:val="24"/>
          <w:szCs w:val="24"/>
        </w:rPr>
        <w:t xml:space="preserve">beliefs to the target behaviour (Stern, 2000). This is the best argument the study can </w:t>
      </w:r>
      <w:r w:rsidR="00CD6A09" w:rsidRPr="00AC6188">
        <w:rPr>
          <w:rFonts w:ascii="Times New Roman" w:hAnsi="Times New Roman" w:cs="Times New Roman"/>
          <w:sz w:val="24"/>
          <w:szCs w:val="24"/>
        </w:rPr>
        <w:t xml:space="preserve">offer for a reading </w:t>
      </w:r>
      <w:r w:rsidR="00CD6A09" w:rsidRPr="00AC6188">
        <w:rPr>
          <w:rFonts w:ascii="Times New Roman" w:hAnsi="Times New Roman" w:cs="Times New Roman"/>
          <w:sz w:val="24"/>
          <w:szCs w:val="24"/>
        </w:rPr>
        <w:lastRenderedPageBreak/>
        <w:t xml:space="preserve">consistent with the VBN, and this discriminant validity design is not usually applied in tourism behaviour studies, where most constructs in such fields are measured with </w:t>
      </w:r>
      <w:r w:rsidR="00AB41D7" w:rsidRPr="00AC6188">
        <w:rPr>
          <w:rFonts w:ascii="Times New Roman" w:hAnsi="Times New Roman" w:cs="Times New Roman"/>
          <w:sz w:val="24"/>
          <w:szCs w:val="24"/>
        </w:rPr>
        <w:t xml:space="preserve">composite scales. </w:t>
      </w:r>
    </w:p>
    <w:p w14:paraId="5F46D865" w14:textId="07F95A62" w:rsidR="00AB41D7" w:rsidRPr="00AC6188" w:rsidRDefault="00AB41D7" w:rsidP="00AB41D7">
      <w:pPr>
        <w:jc w:val="both"/>
        <w:rPr>
          <w:rFonts w:ascii="Times New Roman" w:hAnsi="Times New Roman" w:cs="Times New Roman"/>
          <w:sz w:val="24"/>
          <w:szCs w:val="24"/>
        </w:rPr>
      </w:pPr>
      <w:r w:rsidRPr="00AC6188">
        <w:rPr>
          <w:rFonts w:ascii="Times New Roman" w:hAnsi="Times New Roman" w:cs="Times New Roman"/>
          <w:sz w:val="24"/>
          <w:szCs w:val="24"/>
        </w:rPr>
        <w:t xml:space="preserve">The primary result is small and insignificant, but there are three considerations. The ceiling effect is one place to begin: 74% of </w:t>
      </w:r>
      <w:r w:rsidR="00CD6A09" w:rsidRPr="00AC6188">
        <w:rPr>
          <w:rFonts w:ascii="Times New Roman" w:hAnsi="Times New Roman" w:cs="Times New Roman"/>
          <w:sz w:val="24"/>
          <w:szCs w:val="24"/>
        </w:rPr>
        <w:t>tourists already use a dustcover when travelling, which reduces the design's potential to reveal variance-explaining effects, and small phi coefficients are</w:t>
      </w:r>
      <w:r w:rsidRPr="00AC6188">
        <w:rPr>
          <w:rFonts w:ascii="Times New Roman" w:hAnsi="Times New Roman" w:cs="Times New Roman"/>
          <w:sz w:val="24"/>
          <w:szCs w:val="24"/>
        </w:rPr>
        <w:t xml:space="preserve"> the result. Second, the phi values observed by Steg and Vlek (2009) in the pro-environmental behaviour literature are generally low</w:t>
      </w:r>
      <w:r w:rsidR="00CD6A09" w:rsidRPr="00AC6188">
        <w:rPr>
          <w:rFonts w:ascii="Times New Roman" w:hAnsi="Times New Roman" w:cs="Times New Roman"/>
          <w:sz w:val="24"/>
          <w:szCs w:val="24"/>
        </w:rPr>
        <w:t>; for example,</w:t>
      </w:r>
      <w:r w:rsidRPr="00AC6188">
        <w:rPr>
          <w:rFonts w:ascii="Times New Roman" w:hAnsi="Times New Roman" w:cs="Times New Roman"/>
          <w:sz w:val="24"/>
          <w:szCs w:val="24"/>
        </w:rPr>
        <w:t xml:space="preserve"> .14 is well </w:t>
      </w:r>
      <w:r w:rsidR="00CD6A09" w:rsidRPr="00AC6188">
        <w:rPr>
          <w:rFonts w:ascii="Times New Roman" w:hAnsi="Times New Roman" w:cs="Times New Roman"/>
          <w:sz w:val="24"/>
          <w:szCs w:val="24"/>
        </w:rPr>
        <w:t>within</w:t>
      </w:r>
      <w:r w:rsidRPr="00AC6188">
        <w:rPr>
          <w:rFonts w:ascii="Times New Roman" w:hAnsi="Times New Roman" w:cs="Times New Roman"/>
          <w:sz w:val="24"/>
          <w:szCs w:val="24"/>
        </w:rPr>
        <w:t xml:space="preserve"> the ordinary range. Third, even when travelling</w:t>
      </w:r>
      <w:r w:rsidR="00CD6A09" w:rsidRPr="00AC6188">
        <w:rPr>
          <w:rFonts w:ascii="Times New Roman" w:hAnsi="Times New Roman" w:cs="Times New Roman"/>
          <w:sz w:val="24"/>
          <w:szCs w:val="24"/>
        </w:rPr>
        <w:t>, tourists are very environmentally conscious, yet Juvan and Dolnicar (2014) show that they often employ cognitive mechanisms that allow them to justify inaction during vacation, specifically including "vacation as exception" framing, deindividuation,</w:t>
      </w:r>
      <w:r w:rsidRPr="00AC6188">
        <w:rPr>
          <w:rFonts w:ascii="Times New Roman" w:hAnsi="Times New Roman" w:cs="Times New Roman"/>
          <w:sz w:val="24"/>
          <w:szCs w:val="24"/>
        </w:rPr>
        <w:t xml:space="preserve"> and moral licensing. </w:t>
      </w:r>
    </w:p>
    <w:p w14:paraId="3BE87521" w14:textId="4B3D6BD4" w:rsidR="00AB41D7" w:rsidRPr="00AC6188" w:rsidRDefault="00AB41D7" w:rsidP="00AB41D7">
      <w:pPr>
        <w:jc w:val="both"/>
        <w:rPr>
          <w:rFonts w:ascii="Times New Roman" w:hAnsi="Times New Roman" w:cs="Times New Roman"/>
          <w:sz w:val="24"/>
          <w:szCs w:val="24"/>
        </w:rPr>
      </w:pPr>
      <w:r w:rsidRPr="00AC6188">
        <w:rPr>
          <w:rFonts w:ascii="Times New Roman" w:hAnsi="Times New Roman" w:cs="Times New Roman"/>
          <w:sz w:val="24"/>
          <w:szCs w:val="24"/>
        </w:rPr>
        <w:t xml:space="preserve">This supply/demand triangulation tips over the "tourist psychology" lens for destination infrastructure designing. What is not clearly understood is why “rules and regulations” were found </w:t>
      </w:r>
      <w:r w:rsidR="00CD6A09" w:rsidRPr="00AC6188">
        <w:rPr>
          <w:rFonts w:ascii="Times New Roman" w:hAnsi="Times New Roman" w:cs="Times New Roman"/>
          <w:sz w:val="24"/>
          <w:szCs w:val="24"/>
        </w:rPr>
        <w:t>at 90% of the sites visited, while only 53% of the tourists noted them, given that</w:t>
      </w:r>
      <w:r w:rsidRPr="00AC6188">
        <w:rPr>
          <w:rFonts w:ascii="Times New Roman" w:hAnsi="Times New Roman" w:cs="Times New Roman"/>
          <w:sz w:val="24"/>
          <w:szCs w:val="24"/>
        </w:rPr>
        <w:t xml:space="preserve"> there is no information-supply deficit. Owned by Ajzen (1991) and further detailed by Steg and Vlek (2009), it can be seen as a salience and PBC (perceived behavioural control) issue. Similarly, in a review of visitor education programmes, Marion and Reid (2007) found that they actually promote on-site information not so much through the number of signs left behind, but through attentiveness. The situation looks similar in Nainital: A large proportion of tourists already indicate the desired behaviour, and salience</w:t>
      </w:r>
      <w:r w:rsidR="00FD794A" w:rsidRPr="00AC6188">
        <w:rPr>
          <w:rFonts w:ascii="Times New Roman" w:hAnsi="Times New Roman" w:cs="Times New Roman"/>
          <w:sz w:val="24"/>
          <w:szCs w:val="24"/>
        </w:rPr>
        <w:t>, i.e. making things more noticeable to visitors to the site,</w:t>
      </w:r>
      <w:r w:rsidRPr="00AC6188">
        <w:rPr>
          <w:rFonts w:ascii="Times New Roman" w:hAnsi="Times New Roman" w:cs="Times New Roman"/>
          <w:sz w:val="24"/>
          <w:szCs w:val="24"/>
        </w:rPr>
        <w:t xml:space="preserve"> is probably the easier of the two margins to deploy, not the installation of more signs. </w:t>
      </w:r>
    </w:p>
    <w:p w14:paraId="5FE2560B" w14:textId="37E49FF5" w:rsidR="00AB41D7" w:rsidRPr="00AC6188" w:rsidRDefault="00CD6A09" w:rsidP="00AB41D7">
      <w:pPr>
        <w:jc w:val="both"/>
        <w:rPr>
          <w:rFonts w:ascii="Times New Roman" w:hAnsi="Times New Roman" w:cs="Times New Roman"/>
          <w:sz w:val="24"/>
          <w:szCs w:val="24"/>
        </w:rPr>
      </w:pPr>
      <w:r w:rsidRPr="00AC6188">
        <w:rPr>
          <w:rFonts w:ascii="Times New Roman" w:hAnsi="Times New Roman" w:cs="Times New Roman"/>
          <w:sz w:val="24"/>
          <w:szCs w:val="24"/>
        </w:rPr>
        <w:t>Four implications come</w:t>
      </w:r>
      <w:r w:rsidR="00AB41D7" w:rsidRPr="00AC6188">
        <w:rPr>
          <w:rFonts w:ascii="Times New Roman" w:hAnsi="Times New Roman" w:cs="Times New Roman"/>
          <w:sz w:val="24"/>
          <w:szCs w:val="24"/>
        </w:rPr>
        <w:t xml:space="preserve"> to the fore for Nainital's touristic and municipal activities. First, the important infrastructure investment is probably not an increase in environmental signage, but </w:t>
      </w:r>
      <w:r w:rsidRPr="00AC6188">
        <w:rPr>
          <w:rFonts w:ascii="Times New Roman" w:hAnsi="Times New Roman" w:cs="Times New Roman"/>
          <w:sz w:val="24"/>
          <w:szCs w:val="24"/>
        </w:rPr>
        <w:t>rather the redesign of existing rules-and-regulations displays for more natural attention points (entry gates, viewpoint plateaus, boat launches), better typographic contrast (larger and more eye-grabbing), and pictorial rather than</w:t>
      </w:r>
      <w:r w:rsidR="00AB41D7" w:rsidRPr="00AC6188">
        <w:rPr>
          <w:rFonts w:ascii="Times New Roman" w:hAnsi="Times New Roman" w:cs="Times New Roman"/>
          <w:sz w:val="24"/>
          <w:szCs w:val="24"/>
        </w:rPr>
        <w:t xml:space="preserve"> text-heavy formats. Second, the use of functional dustbins and segregated dustbins (completely dry and wet) is inappropriate: Only 40% of all sites have functional dustbins</w:t>
      </w:r>
      <w:r w:rsidRPr="00AC6188">
        <w:rPr>
          <w:rFonts w:ascii="Times New Roman" w:hAnsi="Times New Roman" w:cs="Times New Roman"/>
          <w:sz w:val="24"/>
          <w:szCs w:val="24"/>
        </w:rPr>
        <w:t>,</w:t>
      </w:r>
      <w:r w:rsidR="00AB41D7" w:rsidRPr="00AC6188">
        <w:rPr>
          <w:rFonts w:ascii="Times New Roman" w:hAnsi="Times New Roman" w:cs="Times New Roman"/>
          <w:sz w:val="24"/>
          <w:szCs w:val="24"/>
        </w:rPr>
        <w:t xml:space="preserve"> and only 30% of sites have well-segregated dry/wet dustbins. Dustbin condition and segregation </w:t>
      </w:r>
      <w:r w:rsidRPr="00AC6188">
        <w:rPr>
          <w:rFonts w:ascii="Times New Roman" w:hAnsi="Times New Roman" w:cs="Times New Roman"/>
          <w:sz w:val="24"/>
          <w:szCs w:val="24"/>
        </w:rPr>
        <w:t>line up as a high-leverage, low-cost target, as dustbin usage is the main environmental behaviour tourists engage in</w:t>
      </w:r>
      <w:r w:rsidR="00AB41D7" w:rsidRPr="00AC6188">
        <w:rPr>
          <w:rFonts w:ascii="Times New Roman" w:hAnsi="Times New Roman" w:cs="Times New Roman"/>
          <w:sz w:val="24"/>
          <w:szCs w:val="24"/>
        </w:rPr>
        <w:t>. Lastly, emergency contacts appear at just 30% of sites</w:t>
      </w:r>
      <w:r w:rsidRPr="00AC6188">
        <w:rPr>
          <w:rFonts w:ascii="Times New Roman" w:hAnsi="Times New Roman" w:cs="Times New Roman"/>
          <w:sz w:val="24"/>
          <w:szCs w:val="24"/>
        </w:rPr>
        <w:t xml:space="preserve">; therefore, this is one to investigate: whether </w:t>
      </w:r>
      <w:r w:rsidR="00AB41D7" w:rsidRPr="00AC6188">
        <w:rPr>
          <w:rFonts w:ascii="Times New Roman" w:hAnsi="Times New Roman" w:cs="Times New Roman"/>
          <w:sz w:val="24"/>
          <w:szCs w:val="24"/>
        </w:rPr>
        <w:t xml:space="preserve">tourists are inferring this information from other ambient cues, such as the presence of police and signs from other agencies that could be codified. Fourth, the audit-versus-survey approach adopted here would be easily replicated at the scale at which NLRSADA and Uttarakhand Tourism should be working, as part of the ongoing carrying-capacity assessment process. </w:t>
      </w:r>
      <w:r w:rsidRPr="00AC6188">
        <w:rPr>
          <w:rFonts w:ascii="Times New Roman" w:hAnsi="Times New Roman" w:cs="Times New Roman"/>
          <w:sz w:val="24"/>
          <w:szCs w:val="24"/>
        </w:rPr>
        <w:t>Three limitations should temper these interpretations</w:t>
      </w:r>
      <w:r w:rsidR="00AB41D7" w:rsidRPr="00AC6188">
        <w:rPr>
          <w:rFonts w:ascii="Times New Roman" w:hAnsi="Times New Roman" w:cs="Times New Roman"/>
          <w:sz w:val="24"/>
          <w:szCs w:val="24"/>
        </w:rPr>
        <w:t>.</w:t>
      </w:r>
      <w:r w:rsidRPr="00AC6188">
        <w:rPr>
          <w:rFonts w:ascii="Times New Roman" w:hAnsi="Times New Roman" w:cs="Times New Roman"/>
          <w:sz w:val="24"/>
          <w:szCs w:val="24"/>
        </w:rPr>
        <w:t xml:space="preserve"> Three limitations temper</w:t>
      </w:r>
      <w:r w:rsidR="00AB41D7" w:rsidRPr="00AC6188">
        <w:rPr>
          <w:rFonts w:ascii="Times New Roman" w:hAnsi="Times New Roman" w:cs="Times New Roman"/>
          <w:sz w:val="24"/>
          <w:szCs w:val="24"/>
        </w:rPr>
        <w:t xml:space="preserve"> these interpretations. The sample of 173 students used for the core test in the </w:t>
      </w:r>
      <w:r w:rsidRPr="00AC6188">
        <w:rPr>
          <w:rFonts w:ascii="Times New Roman" w:hAnsi="Times New Roman" w:cs="Times New Roman"/>
          <w:sz w:val="24"/>
          <w:szCs w:val="24"/>
        </w:rPr>
        <w:t>listwise-deleted sample is small and has low power;</w:t>
      </w:r>
      <w:r w:rsidR="00AB41D7" w:rsidRPr="00AC6188">
        <w:rPr>
          <w:rFonts w:ascii="Times New Roman" w:hAnsi="Times New Roman" w:cs="Times New Roman"/>
          <w:sz w:val="24"/>
          <w:szCs w:val="24"/>
        </w:rPr>
        <w:t xml:space="preserve"> the results are strengthened or complicated by a larger replication. No record-level information is available to connect tourist comments with individual sites</w:t>
      </w:r>
      <w:r w:rsidRPr="00AC6188">
        <w:rPr>
          <w:rFonts w:ascii="Times New Roman" w:hAnsi="Times New Roman" w:cs="Times New Roman"/>
          <w:sz w:val="24"/>
          <w:szCs w:val="24"/>
        </w:rPr>
        <w:t>, and the ten-site audit does not allow for statistical inference at the site level; rather, it enables justification for an aggregate comparison,</w:t>
      </w:r>
      <w:r w:rsidR="00AB41D7" w:rsidRPr="00AC6188">
        <w:rPr>
          <w:rFonts w:ascii="Times New Roman" w:hAnsi="Times New Roman" w:cs="Times New Roman"/>
          <w:sz w:val="24"/>
          <w:szCs w:val="24"/>
        </w:rPr>
        <w:t xml:space="preserve"> which cannot answer causal questions about site conditions and individual behaviour. We do not know how prevalent this discrepancy is </w:t>
      </w:r>
      <w:r w:rsidRPr="00AC6188">
        <w:rPr>
          <w:rFonts w:ascii="Times New Roman" w:hAnsi="Times New Roman" w:cs="Times New Roman"/>
          <w:sz w:val="24"/>
          <w:szCs w:val="24"/>
        </w:rPr>
        <w:t>for self-reported behaviour, and</w:t>
      </w:r>
      <w:r w:rsidR="00AB41D7" w:rsidRPr="00AC6188">
        <w:rPr>
          <w:rFonts w:ascii="Times New Roman" w:hAnsi="Times New Roman" w:cs="Times New Roman"/>
          <w:sz w:val="24"/>
          <w:szCs w:val="24"/>
        </w:rPr>
        <w:t xml:space="preserve"> in the context of dustbin use, socially desirable behaviour is likely to be over-reported.</w:t>
      </w:r>
    </w:p>
    <w:p w14:paraId="090BC2C9" w14:textId="77777777" w:rsidR="00AB41D7" w:rsidRPr="00AC6188" w:rsidRDefault="00AB41D7" w:rsidP="00F11980">
      <w:pPr>
        <w:jc w:val="center"/>
        <w:rPr>
          <w:rFonts w:ascii="Times New Roman" w:hAnsi="Times New Roman" w:cs="Times New Roman"/>
          <w:sz w:val="24"/>
          <w:szCs w:val="24"/>
        </w:rPr>
      </w:pPr>
    </w:p>
    <w:p w14:paraId="3732B9B0" w14:textId="77777777" w:rsidR="00562DA2" w:rsidRPr="00AC6188" w:rsidRDefault="00562DA2">
      <w:pPr>
        <w:rPr>
          <w:rFonts w:ascii="Times New Roman" w:hAnsi="Times New Roman" w:cs="Times New Roman"/>
          <w:b/>
          <w:bCs/>
          <w:sz w:val="28"/>
          <w:szCs w:val="28"/>
        </w:rPr>
      </w:pPr>
      <w:r w:rsidRPr="00AC6188">
        <w:rPr>
          <w:rFonts w:ascii="Times New Roman" w:hAnsi="Times New Roman" w:cs="Times New Roman"/>
          <w:b/>
          <w:bCs/>
          <w:sz w:val="28"/>
          <w:szCs w:val="28"/>
        </w:rPr>
        <w:lastRenderedPageBreak/>
        <w:br w:type="page"/>
      </w:r>
    </w:p>
    <w:p w14:paraId="233C43E1" w14:textId="51E772FA" w:rsidR="002815BC" w:rsidRPr="00AC6188" w:rsidRDefault="002815BC" w:rsidP="00F11980">
      <w:pPr>
        <w:jc w:val="center"/>
        <w:rPr>
          <w:rFonts w:ascii="Times New Roman" w:hAnsi="Times New Roman" w:cs="Times New Roman"/>
          <w:b/>
          <w:bCs/>
          <w:sz w:val="28"/>
          <w:szCs w:val="28"/>
        </w:rPr>
      </w:pPr>
      <w:r w:rsidRPr="00AC6188">
        <w:rPr>
          <w:rFonts w:ascii="Times New Roman" w:hAnsi="Times New Roman" w:cs="Times New Roman"/>
          <w:b/>
          <w:bCs/>
          <w:sz w:val="28"/>
          <w:szCs w:val="28"/>
        </w:rPr>
        <w:lastRenderedPageBreak/>
        <w:t>Conclusion</w:t>
      </w:r>
    </w:p>
    <w:p w14:paraId="5A04E4AE" w14:textId="33277001" w:rsidR="00AB41D7" w:rsidRPr="00AC6188" w:rsidRDefault="00AB41D7" w:rsidP="00AB41D7">
      <w:pPr>
        <w:jc w:val="both"/>
        <w:rPr>
          <w:rFonts w:ascii="Times New Roman" w:hAnsi="Times New Roman" w:cs="Times New Roman"/>
          <w:sz w:val="24"/>
          <w:szCs w:val="24"/>
        </w:rPr>
      </w:pPr>
      <w:r w:rsidRPr="00AC6188">
        <w:rPr>
          <w:rFonts w:ascii="Times New Roman" w:hAnsi="Times New Roman" w:cs="Times New Roman"/>
          <w:sz w:val="24"/>
          <w:szCs w:val="24"/>
        </w:rPr>
        <w:t xml:space="preserve">This paper aimed to explain the correlation between </w:t>
      </w:r>
      <w:r w:rsidR="008331AF" w:rsidRPr="00AC6188">
        <w:rPr>
          <w:rFonts w:ascii="Times New Roman" w:hAnsi="Times New Roman" w:cs="Times New Roman"/>
          <w:sz w:val="24"/>
          <w:szCs w:val="24"/>
        </w:rPr>
        <w:t xml:space="preserve">respondents' declared environmental awareness and their pro-environmental practices </w:t>
      </w:r>
      <w:r w:rsidR="00CD6A09" w:rsidRPr="00AC6188">
        <w:rPr>
          <w:rFonts w:ascii="Times New Roman" w:hAnsi="Times New Roman" w:cs="Times New Roman"/>
          <w:sz w:val="24"/>
          <w:szCs w:val="24"/>
        </w:rPr>
        <w:t>in</w:t>
      </w:r>
      <w:r w:rsidR="008331AF" w:rsidRPr="00AC6188">
        <w:rPr>
          <w:rFonts w:ascii="Times New Roman" w:hAnsi="Times New Roman" w:cs="Times New Roman"/>
          <w:sz w:val="24"/>
          <w:szCs w:val="24"/>
        </w:rPr>
        <w:t xml:space="preserve"> Nainital city, and to understand the provision of environmental infrastructure </w:t>
      </w:r>
      <w:r w:rsidRPr="00AC6188">
        <w:rPr>
          <w:rFonts w:ascii="Times New Roman" w:hAnsi="Times New Roman" w:cs="Times New Roman"/>
          <w:sz w:val="24"/>
          <w:szCs w:val="24"/>
        </w:rPr>
        <w:t xml:space="preserve">on the ground. The information compiled </w:t>
      </w:r>
      <w:r w:rsidR="00CD6A09" w:rsidRPr="00AC6188">
        <w:rPr>
          <w:rFonts w:ascii="Times New Roman" w:hAnsi="Times New Roman" w:cs="Times New Roman"/>
          <w:sz w:val="24"/>
          <w:szCs w:val="24"/>
        </w:rPr>
        <w:t>from a KoboToolbox survey of 311 tourists and an infrastructure audit of</w:t>
      </w:r>
      <w:r w:rsidR="008331AF" w:rsidRPr="00AC6188">
        <w:rPr>
          <w:rFonts w:ascii="Times New Roman" w:hAnsi="Times New Roman" w:cs="Times New Roman"/>
          <w:sz w:val="24"/>
          <w:szCs w:val="24"/>
        </w:rPr>
        <w:t xml:space="preserve"> 10 sites suggests</w:t>
      </w:r>
      <w:r w:rsidRPr="00AC6188">
        <w:rPr>
          <w:rFonts w:ascii="Times New Roman" w:hAnsi="Times New Roman" w:cs="Times New Roman"/>
          <w:sz w:val="24"/>
          <w:szCs w:val="24"/>
        </w:rPr>
        <w:t xml:space="preserve"> three key findings. First, there is only a weak, marginally significant association between environmental awareness and a behaviour linked to the environment itself (dustbin use)</w:t>
      </w:r>
      <w:r w:rsidR="00CD6A09" w:rsidRPr="00AC6188">
        <w:rPr>
          <w:rFonts w:ascii="Times New Roman" w:hAnsi="Times New Roman" w:cs="Times New Roman"/>
          <w:sz w:val="24"/>
          <w:szCs w:val="24"/>
        </w:rPr>
        <w:t>. However, no such association is observed</w:t>
      </w:r>
      <w:r w:rsidRPr="00AC6188">
        <w:rPr>
          <w:rFonts w:ascii="Times New Roman" w:hAnsi="Times New Roman" w:cs="Times New Roman"/>
          <w:sz w:val="24"/>
          <w:szCs w:val="24"/>
        </w:rPr>
        <w:t xml:space="preserve"> for the other tourism behaviours and general satisfaction. This pattern is theoretical in its specificity</w:t>
      </w:r>
      <w:r w:rsidR="00CD6A09" w:rsidRPr="00AC6188">
        <w:rPr>
          <w:rFonts w:ascii="Times New Roman" w:hAnsi="Times New Roman" w:cs="Times New Roman"/>
          <w:sz w:val="24"/>
          <w:szCs w:val="24"/>
        </w:rPr>
        <w:t xml:space="preserve"> and should be interpreted in </w:t>
      </w:r>
      <w:r w:rsidRPr="00AC6188">
        <w:rPr>
          <w:rFonts w:ascii="Times New Roman" w:hAnsi="Times New Roman" w:cs="Times New Roman"/>
          <w:sz w:val="24"/>
          <w:szCs w:val="24"/>
        </w:rPr>
        <w:t xml:space="preserve">light of the concept of 'Value-Belief-Norm'. Second, the size of the primary effect of awareness on behaviour is small, not significantly different from zero, as is typical of a large literature of small and inconsistent awareness-behaviour associations in the tourism field, and is also limited by a ceiling effect on the outcome variable. Thirdly, the most conspicuous lack of the study is not the differences between tourists' knowledge and </w:t>
      </w:r>
      <w:r w:rsidR="008331AF" w:rsidRPr="00AC6188">
        <w:rPr>
          <w:rFonts w:ascii="Times New Roman" w:hAnsi="Times New Roman" w:cs="Times New Roman"/>
          <w:sz w:val="24"/>
          <w:szCs w:val="24"/>
        </w:rPr>
        <w:t>behaviour</w:t>
      </w:r>
      <w:r w:rsidRPr="00AC6188">
        <w:rPr>
          <w:rFonts w:ascii="Times New Roman" w:hAnsi="Times New Roman" w:cs="Times New Roman"/>
          <w:sz w:val="24"/>
          <w:szCs w:val="24"/>
        </w:rPr>
        <w:t>, but the differences between what is shown at sites and what tourists perceive.</w:t>
      </w:r>
    </w:p>
    <w:p w14:paraId="08C5CE2B" w14:textId="32526C5F" w:rsidR="002815BC" w:rsidRPr="00AC6188" w:rsidRDefault="00AB41D7" w:rsidP="00AB41D7">
      <w:pPr>
        <w:jc w:val="both"/>
        <w:rPr>
          <w:rFonts w:ascii="Times New Roman" w:hAnsi="Times New Roman" w:cs="Times New Roman"/>
          <w:sz w:val="24"/>
          <w:szCs w:val="24"/>
        </w:rPr>
      </w:pPr>
      <w:r w:rsidRPr="00AC6188">
        <w:rPr>
          <w:rFonts w:ascii="Times New Roman" w:hAnsi="Times New Roman" w:cs="Times New Roman"/>
          <w:sz w:val="24"/>
          <w:szCs w:val="24"/>
        </w:rPr>
        <w:t xml:space="preserve">In the context of Nainital's environmental governance, the practical implication is that the additional returns </w:t>
      </w:r>
      <w:r w:rsidR="00CD6A09" w:rsidRPr="00AC6188">
        <w:rPr>
          <w:rFonts w:ascii="Times New Roman" w:hAnsi="Times New Roman" w:cs="Times New Roman"/>
          <w:sz w:val="24"/>
          <w:szCs w:val="24"/>
        </w:rPr>
        <w:t>from installing more environmental signage will be small; the returns will come from the more powerful interventions, namely, salience redesign of existing signage, improved dustbin conditions,</w:t>
      </w:r>
      <w:r w:rsidRPr="00AC6188">
        <w:rPr>
          <w:rFonts w:ascii="Times New Roman" w:hAnsi="Times New Roman" w:cs="Times New Roman"/>
          <w:sz w:val="24"/>
          <w:szCs w:val="24"/>
        </w:rPr>
        <w:t xml:space="preserve"> and segregation</w:t>
      </w:r>
      <w:r w:rsidR="00653E26" w:rsidRPr="00AC6188">
        <w:rPr>
          <w:rFonts w:ascii="Times New Roman" w:hAnsi="Times New Roman" w:cs="Times New Roman"/>
          <w:sz w:val="24"/>
          <w:szCs w:val="24"/>
        </w:rPr>
        <w:t>. T</w:t>
      </w:r>
      <w:r w:rsidRPr="00AC6188">
        <w:rPr>
          <w:rFonts w:ascii="Times New Roman" w:hAnsi="Times New Roman" w:cs="Times New Roman"/>
          <w:sz w:val="24"/>
          <w:szCs w:val="24"/>
        </w:rPr>
        <w:t>he formal incorporation of the audit-survey triangulation approach into the state's ongoing Tourist Carrying Capacity process</w:t>
      </w:r>
      <w:r w:rsidR="00653E26" w:rsidRPr="00AC6188">
        <w:rPr>
          <w:rFonts w:ascii="Times New Roman" w:hAnsi="Times New Roman" w:cs="Times New Roman"/>
          <w:sz w:val="24"/>
          <w:szCs w:val="24"/>
        </w:rPr>
        <w:t xml:space="preserve"> </w:t>
      </w:r>
      <w:r w:rsidRPr="00AC6188">
        <w:rPr>
          <w:rFonts w:ascii="Times New Roman" w:hAnsi="Times New Roman" w:cs="Times New Roman"/>
          <w:sz w:val="24"/>
          <w:szCs w:val="24"/>
        </w:rPr>
        <w:t xml:space="preserve">will likely be larger. The paper offers the first quantitative test </w:t>
      </w:r>
      <w:r w:rsidR="008331AF" w:rsidRPr="00AC6188">
        <w:rPr>
          <w:rFonts w:ascii="Times New Roman" w:hAnsi="Times New Roman" w:cs="Times New Roman"/>
          <w:sz w:val="24"/>
          <w:szCs w:val="24"/>
        </w:rPr>
        <w:t>of the attitude-behaviour gap in the documented research literature in an Indian Himalayan hill resort</w:t>
      </w:r>
      <w:r w:rsidR="00CD6A09" w:rsidRPr="00AC6188">
        <w:rPr>
          <w:rFonts w:ascii="Times New Roman" w:hAnsi="Times New Roman" w:cs="Times New Roman"/>
          <w:sz w:val="24"/>
          <w:szCs w:val="24"/>
        </w:rPr>
        <w:t>. It demonstrates</w:t>
      </w:r>
      <w:r w:rsidRPr="00AC6188">
        <w:rPr>
          <w:rFonts w:ascii="Times New Roman" w:hAnsi="Times New Roman" w:cs="Times New Roman"/>
          <w:sz w:val="24"/>
          <w:szCs w:val="24"/>
        </w:rPr>
        <w:t xml:space="preserve"> the utility of a </w:t>
      </w:r>
      <w:r w:rsidR="00CD6A09" w:rsidRPr="00AC6188">
        <w:rPr>
          <w:rFonts w:ascii="Times New Roman" w:hAnsi="Times New Roman" w:cs="Times New Roman"/>
          <w:sz w:val="24"/>
          <w:szCs w:val="24"/>
        </w:rPr>
        <w:t>discriminant validity</w:t>
      </w:r>
      <w:r w:rsidRPr="00AC6188">
        <w:rPr>
          <w:rFonts w:ascii="Times New Roman" w:hAnsi="Times New Roman" w:cs="Times New Roman"/>
          <w:sz w:val="24"/>
          <w:szCs w:val="24"/>
        </w:rPr>
        <w:t xml:space="preserve"> design in establishing the credibility of otherwise limited awareness-behaviour results. Future research efforts should replicate with a larger sample, </w:t>
      </w:r>
      <w:r w:rsidR="008331AF" w:rsidRPr="00AC6188">
        <w:rPr>
          <w:rFonts w:ascii="Times New Roman" w:hAnsi="Times New Roman" w:cs="Times New Roman"/>
          <w:sz w:val="24"/>
          <w:szCs w:val="24"/>
        </w:rPr>
        <w:t>examine the link between tourist response and record-level (rather than the most salient) members of the diversionary menu, and test the effectiveness of the interventions recommended in this paper in</w:t>
      </w:r>
      <w:r w:rsidRPr="00AC6188">
        <w:rPr>
          <w:rFonts w:ascii="Times New Roman" w:hAnsi="Times New Roman" w:cs="Times New Roman"/>
          <w:sz w:val="24"/>
          <w:szCs w:val="24"/>
        </w:rPr>
        <w:t xml:space="preserve"> altering tourist behaviour in a field setting.</w:t>
      </w:r>
    </w:p>
    <w:p w14:paraId="4D5CC013" w14:textId="77777777" w:rsidR="00671179" w:rsidRPr="00AC6188" w:rsidRDefault="00671179" w:rsidP="00AB41D7">
      <w:pPr>
        <w:jc w:val="both"/>
        <w:rPr>
          <w:rFonts w:ascii="Times New Roman" w:hAnsi="Times New Roman" w:cs="Times New Roman"/>
          <w:sz w:val="24"/>
          <w:szCs w:val="24"/>
        </w:rPr>
      </w:pPr>
    </w:p>
    <w:p w14:paraId="2782EAC4" w14:textId="77777777" w:rsidR="002815BC" w:rsidRPr="00AC6188" w:rsidRDefault="002815BC" w:rsidP="00735342">
      <w:pPr>
        <w:jc w:val="center"/>
        <w:rPr>
          <w:rFonts w:ascii="Times New Roman" w:hAnsi="Times New Roman" w:cs="Times New Roman"/>
          <w:b/>
          <w:bCs/>
          <w:sz w:val="28"/>
          <w:szCs w:val="28"/>
        </w:rPr>
      </w:pPr>
      <w:r w:rsidRPr="00AC6188">
        <w:rPr>
          <w:rFonts w:ascii="Times New Roman" w:hAnsi="Times New Roman" w:cs="Times New Roman"/>
          <w:b/>
          <w:bCs/>
          <w:sz w:val="28"/>
          <w:szCs w:val="28"/>
        </w:rPr>
        <w:t>References</w:t>
      </w:r>
    </w:p>
    <w:p w14:paraId="64751BF2"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Ajzen, I. (1991). The theory of planned behavior. </w:t>
      </w:r>
      <w:r w:rsidRPr="00AC6188">
        <w:rPr>
          <w:rFonts w:ascii="Times New Roman" w:hAnsi="Times New Roman" w:cs="Times New Roman"/>
          <w:i/>
          <w:iCs/>
          <w:sz w:val="24"/>
          <w:szCs w:val="24"/>
        </w:rPr>
        <w:t>Organizational Behavior and Human Decision Processes, 50</w:t>
      </w:r>
      <w:r w:rsidRPr="00AC6188">
        <w:rPr>
          <w:rFonts w:ascii="Times New Roman" w:hAnsi="Times New Roman" w:cs="Times New Roman"/>
          <w:sz w:val="24"/>
          <w:szCs w:val="24"/>
        </w:rPr>
        <w:t xml:space="preserve">(2), 179–211. </w:t>
      </w:r>
      <w:hyperlink r:id="rId12" w:history="1">
        <w:r w:rsidRPr="00AC6188">
          <w:rPr>
            <w:rStyle w:val="Hyperlink"/>
            <w:rFonts w:ascii="Times New Roman" w:hAnsi="Times New Roman" w:cs="Times New Roman"/>
            <w:sz w:val="24"/>
            <w:szCs w:val="24"/>
          </w:rPr>
          <w:t>https://doi.org/10.1016/0749-5978(91)90020-T</w:t>
        </w:r>
      </w:hyperlink>
    </w:p>
    <w:p w14:paraId="7BBDFC56"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Ballantyne, R., Packer, J., &amp; Falk, J. (2011). Visitors' learning for environmental sustainability: Testing short- and long-term impacts of wildlife tourism experiences using structural equation modelling. </w:t>
      </w:r>
      <w:r w:rsidRPr="00AC6188">
        <w:rPr>
          <w:rFonts w:ascii="Times New Roman" w:hAnsi="Times New Roman" w:cs="Times New Roman"/>
          <w:i/>
          <w:iCs/>
          <w:sz w:val="24"/>
          <w:szCs w:val="24"/>
        </w:rPr>
        <w:t>Tourism Management, 32</w:t>
      </w:r>
      <w:r w:rsidRPr="00AC6188">
        <w:rPr>
          <w:rFonts w:ascii="Times New Roman" w:hAnsi="Times New Roman" w:cs="Times New Roman"/>
          <w:sz w:val="24"/>
          <w:szCs w:val="24"/>
        </w:rPr>
        <w:t xml:space="preserve">(6), 1243–1252. </w:t>
      </w:r>
      <w:hyperlink r:id="rId13" w:history="1">
        <w:r w:rsidRPr="00AC6188">
          <w:rPr>
            <w:rStyle w:val="Hyperlink"/>
            <w:rFonts w:ascii="Times New Roman" w:hAnsi="Times New Roman" w:cs="Times New Roman"/>
            <w:sz w:val="24"/>
            <w:szCs w:val="24"/>
          </w:rPr>
          <w:t>https://doi.org/10.1016/j.tourman.2010.11.003</w:t>
        </w:r>
      </w:hyperlink>
    </w:p>
    <w:p w14:paraId="42865EE3"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Blake, J. (1999). Overcoming the "value-action gap" in environmental policy: Tensions between national policy and local experience. </w:t>
      </w:r>
      <w:r w:rsidRPr="00AC6188">
        <w:rPr>
          <w:rFonts w:ascii="Times New Roman" w:hAnsi="Times New Roman" w:cs="Times New Roman"/>
          <w:i/>
          <w:iCs/>
          <w:sz w:val="24"/>
          <w:szCs w:val="24"/>
        </w:rPr>
        <w:t>Local Environment, 4</w:t>
      </w:r>
      <w:r w:rsidRPr="00AC6188">
        <w:rPr>
          <w:rFonts w:ascii="Times New Roman" w:hAnsi="Times New Roman" w:cs="Times New Roman"/>
          <w:sz w:val="24"/>
          <w:szCs w:val="24"/>
        </w:rPr>
        <w:t xml:space="preserve">(3), 257–278. </w:t>
      </w:r>
      <w:hyperlink r:id="rId14" w:history="1">
        <w:r w:rsidRPr="00AC6188">
          <w:rPr>
            <w:rStyle w:val="Hyperlink"/>
            <w:rFonts w:ascii="Times New Roman" w:hAnsi="Times New Roman" w:cs="Times New Roman"/>
            <w:sz w:val="24"/>
            <w:szCs w:val="24"/>
          </w:rPr>
          <w:t>https://doi.org/10.1080/13549839908725599</w:t>
        </w:r>
      </w:hyperlink>
    </w:p>
    <w:p w14:paraId="37F2F6D1"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Carvajal-Trujillo, E., Pérez-Gálvez, J. C., &amp; Orts-Cardador, J. J. (2024). Exploring tourists' pro-environmental behavior: A bibliometric analysis over two decades (1999–2023). </w:t>
      </w:r>
      <w:r w:rsidRPr="00AC6188">
        <w:rPr>
          <w:rFonts w:ascii="Times New Roman" w:hAnsi="Times New Roman" w:cs="Times New Roman"/>
          <w:i/>
          <w:iCs/>
          <w:sz w:val="24"/>
          <w:szCs w:val="24"/>
        </w:rPr>
        <w:t>Journal of Tourism Futures.</w:t>
      </w:r>
      <w:r w:rsidRPr="00AC6188">
        <w:rPr>
          <w:rFonts w:ascii="Times New Roman" w:hAnsi="Times New Roman" w:cs="Times New Roman"/>
          <w:sz w:val="24"/>
          <w:szCs w:val="24"/>
        </w:rPr>
        <w:t xml:space="preserve"> Advance online publication. </w:t>
      </w:r>
      <w:hyperlink r:id="rId15" w:history="1">
        <w:r w:rsidRPr="00AC6188">
          <w:rPr>
            <w:rStyle w:val="Hyperlink"/>
            <w:rFonts w:ascii="Times New Roman" w:hAnsi="Times New Roman" w:cs="Times New Roman"/>
            <w:sz w:val="24"/>
            <w:szCs w:val="24"/>
          </w:rPr>
          <w:t>https://doi.org/10.1108/JTF-02-2024-0033</w:t>
        </w:r>
      </w:hyperlink>
    </w:p>
    <w:p w14:paraId="7EF38D48"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lastRenderedPageBreak/>
        <w:t xml:space="preserve">Cohen, J. (1988). </w:t>
      </w:r>
      <w:r w:rsidRPr="00AC6188">
        <w:rPr>
          <w:rFonts w:ascii="Times New Roman" w:hAnsi="Times New Roman" w:cs="Times New Roman"/>
          <w:i/>
          <w:iCs/>
          <w:sz w:val="24"/>
          <w:szCs w:val="24"/>
        </w:rPr>
        <w:t>Statistical power analysis for the behavioral sciences</w:t>
      </w:r>
      <w:r w:rsidRPr="00AC6188">
        <w:rPr>
          <w:rFonts w:ascii="Times New Roman" w:hAnsi="Times New Roman" w:cs="Times New Roman"/>
          <w:sz w:val="24"/>
          <w:szCs w:val="24"/>
        </w:rPr>
        <w:t xml:space="preserve"> (2nd ed.). Lawrence Erlbaum.</w:t>
      </w:r>
    </w:p>
    <w:p w14:paraId="60800FCC" w14:textId="77777777" w:rsidR="003379D0" w:rsidRPr="00AC6188" w:rsidRDefault="002815BC" w:rsidP="002815BC">
      <w:pPr>
        <w:jc w:val="both"/>
        <w:rPr>
          <w:rFonts w:ascii="Times New Roman" w:hAnsi="Times New Roman" w:cs="Times New Roman"/>
        </w:rPr>
      </w:pPr>
      <w:r w:rsidRPr="00AC6188">
        <w:rPr>
          <w:rFonts w:ascii="Times New Roman" w:hAnsi="Times New Roman" w:cs="Times New Roman"/>
          <w:sz w:val="24"/>
          <w:szCs w:val="24"/>
        </w:rPr>
        <w:t xml:space="preserve">Dolnicar, S., Juvan, E., &amp; Grün, B. (2023). Tourist behaviour change for sustainable consumption: Tourism Agenda 2030 perspective article. </w:t>
      </w:r>
      <w:r w:rsidRPr="00AC6188">
        <w:rPr>
          <w:rFonts w:ascii="Times New Roman" w:hAnsi="Times New Roman" w:cs="Times New Roman"/>
          <w:i/>
          <w:iCs/>
          <w:sz w:val="24"/>
          <w:szCs w:val="24"/>
        </w:rPr>
        <w:t>Tourism Review, 78</w:t>
      </w:r>
      <w:r w:rsidRPr="00AC6188">
        <w:rPr>
          <w:rFonts w:ascii="Times New Roman" w:hAnsi="Times New Roman" w:cs="Times New Roman"/>
          <w:sz w:val="24"/>
          <w:szCs w:val="24"/>
        </w:rPr>
        <w:t xml:space="preserve">(2), 358–367. </w:t>
      </w:r>
      <w:hyperlink r:id="rId16" w:history="1">
        <w:r w:rsidR="003379D0" w:rsidRPr="00AC6188">
          <w:rPr>
            <w:rStyle w:val="Hyperlink"/>
            <w:rFonts w:ascii="Times New Roman" w:hAnsi="Times New Roman" w:cs="Times New Roman"/>
            <w:sz w:val="24"/>
            <w:szCs w:val="24"/>
          </w:rPr>
          <w:t>https://doi.org/10.1108/TR-11-2022-0563</w:t>
        </w:r>
      </w:hyperlink>
    </w:p>
    <w:p w14:paraId="2BEADCB4"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Down To Earth. (2018, September 15). </w:t>
      </w:r>
      <w:r w:rsidRPr="00AC6188">
        <w:rPr>
          <w:rFonts w:ascii="Times New Roman" w:hAnsi="Times New Roman" w:cs="Times New Roman"/>
          <w:i/>
          <w:iCs/>
          <w:sz w:val="24"/>
          <w:szCs w:val="24"/>
        </w:rPr>
        <w:t>Naini lake is depleting, but can we undo the wrongs?</w:t>
      </w:r>
      <w:r w:rsidRPr="00AC6188">
        <w:rPr>
          <w:rFonts w:ascii="Times New Roman" w:hAnsi="Times New Roman" w:cs="Times New Roman"/>
          <w:sz w:val="24"/>
          <w:szCs w:val="24"/>
        </w:rPr>
        <w:t xml:space="preserve"> </w:t>
      </w:r>
      <w:hyperlink r:id="rId17" w:history="1">
        <w:r w:rsidRPr="00AC6188">
          <w:rPr>
            <w:rStyle w:val="Hyperlink"/>
            <w:rFonts w:ascii="Times New Roman" w:hAnsi="Times New Roman" w:cs="Times New Roman"/>
            <w:sz w:val="24"/>
            <w:szCs w:val="24"/>
          </w:rPr>
          <w:t>https://www.downtoearth.org.in/coverage/water/revival-of-naini-lake-needs-prompt-action-but-ownership-not-clearly-defined-57979</w:t>
        </w:r>
      </w:hyperlink>
    </w:p>
    <w:p w14:paraId="6C21A5D4"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Han, H. (2015). Travelers' pro-environmental behavior in a green lodging context: Converging value-belief-norm theory and the theory of planned behavior. </w:t>
      </w:r>
      <w:r w:rsidRPr="00AC6188">
        <w:rPr>
          <w:rFonts w:ascii="Times New Roman" w:hAnsi="Times New Roman" w:cs="Times New Roman"/>
          <w:i/>
          <w:iCs/>
          <w:sz w:val="24"/>
          <w:szCs w:val="24"/>
        </w:rPr>
        <w:t>Tourism Management, 47</w:t>
      </w:r>
      <w:r w:rsidRPr="00AC6188">
        <w:rPr>
          <w:rFonts w:ascii="Times New Roman" w:hAnsi="Times New Roman" w:cs="Times New Roman"/>
          <w:sz w:val="24"/>
          <w:szCs w:val="24"/>
        </w:rPr>
        <w:t xml:space="preserve">, 164–177. </w:t>
      </w:r>
      <w:hyperlink r:id="rId18" w:history="1">
        <w:r w:rsidRPr="00AC6188">
          <w:rPr>
            <w:rStyle w:val="Hyperlink"/>
            <w:rFonts w:ascii="Times New Roman" w:hAnsi="Times New Roman" w:cs="Times New Roman"/>
            <w:sz w:val="24"/>
            <w:szCs w:val="24"/>
          </w:rPr>
          <w:t>https://doi.org/10.1016/j.tourman.2014.09.014</w:t>
        </w:r>
      </w:hyperlink>
    </w:p>
    <w:p w14:paraId="61E397F2"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Jain, Y., Govindasamy, H., Kaur, G., Ajith, N., Ramasamy, K., Robin, R. S., &amp; Ramachandran, P. (2024). Microplastic pollution in high-altitude Nainital lake, Uttarakhand, India. </w:t>
      </w:r>
      <w:r w:rsidRPr="00AC6188">
        <w:rPr>
          <w:rFonts w:ascii="Times New Roman" w:hAnsi="Times New Roman" w:cs="Times New Roman"/>
          <w:i/>
          <w:iCs/>
          <w:sz w:val="24"/>
          <w:szCs w:val="24"/>
        </w:rPr>
        <w:t>Environmental Pollution, 346</w:t>
      </w:r>
      <w:r w:rsidRPr="00AC6188">
        <w:rPr>
          <w:rFonts w:ascii="Times New Roman" w:hAnsi="Times New Roman" w:cs="Times New Roman"/>
          <w:sz w:val="24"/>
          <w:szCs w:val="24"/>
        </w:rPr>
        <w:t xml:space="preserve">, 123598. </w:t>
      </w:r>
      <w:hyperlink r:id="rId19" w:history="1">
        <w:r w:rsidRPr="00AC6188">
          <w:rPr>
            <w:rStyle w:val="Hyperlink"/>
            <w:rFonts w:ascii="Times New Roman" w:hAnsi="Times New Roman" w:cs="Times New Roman"/>
            <w:sz w:val="24"/>
            <w:szCs w:val="24"/>
          </w:rPr>
          <w:t>https://doi.org/10.1016/j.envpol.2024.123598</w:t>
        </w:r>
      </w:hyperlink>
    </w:p>
    <w:p w14:paraId="73490856"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Juvan, E., &amp; Dolnicar, S. (2014). The attitude–behaviour gap in sustainable tourism. </w:t>
      </w:r>
      <w:r w:rsidRPr="00AC6188">
        <w:rPr>
          <w:rFonts w:ascii="Times New Roman" w:hAnsi="Times New Roman" w:cs="Times New Roman"/>
          <w:i/>
          <w:iCs/>
          <w:sz w:val="24"/>
          <w:szCs w:val="24"/>
        </w:rPr>
        <w:t>Annals of Tourism Research, 48</w:t>
      </w:r>
      <w:r w:rsidRPr="00AC6188">
        <w:rPr>
          <w:rFonts w:ascii="Times New Roman" w:hAnsi="Times New Roman" w:cs="Times New Roman"/>
          <w:sz w:val="24"/>
          <w:szCs w:val="24"/>
        </w:rPr>
        <w:t xml:space="preserve">, 76–95. </w:t>
      </w:r>
      <w:hyperlink r:id="rId20" w:history="1">
        <w:r w:rsidRPr="00AC6188">
          <w:rPr>
            <w:rStyle w:val="Hyperlink"/>
            <w:rFonts w:ascii="Times New Roman" w:hAnsi="Times New Roman" w:cs="Times New Roman"/>
            <w:sz w:val="24"/>
            <w:szCs w:val="24"/>
          </w:rPr>
          <w:t>https://doi.org/10.1016/j.annals.2014.05.012</w:t>
        </w:r>
      </w:hyperlink>
    </w:p>
    <w:p w14:paraId="53D1BAE2"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Kollmuss, A., &amp; Agyeman, J. (2002). Mind the gap: Why do people act environmentally and what are the barriers to pro-environmental behavior? </w:t>
      </w:r>
      <w:r w:rsidRPr="00AC6188">
        <w:rPr>
          <w:rFonts w:ascii="Times New Roman" w:hAnsi="Times New Roman" w:cs="Times New Roman"/>
          <w:i/>
          <w:iCs/>
          <w:sz w:val="24"/>
          <w:szCs w:val="24"/>
        </w:rPr>
        <w:t>Environmental Education Research, 8</w:t>
      </w:r>
      <w:r w:rsidRPr="00AC6188">
        <w:rPr>
          <w:rFonts w:ascii="Times New Roman" w:hAnsi="Times New Roman" w:cs="Times New Roman"/>
          <w:sz w:val="24"/>
          <w:szCs w:val="24"/>
        </w:rPr>
        <w:t xml:space="preserve">(3), 239–260. </w:t>
      </w:r>
      <w:hyperlink r:id="rId21" w:history="1">
        <w:r w:rsidRPr="00AC6188">
          <w:rPr>
            <w:rStyle w:val="Hyperlink"/>
            <w:rFonts w:ascii="Times New Roman" w:hAnsi="Times New Roman" w:cs="Times New Roman"/>
            <w:sz w:val="24"/>
            <w:szCs w:val="24"/>
          </w:rPr>
          <w:t>https://doi.org/10.1080/13504620220145401</w:t>
        </w:r>
      </w:hyperlink>
    </w:p>
    <w:p w14:paraId="2FFB62D1" w14:textId="77777777" w:rsidR="002815BC" w:rsidRPr="00AC6188" w:rsidRDefault="002815BC" w:rsidP="002815BC">
      <w:pPr>
        <w:jc w:val="both"/>
        <w:rPr>
          <w:rFonts w:ascii="Times New Roman" w:hAnsi="Times New Roman" w:cs="Times New Roman"/>
          <w:sz w:val="24"/>
          <w:szCs w:val="24"/>
          <w:lang w:val="de-DE"/>
        </w:rPr>
      </w:pPr>
      <w:r w:rsidRPr="00AC6188">
        <w:rPr>
          <w:rFonts w:ascii="Times New Roman" w:hAnsi="Times New Roman" w:cs="Times New Roman"/>
          <w:sz w:val="24"/>
          <w:szCs w:val="24"/>
        </w:rPr>
        <w:t xml:space="preserve">Kuniyal, J. C. (2005). Solid waste management in the Indian Himalayan tourists' treks: A case study in and around the Valley of Flowers and Hemkund Sahib. </w:t>
      </w:r>
      <w:r w:rsidRPr="00AC6188">
        <w:rPr>
          <w:rFonts w:ascii="Times New Roman" w:hAnsi="Times New Roman" w:cs="Times New Roman"/>
          <w:i/>
          <w:iCs/>
          <w:sz w:val="24"/>
          <w:szCs w:val="24"/>
          <w:lang w:val="de-DE"/>
        </w:rPr>
        <w:t>Waste Management, 25</w:t>
      </w:r>
      <w:r w:rsidRPr="00AC6188">
        <w:rPr>
          <w:rFonts w:ascii="Times New Roman" w:hAnsi="Times New Roman" w:cs="Times New Roman"/>
          <w:sz w:val="24"/>
          <w:szCs w:val="24"/>
          <w:lang w:val="de-DE"/>
        </w:rPr>
        <w:t xml:space="preserve">(10), 1029–1039. </w:t>
      </w:r>
      <w:hyperlink r:id="rId22" w:history="1">
        <w:r w:rsidRPr="00AC6188">
          <w:rPr>
            <w:rStyle w:val="Hyperlink"/>
            <w:rFonts w:ascii="Times New Roman" w:hAnsi="Times New Roman" w:cs="Times New Roman"/>
            <w:sz w:val="24"/>
            <w:szCs w:val="24"/>
            <w:lang w:val="de-DE"/>
          </w:rPr>
          <w:t>https://doi.org/10.1016/S0956-053X(03)00027-8</w:t>
        </w:r>
      </w:hyperlink>
    </w:p>
    <w:p w14:paraId="5A0AC949"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lang w:val="de-DE"/>
        </w:rPr>
        <w:t xml:space="preserve">Kuniyal, J. C., Kanwar, N., Bhoj, A. S., Rautela, K. S., &amp; Joshi, R. (2025). </w:t>
      </w:r>
      <w:r w:rsidRPr="00AC6188">
        <w:rPr>
          <w:rFonts w:ascii="Times New Roman" w:hAnsi="Times New Roman" w:cs="Times New Roman"/>
          <w:sz w:val="24"/>
          <w:szCs w:val="24"/>
        </w:rPr>
        <w:t xml:space="preserve">Carrying capacity and strategic planning for sustainable tourism practices in the Char Dham from the Western Himalaya, India. </w:t>
      </w:r>
      <w:r w:rsidRPr="00AC6188">
        <w:rPr>
          <w:rFonts w:ascii="Times New Roman" w:hAnsi="Times New Roman" w:cs="Times New Roman"/>
          <w:i/>
          <w:iCs/>
          <w:sz w:val="24"/>
          <w:szCs w:val="24"/>
        </w:rPr>
        <w:t>Scientific Reports, 15</w:t>
      </w:r>
      <w:r w:rsidRPr="00AC6188">
        <w:rPr>
          <w:rFonts w:ascii="Times New Roman" w:hAnsi="Times New Roman" w:cs="Times New Roman"/>
          <w:sz w:val="24"/>
          <w:szCs w:val="24"/>
        </w:rPr>
        <w:t xml:space="preserve">, 33478. </w:t>
      </w:r>
      <w:hyperlink r:id="rId23" w:history="1">
        <w:r w:rsidRPr="00AC6188">
          <w:rPr>
            <w:rStyle w:val="Hyperlink"/>
            <w:rFonts w:ascii="Times New Roman" w:hAnsi="Times New Roman" w:cs="Times New Roman"/>
            <w:sz w:val="24"/>
            <w:szCs w:val="24"/>
          </w:rPr>
          <w:t>https://doi.org/10.1038/s41598-025-20166-8</w:t>
        </w:r>
      </w:hyperlink>
    </w:p>
    <w:p w14:paraId="6AD8DBCB"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Li, C.-H., Wang, S., Zhao, X., &amp; Xu, F. (2024). Sustainable tourist behavior: A systematic literature review and research agenda. </w:t>
      </w:r>
      <w:r w:rsidRPr="00AC6188">
        <w:rPr>
          <w:rFonts w:ascii="Times New Roman" w:hAnsi="Times New Roman" w:cs="Times New Roman"/>
          <w:i/>
          <w:iCs/>
          <w:sz w:val="24"/>
          <w:szCs w:val="24"/>
        </w:rPr>
        <w:t>Sustainable Development, 32</w:t>
      </w:r>
      <w:r w:rsidRPr="00AC6188">
        <w:rPr>
          <w:rFonts w:ascii="Times New Roman" w:hAnsi="Times New Roman" w:cs="Times New Roman"/>
          <w:sz w:val="24"/>
          <w:szCs w:val="24"/>
        </w:rPr>
        <w:t xml:space="preserve">(4), 3320–3341. </w:t>
      </w:r>
      <w:hyperlink r:id="rId24" w:history="1">
        <w:r w:rsidRPr="00AC6188">
          <w:rPr>
            <w:rStyle w:val="Hyperlink"/>
            <w:rFonts w:ascii="Times New Roman" w:hAnsi="Times New Roman" w:cs="Times New Roman"/>
            <w:sz w:val="24"/>
            <w:szCs w:val="24"/>
          </w:rPr>
          <w:t>https://doi.org/10.1002/sd.2859</w:t>
        </w:r>
      </w:hyperlink>
    </w:p>
    <w:p w14:paraId="1C74F8A1"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Marion, J. L., &amp; Reid, S. E. (2007). Minimising visitor impacts to protected areas: The efficacy of low impact education programmes. </w:t>
      </w:r>
      <w:r w:rsidRPr="00AC6188">
        <w:rPr>
          <w:rFonts w:ascii="Times New Roman" w:hAnsi="Times New Roman" w:cs="Times New Roman"/>
          <w:i/>
          <w:iCs/>
          <w:sz w:val="24"/>
          <w:szCs w:val="24"/>
        </w:rPr>
        <w:t>Journal of Sustainable Tourism, 15</w:t>
      </w:r>
      <w:r w:rsidRPr="00AC6188">
        <w:rPr>
          <w:rFonts w:ascii="Times New Roman" w:hAnsi="Times New Roman" w:cs="Times New Roman"/>
          <w:sz w:val="24"/>
          <w:szCs w:val="24"/>
        </w:rPr>
        <w:t xml:space="preserve">(1), 5–27. </w:t>
      </w:r>
      <w:hyperlink r:id="rId25" w:history="1">
        <w:r w:rsidRPr="00AC6188">
          <w:rPr>
            <w:rStyle w:val="Hyperlink"/>
            <w:rFonts w:ascii="Times New Roman" w:hAnsi="Times New Roman" w:cs="Times New Roman"/>
            <w:sz w:val="24"/>
            <w:szCs w:val="24"/>
          </w:rPr>
          <w:t>https://doi.org/10.2167/jost593.0</w:t>
        </w:r>
      </w:hyperlink>
    </w:p>
    <w:p w14:paraId="4E72F1F5"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National Green Tribunal. (2024, September). </w:t>
      </w:r>
      <w:r w:rsidRPr="00AC6188">
        <w:rPr>
          <w:rFonts w:ascii="Times New Roman" w:hAnsi="Times New Roman" w:cs="Times New Roman"/>
          <w:i/>
          <w:iCs/>
          <w:sz w:val="24"/>
          <w:szCs w:val="24"/>
        </w:rPr>
        <w:t>Original application on Nainital carrying capacity and environmental sensitivity classification.</w:t>
      </w:r>
      <w:r w:rsidRPr="00AC6188">
        <w:rPr>
          <w:rFonts w:ascii="Times New Roman" w:hAnsi="Times New Roman" w:cs="Times New Roman"/>
          <w:sz w:val="24"/>
          <w:szCs w:val="24"/>
        </w:rPr>
        <w:t xml:space="preserve"> Government of India.</w:t>
      </w:r>
    </w:p>
    <w:p w14:paraId="2AB92A0F"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Sharma, R., Rani, P., &amp; Kaushik, P. (2022). Investigating the role of tourists and impact of knowledge, behaviour, and attitude towards plastic waste generation. </w:t>
      </w:r>
      <w:r w:rsidRPr="00AC6188">
        <w:rPr>
          <w:rFonts w:ascii="Times New Roman" w:hAnsi="Times New Roman" w:cs="Times New Roman"/>
          <w:i/>
          <w:iCs/>
          <w:sz w:val="24"/>
          <w:szCs w:val="24"/>
        </w:rPr>
        <w:t>Circular Economy and Sustainability, 3</w:t>
      </w:r>
      <w:r w:rsidRPr="00AC6188">
        <w:rPr>
          <w:rFonts w:ascii="Times New Roman" w:hAnsi="Times New Roman" w:cs="Times New Roman"/>
          <w:sz w:val="24"/>
          <w:szCs w:val="24"/>
        </w:rPr>
        <w:t xml:space="preserve">, 1–19. </w:t>
      </w:r>
      <w:hyperlink r:id="rId26" w:history="1">
        <w:r w:rsidRPr="00AC6188">
          <w:rPr>
            <w:rStyle w:val="Hyperlink"/>
            <w:rFonts w:ascii="Times New Roman" w:hAnsi="Times New Roman" w:cs="Times New Roman"/>
            <w:sz w:val="24"/>
            <w:szCs w:val="24"/>
          </w:rPr>
          <w:t>https://doi.org/10.1007/s43615-022-00216-3</w:t>
        </w:r>
      </w:hyperlink>
    </w:p>
    <w:p w14:paraId="1C8F4410"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Sharma, V. (2014). Water quality assessment of the central Himalayan lake, Nainital. </w:t>
      </w:r>
      <w:r w:rsidRPr="00AC6188">
        <w:rPr>
          <w:rFonts w:ascii="Times New Roman" w:hAnsi="Times New Roman" w:cs="Times New Roman"/>
          <w:i/>
          <w:iCs/>
          <w:sz w:val="24"/>
          <w:szCs w:val="24"/>
        </w:rPr>
        <w:t>Journal of Chemistry, 2014</w:t>
      </w:r>
      <w:r w:rsidRPr="00AC6188">
        <w:rPr>
          <w:rFonts w:ascii="Times New Roman" w:hAnsi="Times New Roman" w:cs="Times New Roman"/>
          <w:sz w:val="24"/>
          <w:szCs w:val="24"/>
        </w:rPr>
        <w:t xml:space="preserve">, Article 473074. </w:t>
      </w:r>
      <w:hyperlink r:id="rId27" w:history="1">
        <w:r w:rsidRPr="00AC6188">
          <w:rPr>
            <w:rStyle w:val="Hyperlink"/>
            <w:rFonts w:ascii="Times New Roman" w:hAnsi="Times New Roman" w:cs="Times New Roman"/>
            <w:sz w:val="24"/>
            <w:szCs w:val="24"/>
          </w:rPr>
          <w:t>https://doi.org/10.1155/2014/473074</w:t>
        </w:r>
      </w:hyperlink>
    </w:p>
    <w:p w14:paraId="3F32DFA5"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lastRenderedPageBreak/>
        <w:t xml:space="preserve">Steg, L., &amp; Vlek, C. (2009). Encouraging pro-environmental behaviour: An integrative review and research agenda. </w:t>
      </w:r>
      <w:r w:rsidRPr="00AC6188">
        <w:rPr>
          <w:rFonts w:ascii="Times New Roman" w:hAnsi="Times New Roman" w:cs="Times New Roman"/>
          <w:i/>
          <w:iCs/>
          <w:sz w:val="24"/>
          <w:szCs w:val="24"/>
        </w:rPr>
        <w:t>Journal of Environmental Psychology, 29</w:t>
      </w:r>
      <w:r w:rsidRPr="00AC6188">
        <w:rPr>
          <w:rFonts w:ascii="Times New Roman" w:hAnsi="Times New Roman" w:cs="Times New Roman"/>
          <w:sz w:val="24"/>
          <w:szCs w:val="24"/>
        </w:rPr>
        <w:t xml:space="preserve">(3), 309–317. </w:t>
      </w:r>
      <w:hyperlink r:id="rId28" w:history="1">
        <w:r w:rsidRPr="00AC6188">
          <w:rPr>
            <w:rStyle w:val="Hyperlink"/>
            <w:rFonts w:ascii="Times New Roman" w:hAnsi="Times New Roman" w:cs="Times New Roman"/>
            <w:sz w:val="24"/>
            <w:szCs w:val="24"/>
          </w:rPr>
          <w:t>https://doi.org/10.1016/j.jenvp.2008.10.004</w:t>
        </w:r>
      </w:hyperlink>
    </w:p>
    <w:p w14:paraId="1DBAA1DF"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Stern, P. C. (2000). Toward a coherent theory of environmentally significant behavior. </w:t>
      </w:r>
      <w:r w:rsidRPr="00AC6188">
        <w:rPr>
          <w:rFonts w:ascii="Times New Roman" w:hAnsi="Times New Roman" w:cs="Times New Roman"/>
          <w:i/>
          <w:iCs/>
          <w:sz w:val="24"/>
          <w:szCs w:val="24"/>
        </w:rPr>
        <w:t>Journal of Social Issues, 56</w:t>
      </w:r>
      <w:r w:rsidRPr="00AC6188">
        <w:rPr>
          <w:rFonts w:ascii="Times New Roman" w:hAnsi="Times New Roman" w:cs="Times New Roman"/>
          <w:sz w:val="24"/>
          <w:szCs w:val="24"/>
        </w:rPr>
        <w:t xml:space="preserve">(3), 407–424. </w:t>
      </w:r>
      <w:hyperlink r:id="rId29" w:history="1">
        <w:r w:rsidRPr="00AC6188">
          <w:rPr>
            <w:rStyle w:val="Hyperlink"/>
            <w:rFonts w:ascii="Times New Roman" w:hAnsi="Times New Roman" w:cs="Times New Roman"/>
            <w:sz w:val="24"/>
            <w:szCs w:val="24"/>
          </w:rPr>
          <w:t>https://doi.org/10.1111/0022-4537.00175</w:t>
        </w:r>
      </w:hyperlink>
    </w:p>
    <w:p w14:paraId="1BE0B531" w14:textId="77777777" w:rsidR="002815BC" w:rsidRPr="00AC6188" w:rsidRDefault="002815BC" w:rsidP="002815BC">
      <w:pPr>
        <w:jc w:val="both"/>
        <w:rPr>
          <w:rFonts w:ascii="Times New Roman" w:hAnsi="Times New Roman" w:cs="Times New Roman"/>
          <w:sz w:val="24"/>
          <w:szCs w:val="24"/>
        </w:rPr>
      </w:pPr>
      <w:r w:rsidRPr="00AC6188">
        <w:rPr>
          <w:rFonts w:ascii="Times New Roman" w:hAnsi="Times New Roman" w:cs="Times New Roman"/>
          <w:sz w:val="24"/>
          <w:szCs w:val="24"/>
        </w:rPr>
        <w:t xml:space="preserve">World Tourism Organization &amp; United Nations Development Programme. (2017). </w:t>
      </w:r>
      <w:r w:rsidRPr="00AC6188">
        <w:rPr>
          <w:rFonts w:ascii="Times New Roman" w:hAnsi="Times New Roman" w:cs="Times New Roman"/>
          <w:i/>
          <w:iCs/>
          <w:sz w:val="24"/>
          <w:szCs w:val="24"/>
        </w:rPr>
        <w:t>Tourism and the Sustainable Development Goals — Journey to 2030.</w:t>
      </w:r>
      <w:r w:rsidRPr="00AC6188">
        <w:rPr>
          <w:rFonts w:ascii="Times New Roman" w:hAnsi="Times New Roman" w:cs="Times New Roman"/>
          <w:sz w:val="24"/>
          <w:szCs w:val="24"/>
        </w:rPr>
        <w:t xml:space="preserve"> UNWTO. </w:t>
      </w:r>
      <w:hyperlink r:id="rId30" w:history="1">
        <w:r w:rsidRPr="00AC6188">
          <w:rPr>
            <w:rStyle w:val="Hyperlink"/>
            <w:rFonts w:ascii="Times New Roman" w:hAnsi="Times New Roman" w:cs="Times New Roman"/>
            <w:sz w:val="24"/>
            <w:szCs w:val="24"/>
          </w:rPr>
          <w:t>https://doi.org/10.18111/9789284419401</w:t>
        </w:r>
      </w:hyperlink>
    </w:p>
    <w:p w14:paraId="1693CFBA" w14:textId="77777777" w:rsidR="00DE346A" w:rsidRPr="00AC6188" w:rsidRDefault="00DE346A" w:rsidP="002815BC">
      <w:pPr>
        <w:jc w:val="both"/>
        <w:rPr>
          <w:rFonts w:ascii="Times New Roman" w:hAnsi="Times New Roman" w:cs="Times New Roman"/>
          <w:sz w:val="24"/>
          <w:szCs w:val="24"/>
        </w:rPr>
      </w:pPr>
      <w:r w:rsidRPr="00AC6188">
        <w:rPr>
          <w:rFonts w:ascii="Times New Roman" w:hAnsi="Times New Roman" w:cs="Times New Roman"/>
          <w:sz w:val="24"/>
          <w:szCs w:val="24"/>
        </w:rPr>
        <w:br/>
      </w:r>
    </w:p>
    <w:sectPr w:rsidR="00DE346A" w:rsidRPr="00AC6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6A"/>
    <w:rsid w:val="00024C79"/>
    <w:rsid w:val="000455F0"/>
    <w:rsid w:val="00050996"/>
    <w:rsid w:val="000653BC"/>
    <w:rsid w:val="00074BD8"/>
    <w:rsid w:val="00080EDD"/>
    <w:rsid w:val="000876C9"/>
    <w:rsid w:val="000B0A5B"/>
    <w:rsid w:val="00124320"/>
    <w:rsid w:val="0015589F"/>
    <w:rsid w:val="00157083"/>
    <w:rsid w:val="00186DC4"/>
    <w:rsid w:val="001B0D7F"/>
    <w:rsid w:val="001B3E4D"/>
    <w:rsid w:val="001E73F7"/>
    <w:rsid w:val="001F1EDC"/>
    <w:rsid w:val="00260E4C"/>
    <w:rsid w:val="002815BC"/>
    <w:rsid w:val="002C0CE2"/>
    <w:rsid w:val="00315565"/>
    <w:rsid w:val="003244A1"/>
    <w:rsid w:val="003379D0"/>
    <w:rsid w:val="00343513"/>
    <w:rsid w:val="00345DBB"/>
    <w:rsid w:val="00371909"/>
    <w:rsid w:val="003C5769"/>
    <w:rsid w:val="003D5972"/>
    <w:rsid w:val="003F2E95"/>
    <w:rsid w:val="00440901"/>
    <w:rsid w:val="00472A2B"/>
    <w:rsid w:val="004D6CE5"/>
    <w:rsid w:val="004E2C83"/>
    <w:rsid w:val="005358CE"/>
    <w:rsid w:val="005506F6"/>
    <w:rsid w:val="00562DA2"/>
    <w:rsid w:val="00590689"/>
    <w:rsid w:val="005C43B2"/>
    <w:rsid w:val="005E1A7A"/>
    <w:rsid w:val="006125F0"/>
    <w:rsid w:val="00653E26"/>
    <w:rsid w:val="0066226C"/>
    <w:rsid w:val="00671179"/>
    <w:rsid w:val="006C7AB9"/>
    <w:rsid w:val="00735342"/>
    <w:rsid w:val="007A1B54"/>
    <w:rsid w:val="007D2255"/>
    <w:rsid w:val="007F5585"/>
    <w:rsid w:val="008331AF"/>
    <w:rsid w:val="00881F98"/>
    <w:rsid w:val="0088570A"/>
    <w:rsid w:val="008D1B9A"/>
    <w:rsid w:val="009077F1"/>
    <w:rsid w:val="00913962"/>
    <w:rsid w:val="009332E2"/>
    <w:rsid w:val="00936AE1"/>
    <w:rsid w:val="00940850"/>
    <w:rsid w:val="00952679"/>
    <w:rsid w:val="009656D2"/>
    <w:rsid w:val="00993DAA"/>
    <w:rsid w:val="009A1994"/>
    <w:rsid w:val="009B685D"/>
    <w:rsid w:val="009E0D8F"/>
    <w:rsid w:val="00A048B2"/>
    <w:rsid w:val="00A26D3A"/>
    <w:rsid w:val="00AB3B44"/>
    <w:rsid w:val="00AB41D7"/>
    <w:rsid w:val="00AC6188"/>
    <w:rsid w:val="00B11AF4"/>
    <w:rsid w:val="00B21158"/>
    <w:rsid w:val="00B522BF"/>
    <w:rsid w:val="00B53C92"/>
    <w:rsid w:val="00B54134"/>
    <w:rsid w:val="00B61860"/>
    <w:rsid w:val="00B64729"/>
    <w:rsid w:val="00B67D3B"/>
    <w:rsid w:val="00BB2634"/>
    <w:rsid w:val="00BB38CA"/>
    <w:rsid w:val="00BB4866"/>
    <w:rsid w:val="00BC2762"/>
    <w:rsid w:val="00BE0A94"/>
    <w:rsid w:val="00C06AE6"/>
    <w:rsid w:val="00C12926"/>
    <w:rsid w:val="00C33F4D"/>
    <w:rsid w:val="00C376BB"/>
    <w:rsid w:val="00C56C85"/>
    <w:rsid w:val="00C75903"/>
    <w:rsid w:val="00C97017"/>
    <w:rsid w:val="00CA12A1"/>
    <w:rsid w:val="00CC4905"/>
    <w:rsid w:val="00CD6A09"/>
    <w:rsid w:val="00CF1837"/>
    <w:rsid w:val="00CF26CD"/>
    <w:rsid w:val="00CF3D2A"/>
    <w:rsid w:val="00D221C1"/>
    <w:rsid w:val="00D64C05"/>
    <w:rsid w:val="00D65651"/>
    <w:rsid w:val="00D67A31"/>
    <w:rsid w:val="00D67C61"/>
    <w:rsid w:val="00D715A0"/>
    <w:rsid w:val="00D90112"/>
    <w:rsid w:val="00DB5EEE"/>
    <w:rsid w:val="00DD3213"/>
    <w:rsid w:val="00DD5E2F"/>
    <w:rsid w:val="00DE346A"/>
    <w:rsid w:val="00DE5BB5"/>
    <w:rsid w:val="00DE702D"/>
    <w:rsid w:val="00DF19D0"/>
    <w:rsid w:val="00E622A8"/>
    <w:rsid w:val="00E70759"/>
    <w:rsid w:val="00E94AF4"/>
    <w:rsid w:val="00ED46F4"/>
    <w:rsid w:val="00F11980"/>
    <w:rsid w:val="00F27489"/>
    <w:rsid w:val="00F36D26"/>
    <w:rsid w:val="00F42B11"/>
    <w:rsid w:val="00F51370"/>
    <w:rsid w:val="00FA27B9"/>
    <w:rsid w:val="00FA334C"/>
    <w:rsid w:val="00FB1A6D"/>
    <w:rsid w:val="00FB58E7"/>
    <w:rsid w:val="00FD7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38ED"/>
  <w15:chartTrackingRefBased/>
  <w15:docId w15:val="{E71734F2-EC14-4393-A308-B5950A44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4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4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4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4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4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4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4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4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4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4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46A"/>
    <w:rPr>
      <w:rFonts w:eastAsiaTheme="majorEastAsia" w:cstheme="majorBidi"/>
      <w:color w:val="272727" w:themeColor="text1" w:themeTint="D8"/>
    </w:rPr>
  </w:style>
  <w:style w:type="paragraph" w:styleId="Title">
    <w:name w:val="Title"/>
    <w:basedOn w:val="Normal"/>
    <w:next w:val="Normal"/>
    <w:link w:val="TitleChar"/>
    <w:uiPriority w:val="10"/>
    <w:qFormat/>
    <w:rsid w:val="00DE3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46A"/>
    <w:pPr>
      <w:spacing w:before="160"/>
      <w:jc w:val="center"/>
    </w:pPr>
    <w:rPr>
      <w:i/>
      <w:iCs/>
      <w:color w:val="404040" w:themeColor="text1" w:themeTint="BF"/>
    </w:rPr>
  </w:style>
  <w:style w:type="character" w:customStyle="1" w:styleId="QuoteChar">
    <w:name w:val="Quote Char"/>
    <w:basedOn w:val="DefaultParagraphFont"/>
    <w:link w:val="Quote"/>
    <w:uiPriority w:val="29"/>
    <w:rsid w:val="00DE346A"/>
    <w:rPr>
      <w:i/>
      <w:iCs/>
      <w:color w:val="404040" w:themeColor="text1" w:themeTint="BF"/>
    </w:rPr>
  </w:style>
  <w:style w:type="paragraph" w:styleId="ListParagraph">
    <w:name w:val="List Paragraph"/>
    <w:basedOn w:val="Normal"/>
    <w:uiPriority w:val="34"/>
    <w:qFormat/>
    <w:rsid w:val="00DE346A"/>
    <w:pPr>
      <w:ind w:left="720"/>
      <w:contextualSpacing/>
    </w:pPr>
  </w:style>
  <w:style w:type="character" w:styleId="IntenseEmphasis">
    <w:name w:val="Intense Emphasis"/>
    <w:basedOn w:val="DefaultParagraphFont"/>
    <w:uiPriority w:val="21"/>
    <w:qFormat/>
    <w:rsid w:val="00DE346A"/>
    <w:rPr>
      <w:i/>
      <w:iCs/>
      <w:color w:val="2F5496" w:themeColor="accent1" w:themeShade="BF"/>
    </w:rPr>
  </w:style>
  <w:style w:type="paragraph" w:styleId="IntenseQuote">
    <w:name w:val="Intense Quote"/>
    <w:basedOn w:val="Normal"/>
    <w:next w:val="Normal"/>
    <w:link w:val="IntenseQuoteChar"/>
    <w:uiPriority w:val="30"/>
    <w:qFormat/>
    <w:rsid w:val="00DE34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46A"/>
    <w:rPr>
      <w:i/>
      <w:iCs/>
      <w:color w:val="2F5496" w:themeColor="accent1" w:themeShade="BF"/>
    </w:rPr>
  </w:style>
  <w:style w:type="character" w:styleId="IntenseReference">
    <w:name w:val="Intense Reference"/>
    <w:basedOn w:val="DefaultParagraphFont"/>
    <w:uiPriority w:val="32"/>
    <w:qFormat/>
    <w:rsid w:val="00DE346A"/>
    <w:rPr>
      <w:b/>
      <w:bCs/>
      <w:smallCaps/>
      <w:color w:val="2F5496" w:themeColor="accent1" w:themeShade="BF"/>
      <w:spacing w:val="5"/>
    </w:rPr>
  </w:style>
  <w:style w:type="character" w:styleId="Hyperlink">
    <w:name w:val="Hyperlink"/>
    <w:basedOn w:val="DefaultParagraphFont"/>
    <w:uiPriority w:val="99"/>
    <w:unhideWhenUsed/>
    <w:rsid w:val="002815BC"/>
    <w:rPr>
      <w:color w:val="0563C1" w:themeColor="hyperlink"/>
      <w:u w:val="single"/>
    </w:rPr>
  </w:style>
  <w:style w:type="character" w:styleId="UnresolvedMention">
    <w:name w:val="Unresolved Mention"/>
    <w:basedOn w:val="DefaultParagraphFont"/>
    <w:uiPriority w:val="99"/>
    <w:semiHidden/>
    <w:unhideWhenUsed/>
    <w:rsid w:val="002815BC"/>
    <w:rPr>
      <w:color w:val="605E5C"/>
      <w:shd w:val="clear" w:color="auto" w:fill="E1DFDD"/>
    </w:rPr>
  </w:style>
  <w:style w:type="character" w:styleId="FollowedHyperlink">
    <w:name w:val="FollowedHyperlink"/>
    <w:basedOn w:val="DefaultParagraphFont"/>
    <w:uiPriority w:val="99"/>
    <w:semiHidden/>
    <w:unhideWhenUsed/>
    <w:rsid w:val="003379D0"/>
    <w:rPr>
      <w:color w:val="954F72" w:themeColor="followedHyperlink"/>
      <w:u w:val="single"/>
    </w:rPr>
  </w:style>
  <w:style w:type="table" w:styleId="TableGrid">
    <w:name w:val="Table Grid"/>
    <w:basedOn w:val="TableNormal"/>
    <w:uiPriority w:val="39"/>
    <w:rsid w:val="004D6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s://doi.org/10.1016/j.tourman.2010.11.003" TargetMode="External"/><Relationship Id="rId18" Type="http://schemas.openxmlformats.org/officeDocument/2006/relationships/hyperlink" Target="https://doi.org/10.1016/j.tourman.2014.09.014" TargetMode="External"/><Relationship Id="rId26" Type="http://schemas.openxmlformats.org/officeDocument/2006/relationships/hyperlink" Target="https://doi.org/10.1007/s43615-022-00216-3" TargetMode="External"/><Relationship Id="rId3" Type="http://schemas.openxmlformats.org/officeDocument/2006/relationships/webSettings" Target="webSettings.xml"/><Relationship Id="rId21" Type="http://schemas.openxmlformats.org/officeDocument/2006/relationships/hyperlink" Target="https://doi.org/10.1080/13504620220145401" TargetMode="External"/><Relationship Id="rId7" Type="http://schemas.openxmlformats.org/officeDocument/2006/relationships/image" Target="media/image4.png"/><Relationship Id="rId12" Type="http://schemas.openxmlformats.org/officeDocument/2006/relationships/hyperlink" Target="https://doi.org/10.1016/0749-5978(91)90020-T" TargetMode="External"/><Relationship Id="rId17" Type="http://schemas.openxmlformats.org/officeDocument/2006/relationships/hyperlink" Target="https://www.downtoearth.org.in/coverage/water/revival-of-naini-lake-needs-prompt-action-but-ownership-not-clearly-defined-57979" TargetMode="External"/><Relationship Id="rId25" Type="http://schemas.openxmlformats.org/officeDocument/2006/relationships/hyperlink" Target="https://doi.org/10.2167/jost593.0" TargetMode="External"/><Relationship Id="rId2" Type="http://schemas.openxmlformats.org/officeDocument/2006/relationships/settings" Target="settings.xml"/><Relationship Id="rId16" Type="http://schemas.openxmlformats.org/officeDocument/2006/relationships/hyperlink" Target="https://doi.org/10.1108/TR-11-2022-0563" TargetMode="External"/><Relationship Id="rId20" Type="http://schemas.openxmlformats.org/officeDocument/2006/relationships/hyperlink" Target="https://doi.org/10.1016/j.annals.2014.05.012" TargetMode="External"/><Relationship Id="rId29" Type="http://schemas.openxmlformats.org/officeDocument/2006/relationships/hyperlink" Target="https://doi.org/10.1111/0022-4537.00175"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doi.org/10.1002/sd.2859" TargetMode="External"/><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hyperlink" Target="https://doi.org/10.1108/JTF-02-2024-0033" TargetMode="External"/><Relationship Id="rId23" Type="http://schemas.openxmlformats.org/officeDocument/2006/relationships/hyperlink" Target="https://doi.org/10.1038/s41598-025-20166-8" TargetMode="External"/><Relationship Id="rId28" Type="http://schemas.openxmlformats.org/officeDocument/2006/relationships/hyperlink" Target="https://doi.org/10.1016/j.jenvp.2008.10.004" TargetMode="External"/><Relationship Id="rId10" Type="http://schemas.openxmlformats.org/officeDocument/2006/relationships/image" Target="media/image7.png"/><Relationship Id="rId19" Type="http://schemas.openxmlformats.org/officeDocument/2006/relationships/hyperlink" Target="https://doi.org/10.1016/j.envpol.2024.123598" TargetMode="External"/><Relationship Id="rId3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hyperlink" Target="https://doi.org/10.1080/13549839908725599" TargetMode="External"/><Relationship Id="rId22" Type="http://schemas.openxmlformats.org/officeDocument/2006/relationships/hyperlink" Target="https://doi.org/10.1016/S0956-053X(03)00027-8" TargetMode="External"/><Relationship Id="rId27" Type="http://schemas.openxmlformats.org/officeDocument/2006/relationships/hyperlink" Target="https://doi.org/10.1155/2014/473074" TargetMode="External"/><Relationship Id="rId30" Type="http://schemas.openxmlformats.org/officeDocument/2006/relationships/hyperlink" Target="https://doi.org/10.18111/9789284419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18</Pages>
  <Words>5468</Words>
  <Characters>31171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Roy</dc:creator>
  <cp:keywords/>
  <dc:description/>
  <cp:lastModifiedBy>Aarushi Roy</cp:lastModifiedBy>
  <cp:revision>114</cp:revision>
  <dcterms:created xsi:type="dcterms:W3CDTF">2026-08-21T08:57:00Z</dcterms:created>
  <dcterms:modified xsi:type="dcterms:W3CDTF">2026-08-23T17:31:00Z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6bcd0283-0603-4e43-a25f-86084cd652e5</vt:lpwstr>
  </property>
</Properties>
</file>