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6634D23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3C54025"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DOMAIN NAME</w:t>
                                </w:r>
                                <w:r w:rsidR="00FE52E1">
                                  <w:rPr>
                                    <w:rFonts w:ascii="Arial" w:hAnsi="Arial" w:cs="Arial"/>
                                    <w:color w:val="EA7317" w:themeColor="accent5"/>
                                    <w:w w:val="110"/>
                                    <w:sz w:val="44"/>
                                    <w:szCs w:val="44"/>
                                  </w:rPr>
                                  <w:t>: DATA ANALYT</w:t>
                                </w:r>
                                <w:r w:rsidR="00790119">
                                  <w:rPr>
                                    <w:rFonts w:ascii="Arial" w:hAnsi="Arial" w:cs="Arial"/>
                                    <w:color w:val="EA7317" w:themeColor="accent5"/>
                                    <w:w w:val="110"/>
                                    <w:sz w:val="44"/>
                                    <w:szCs w:val="44"/>
                                  </w:rPr>
                                  <w: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t>PROJECT NAME</w:t>
                                </w:r>
                                <w:r w:rsidR="00FE52E1">
                                  <w:rPr>
                                    <w:rFonts w:ascii="Arial" w:hAnsi="Arial" w:cs="Arial"/>
                                    <w:color w:val="3CA5D9" w:themeColor="accent1"/>
                                    <w:w w:val="110"/>
                                    <w:sz w:val="44"/>
                                    <w:szCs w:val="44"/>
                                  </w:rPr>
                                  <w:t xml:space="preserve">: </w:t>
                                </w:r>
                                <w:r w:rsidR="00371428">
                                  <w:rPr>
                                    <w:rFonts w:ascii="Arial" w:hAnsi="Arial" w:cs="Arial"/>
                                    <w:color w:val="3CA5D9" w:themeColor="accent1"/>
                                    <w:w w:val="110"/>
                                    <w:sz w:val="44"/>
                                    <w:szCs w:val="44"/>
                                  </w:rPr>
                                  <w:t>STUDENT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4AAE584" w:rsidR="00BD1D43" w:rsidRDefault="00AD024B" w:rsidP="00BD1D43">
                                      <w:pPr>
                                        <w:rPr>
                                          <w:rFonts w:ascii="Arial" w:hAnsi="Arial" w:cs="Arial"/>
                                          <w:color w:val="595959" w:themeColor="text1" w:themeTint="A6"/>
                                          <w:sz w:val="20"/>
                                          <w:szCs w:val="43"/>
                                        </w:rPr>
                                      </w:pPr>
                                      <w:r>
                                        <w:rPr>
                                          <w:rFonts w:ascii="Arial" w:hAnsi="Arial" w:cs="Arial"/>
                                          <w:color w:val="595959" w:themeColor="text1" w:themeTint="A6"/>
                                          <w:sz w:val="20"/>
                                          <w:szCs w:val="43"/>
                                        </w:rPr>
                                        <w:t>Aarushi Bose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60C135A" w:rsidR="00BD1D43" w:rsidRDefault="001D723B"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A1AB3B6" w:rsidR="00BD1D43" w:rsidRDefault="00371428" w:rsidP="00BD1D43">
                                      <w:pPr>
                                        <w:rPr>
                                          <w:rFonts w:ascii="Arial" w:hAnsi="Arial" w:cs="Arial"/>
                                          <w:color w:val="595959" w:themeColor="text1" w:themeTint="A6"/>
                                          <w:sz w:val="20"/>
                                          <w:szCs w:val="43"/>
                                        </w:rPr>
                                      </w:pPr>
                                      <w:r>
                                        <w:rPr>
                                          <w:rFonts w:ascii="Arial" w:hAnsi="Arial" w:cs="Arial"/>
                                          <w:color w:val="595959" w:themeColor="text1" w:themeTint="A6"/>
                                          <w:sz w:val="20"/>
                                          <w:szCs w:val="43"/>
                                        </w:rPr>
                                        <w:t>28</w:t>
                                      </w:r>
                                      <w:r w:rsidR="006308EF">
                                        <w:rPr>
                                          <w:rFonts w:ascii="Arial" w:hAnsi="Arial" w:cs="Arial"/>
                                          <w:color w:val="595959" w:themeColor="text1" w:themeTint="A6"/>
                                          <w:sz w:val="20"/>
                                          <w:szCs w:val="43"/>
                                        </w:rPr>
                                        <w:t>-0</w:t>
                                      </w:r>
                                      <w:r>
                                        <w:rPr>
                                          <w:rFonts w:ascii="Arial" w:hAnsi="Arial" w:cs="Arial"/>
                                          <w:color w:val="595959" w:themeColor="text1" w:themeTint="A6"/>
                                          <w:sz w:val="20"/>
                                          <w:szCs w:val="43"/>
                                        </w:rPr>
                                        <w:t>6</w:t>
                                      </w:r>
                                      <w:r w:rsidR="006308EF">
                                        <w:rPr>
                                          <w:rFonts w:ascii="Arial" w:hAnsi="Arial" w:cs="Arial"/>
                                          <w:color w:val="595959" w:themeColor="text1" w:themeTint="A6"/>
                                          <w:sz w:val="20"/>
                                          <w:szCs w:val="43"/>
                                        </w:rPr>
                                        <w:t>-202</w:t>
                                      </w:r>
                                      <w:r>
                                        <w:rPr>
                                          <w:rFonts w:ascii="Arial" w:hAnsi="Arial" w:cs="Arial"/>
                                          <w:color w:val="595959" w:themeColor="text1" w:themeTint="A6"/>
                                          <w:sz w:val="20"/>
                                          <w:szCs w:val="43"/>
                                        </w:rPr>
                                        <w:t>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3C54025"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DOMAIN NAME</w:t>
                          </w:r>
                          <w:r w:rsidR="00FE52E1">
                            <w:rPr>
                              <w:rFonts w:ascii="Arial" w:hAnsi="Arial" w:cs="Arial"/>
                              <w:color w:val="EA7317" w:themeColor="accent5"/>
                              <w:w w:val="110"/>
                              <w:sz w:val="44"/>
                              <w:szCs w:val="44"/>
                            </w:rPr>
                            <w:t>: DATA ANALYT</w:t>
                          </w:r>
                          <w:r w:rsidR="00790119">
                            <w:rPr>
                              <w:rFonts w:ascii="Arial" w:hAnsi="Arial" w:cs="Arial"/>
                              <w:color w:val="EA7317" w:themeColor="accent5"/>
                              <w:w w:val="110"/>
                              <w:sz w:val="44"/>
                              <w:szCs w:val="44"/>
                            </w:rPr>
                            <w: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t>PROJECT NAME</w:t>
                          </w:r>
                          <w:r w:rsidR="00FE52E1">
                            <w:rPr>
                              <w:rFonts w:ascii="Arial" w:hAnsi="Arial" w:cs="Arial"/>
                              <w:color w:val="3CA5D9" w:themeColor="accent1"/>
                              <w:w w:val="110"/>
                              <w:sz w:val="44"/>
                              <w:szCs w:val="44"/>
                            </w:rPr>
                            <w:t xml:space="preserve">: </w:t>
                          </w:r>
                          <w:r w:rsidR="00371428">
                            <w:rPr>
                              <w:rFonts w:ascii="Arial" w:hAnsi="Arial" w:cs="Arial"/>
                              <w:color w:val="3CA5D9" w:themeColor="accent1"/>
                              <w:w w:val="110"/>
                              <w:sz w:val="44"/>
                              <w:szCs w:val="44"/>
                            </w:rPr>
                            <w:t>STUDENT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4AAE584" w:rsidR="00BD1D43" w:rsidRDefault="00AD024B" w:rsidP="00BD1D43">
                                <w:pPr>
                                  <w:rPr>
                                    <w:rFonts w:ascii="Arial" w:hAnsi="Arial" w:cs="Arial"/>
                                    <w:color w:val="595959" w:themeColor="text1" w:themeTint="A6"/>
                                    <w:sz w:val="20"/>
                                    <w:szCs w:val="43"/>
                                  </w:rPr>
                                </w:pPr>
                                <w:r>
                                  <w:rPr>
                                    <w:rFonts w:ascii="Arial" w:hAnsi="Arial" w:cs="Arial"/>
                                    <w:color w:val="595959" w:themeColor="text1" w:themeTint="A6"/>
                                    <w:sz w:val="20"/>
                                    <w:szCs w:val="43"/>
                                  </w:rPr>
                                  <w:t>Aarushi Bose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60C135A" w:rsidR="00BD1D43" w:rsidRDefault="001D723B"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A1AB3B6" w:rsidR="00BD1D43" w:rsidRDefault="00371428" w:rsidP="00BD1D43">
                                <w:pPr>
                                  <w:rPr>
                                    <w:rFonts w:ascii="Arial" w:hAnsi="Arial" w:cs="Arial"/>
                                    <w:color w:val="595959" w:themeColor="text1" w:themeTint="A6"/>
                                    <w:sz w:val="20"/>
                                    <w:szCs w:val="43"/>
                                  </w:rPr>
                                </w:pPr>
                                <w:r>
                                  <w:rPr>
                                    <w:rFonts w:ascii="Arial" w:hAnsi="Arial" w:cs="Arial"/>
                                    <w:color w:val="595959" w:themeColor="text1" w:themeTint="A6"/>
                                    <w:sz w:val="20"/>
                                    <w:szCs w:val="43"/>
                                  </w:rPr>
                                  <w:t>28</w:t>
                                </w:r>
                                <w:r w:rsidR="006308EF">
                                  <w:rPr>
                                    <w:rFonts w:ascii="Arial" w:hAnsi="Arial" w:cs="Arial"/>
                                    <w:color w:val="595959" w:themeColor="text1" w:themeTint="A6"/>
                                    <w:sz w:val="20"/>
                                    <w:szCs w:val="43"/>
                                  </w:rPr>
                                  <w:t>-0</w:t>
                                </w:r>
                                <w:r>
                                  <w:rPr>
                                    <w:rFonts w:ascii="Arial" w:hAnsi="Arial" w:cs="Arial"/>
                                    <w:color w:val="595959" w:themeColor="text1" w:themeTint="A6"/>
                                    <w:sz w:val="20"/>
                                    <w:szCs w:val="43"/>
                                  </w:rPr>
                                  <w:t>6</w:t>
                                </w:r>
                                <w:r w:rsidR="006308EF">
                                  <w:rPr>
                                    <w:rFonts w:ascii="Arial" w:hAnsi="Arial" w:cs="Arial"/>
                                    <w:color w:val="595959" w:themeColor="text1" w:themeTint="A6"/>
                                    <w:sz w:val="20"/>
                                    <w:szCs w:val="43"/>
                                  </w:rPr>
                                  <w:t>-202</w:t>
                                </w:r>
                                <w:r>
                                  <w:rPr>
                                    <w:rFonts w:ascii="Arial" w:hAnsi="Arial" w:cs="Arial"/>
                                    <w:color w:val="595959" w:themeColor="text1" w:themeTint="A6"/>
                                    <w:sz w:val="20"/>
                                    <w:szCs w:val="43"/>
                                  </w:rPr>
                                  <w:t>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50F327E3"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w:t>
            </w:r>
            <w:r w:rsidR="00CD7BD5">
              <w:rPr>
                <w:rStyle w:val="Hyperlink"/>
                <w:rFonts w:ascii="Arial" w:hAnsi="Arial" w:cs="Arial"/>
                <w:noProof/>
              </w:rPr>
              <w:t xml:space="preserve"> </w:t>
            </w:r>
            <w:r w:rsidR="00122EAD">
              <w:rPr>
                <w:rStyle w:val="Hyperlink"/>
                <w:rFonts w:ascii="Arial" w:hAnsi="Arial" w:cs="Arial"/>
                <w:noProof/>
              </w:rPr>
              <w:t>Data Sources and Collection</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1C5DD9BC" w14:textId="008CB0F1" w:rsidR="00945126" w:rsidRPr="00307647" w:rsidRDefault="00FD21D8" w:rsidP="00B63429">
          <w:pPr>
            <w:jc w:val="both"/>
            <w:rPr>
              <w:rFonts w:ascii="Arial" w:hAnsi="Arial" w:cs="Arial"/>
              <w:noProof/>
            </w:rPr>
          </w:pPr>
          <w:r w:rsidRPr="008D0563">
            <w:rPr>
              <w:rFonts w:ascii="Arial" w:hAnsi="Arial" w:cs="Arial"/>
              <w:b/>
              <w:bCs/>
              <w:noProof/>
              <w:color w:val="666666" w:themeColor="accent6"/>
            </w:rPr>
            <w:fldChar w:fldCharType="end"/>
          </w:r>
          <w:r w:rsidR="00B63429" w:rsidRPr="0037688C">
            <w:rPr>
              <w:rFonts w:ascii="Arial" w:hAnsi="Arial" w:cs="Arial"/>
              <w:noProof/>
              <w:color w:val="666666" w:themeColor="accent6"/>
            </w:rPr>
            <w:t xml:space="preserve">   </w:t>
          </w:r>
          <w:r w:rsidR="0037688C" w:rsidRPr="00307647">
            <w:rPr>
              <w:rFonts w:ascii="Arial" w:hAnsi="Arial" w:cs="Arial"/>
              <w:noProof/>
            </w:rPr>
            <w:t xml:space="preserve">7.2      Appendix B </w:t>
          </w:r>
          <w:r w:rsidR="00945126" w:rsidRPr="00307647">
            <w:rPr>
              <w:rFonts w:ascii="Arial" w:hAnsi="Arial" w:cs="Arial"/>
              <w:noProof/>
            </w:rPr>
            <w:t>–</w:t>
          </w:r>
          <w:r w:rsidR="0037688C" w:rsidRPr="00307647">
            <w:rPr>
              <w:rFonts w:ascii="Arial" w:hAnsi="Arial" w:cs="Arial"/>
              <w:noProof/>
            </w:rPr>
            <w:t xml:space="preserve"> </w:t>
          </w:r>
          <w:r w:rsidR="00CD7BD5">
            <w:rPr>
              <w:rFonts w:ascii="Arial" w:hAnsi="Arial" w:cs="Arial"/>
              <w:noProof/>
            </w:rPr>
            <w:t>Results and Findings……………………………………………..4</w:t>
          </w:r>
        </w:p>
        <w:p w14:paraId="776BE0EA" w14:textId="296C428A" w:rsidR="00B63429" w:rsidRDefault="00945126" w:rsidP="00B63429">
          <w:pPr>
            <w:jc w:val="both"/>
            <w:rPr>
              <w:rFonts w:ascii="Arial" w:hAnsi="Arial" w:cs="Arial"/>
              <w:b/>
              <w:bCs/>
              <w:noProof/>
              <w:color w:val="595959" w:themeColor="text1" w:themeTint="A6"/>
            </w:rPr>
          </w:pPr>
          <w:r w:rsidRPr="00307647">
            <w:rPr>
              <w:rFonts w:ascii="Arial" w:hAnsi="Arial" w:cs="Arial"/>
              <w:noProof/>
            </w:rPr>
            <w:t xml:space="preserve">   7.3      Appendix C </w:t>
          </w:r>
          <w:r w:rsidR="00122EAD" w:rsidRPr="00307647">
            <w:rPr>
              <w:rFonts w:ascii="Arial" w:hAnsi="Arial" w:cs="Arial"/>
              <w:noProof/>
            </w:rPr>
            <w:t>–</w:t>
          </w:r>
          <w:r w:rsidRPr="00307647">
            <w:rPr>
              <w:rFonts w:ascii="Arial" w:hAnsi="Arial" w:cs="Arial"/>
              <w:noProof/>
            </w:rPr>
            <w:t xml:space="preserve">  </w:t>
          </w:r>
          <w:r w:rsidR="00307647" w:rsidRPr="00307647">
            <w:rPr>
              <w:rFonts w:ascii="Arial" w:hAnsi="Arial" w:cs="Arial"/>
              <w:noProof/>
            </w:rPr>
            <w:t>Recommendation</w:t>
          </w:r>
          <w:r w:rsidR="00307647">
            <w:rPr>
              <w:rFonts w:ascii="Arial" w:hAnsi="Arial" w:cs="Arial"/>
              <w:noProof/>
            </w:rPr>
            <w:t>s ……………………………………………….4</w:t>
          </w:r>
        </w:p>
      </w:sdtContent>
    </w:sdt>
    <w:p w14:paraId="7E7599DA" w14:textId="1B4E1525" w:rsidR="005C1E13" w:rsidRPr="00B63429" w:rsidRDefault="005C1E13" w:rsidP="00B63429">
      <w:pPr>
        <w:jc w:val="both"/>
        <w:rPr>
          <w:rFonts w:ascii="Arial" w:hAnsi="Arial" w:cs="Arial"/>
          <w:color w:val="595959" w:themeColor="text1" w:themeTint="A6"/>
        </w:rPr>
        <w:sectPr w:rsidR="005C1E13" w:rsidRPr="00B63429"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3BCD85FD" w:rsidR="00EF7D1E" w:rsidRPr="00EF7D1E" w:rsidRDefault="00A6453D"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Student Data Analysis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0FC9F01F" w:rsidR="00EF7D1E" w:rsidRPr="00EF7D1E" w:rsidRDefault="001826BB"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Cloud Counselage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4ACAEB7E" w:rsidR="00EF7D1E" w:rsidRPr="00EF7D1E" w:rsidRDefault="00A3402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Aarushi Bose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0769FF4A" w:rsidR="00EF7D1E" w:rsidRPr="00EF7D1E" w:rsidRDefault="00A6453D"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27</w:t>
            </w:r>
            <w:r w:rsidR="00EF7D1E">
              <w:rPr>
                <w:rFonts w:ascii="Arial" w:hAnsi="Arial" w:cs="Arial"/>
                <w:color w:val="595959" w:themeColor="text1" w:themeTint="A6"/>
                <w:sz w:val="22"/>
                <w:szCs w:val="22"/>
                <w:lang w:val="en-US"/>
              </w:rPr>
              <w:t>-</w:t>
            </w:r>
            <w:r w:rsidR="00A30786">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5</w:t>
            </w:r>
            <w:r w:rsidR="00EF7D1E">
              <w:rPr>
                <w:rFonts w:ascii="Arial" w:hAnsi="Arial" w:cs="Arial"/>
                <w:color w:val="595959" w:themeColor="text1" w:themeTint="A6"/>
                <w:sz w:val="22"/>
                <w:szCs w:val="22"/>
                <w:lang w:val="en-US"/>
              </w:rPr>
              <w:t>-</w:t>
            </w:r>
            <w:r w:rsidR="00A30786">
              <w:rPr>
                <w:rFonts w:ascii="Arial" w:hAnsi="Arial" w:cs="Arial"/>
                <w:color w:val="595959" w:themeColor="text1" w:themeTint="A6"/>
                <w:sz w:val="22"/>
                <w:szCs w:val="22"/>
                <w:lang w:val="en-US"/>
              </w:rPr>
              <w:t>202</w:t>
            </w:r>
            <w:r>
              <w:rPr>
                <w:rFonts w:ascii="Arial" w:hAnsi="Arial" w:cs="Arial"/>
                <w:color w:val="595959" w:themeColor="text1" w:themeTint="A6"/>
                <w:sz w:val="22"/>
                <w:szCs w:val="22"/>
                <w:lang w:val="en-US"/>
              </w:rPr>
              <w:t>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573EA9D8" w:rsidR="00EF7D1E" w:rsidRPr="00EF7D1E" w:rsidRDefault="00A6453D"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28-06-2024</w:t>
            </w:r>
          </w:p>
        </w:tc>
      </w:tr>
    </w:tbl>
    <w:p w14:paraId="4150E369" w14:textId="77777777" w:rsidR="00893293" w:rsidRDefault="00893293" w:rsidP="00EF7D1E">
      <w:pPr>
        <w:jc w:val="both"/>
        <w:rPr>
          <w:rFonts w:ascii="Arial" w:hAnsi="Arial" w:cs="Arial"/>
          <w:color w:val="595959" w:themeColor="text1" w:themeTint="A6"/>
        </w:rPr>
      </w:pPr>
    </w:p>
    <w:p w14:paraId="22B2978E" w14:textId="529CCF46" w:rsidR="005F7858" w:rsidRPr="00BE3070" w:rsidRDefault="00397D59" w:rsidP="00BE3070">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41F1F231" w:rsidR="0059785C" w:rsidRPr="007C089D" w:rsidRDefault="00AB3F64" w:rsidP="007C089D">
      <w:pPr>
        <w:pStyle w:val="ListParagraph"/>
        <w:numPr>
          <w:ilvl w:val="0"/>
          <w:numId w:val="41"/>
        </w:numPr>
        <w:jc w:val="both"/>
        <w:rPr>
          <w:rFonts w:ascii="Arial" w:hAnsi="Arial" w:cs="Arial"/>
          <w:i/>
          <w:iCs/>
          <w:color w:val="595959" w:themeColor="text1" w:themeTint="A6"/>
          <w:highlight w:val="lightGray"/>
          <w:shd w:val="clear" w:color="auto" w:fill="FFFFFF"/>
        </w:rPr>
      </w:pPr>
      <w:r w:rsidRPr="007C089D">
        <w:rPr>
          <w:rFonts w:ascii="Arial" w:hAnsi="Arial" w:cs="Arial"/>
          <w:color w:val="595959" w:themeColor="text1" w:themeTint="A6"/>
        </w:rPr>
        <w:t xml:space="preserve">This data analysis project seeks to comprehensively investigate the complex interplay between various factors influencing student interns' scholastic achievements, participation in extracurricular events, career aspirations, and the determinants contributing to their overall success. </w:t>
      </w:r>
      <w:r w:rsidR="000C6641" w:rsidRPr="007C089D">
        <w:rPr>
          <w:rFonts w:ascii="Arial" w:hAnsi="Arial" w:cs="Arial"/>
          <w:color w:val="595959" w:themeColor="text1" w:themeTint="A6"/>
        </w:rPr>
        <w:t>By utilizing a diverse dataset encompassing academic records, event attendance data,</w:t>
      </w:r>
      <w:r w:rsidR="00371F03" w:rsidRPr="007C089D">
        <w:rPr>
          <w:rFonts w:ascii="Arial" w:hAnsi="Arial" w:cs="Arial"/>
          <w:color w:val="595959" w:themeColor="text1" w:themeTint="A6"/>
        </w:rPr>
        <w:t xml:space="preserve"> choice of events, leadership skills, experience with programming languages, CGPAs</w:t>
      </w:r>
      <w:r w:rsidR="00B9064C" w:rsidRPr="007C089D">
        <w:rPr>
          <w:rFonts w:ascii="Arial" w:hAnsi="Arial" w:cs="Arial"/>
          <w:color w:val="595959" w:themeColor="text1" w:themeTint="A6"/>
        </w:rPr>
        <w:t>, we aim to uncover valuable insights that can inform educational institutions, employers, and policymakers.</w:t>
      </w:r>
      <w:r w:rsidR="00C972B5" w:rsidRPr="007C089D">
        <w:rPr>
          <w:rFonts w:ascii="Arial" w:hAnsi="Arial" w:cs="Arial"/>
          <w:color w:val="595959" w:themeColor="text1" w:themeTint="A6"/>
        </w:rPr>
        <w:t xml:space="preserve"> In the long term, this information can empower educational institutions, employers, and policymakers to make data-driven decisions. They can use these insights to adapt their programs, recruitment strategies, and policies to better support and guide student interns in their academic and career journeys.</w:t>
      </w:r>
      <w:r w:rsidR="002E1DDC" w:rsidRPr="007C089D">
        <w:rPr>
          <w:rFonts w:ascii="Arial" w:hAnsi="Arial" w:cs="Arial"/>
          <w:color w:val="595959" w:themeColor="text1" w:themeTint="A6"/>
        </w:rPr>
        <w:t xml:space="preserve"> Ultimately, the long-term benefits extend to student interns themselves</w:t>
      </w:r>
      <w:r w:rsidR="00F07A5E" w:rsidRPr="007C089D">
        <w:rPr>
          <w:rFonts w:ascii="Arial" w:hAnsi="Arial" w:cs="Arial"/>
          <w:color w:val="595959" w:themeColor="text1" w:themeTint="A6"/>
        </w:rPr>
        <w:t xml:space="preserve"> too</w:t>
      </w:r>
      <w:r w:rsidR="002E1DDC" w:rsidRPr="007C089D">
        <w:rPr>
          <w:rFonts w:ascii="Arial" w:hAnsi="Arial" w:cs="Arial"/>
          <w:color w:val="595959" w:themeColor="text1" w:themeTint="A6"/>
        </w:rPr>
        <w:t>. By gaining a deeper understanding of the factors that contribute to their success, they can make more informed choices regarding their academic and career paths. They may also benefit from improved support services and opportunities tailored to their needs and aspirations.</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5C1A61A8" w14:textId="77777777" w:rsidR="00EE1A00" w:rsidRPr="00EE1A00" w:rsidRDefault="00EE1A00" w:rsidP="00EE1A00">
      <w:pPr>
        <w:pStyle w:val="ListParagraph"/>
        <w:numPr>
          <w:ilvl w:val="0"/>
          <w:numId w:val="33"/>
        </w:numPr>
        <w:jc w:val="both"/>
        <w:rPr>
          <w:rFonts w:ascii="Arial" w:hAnsi="Arial" w:cs="Arial"/>
        </w:rPr>
      </w:pPr>
      <w:r w:rsidRPr="00EE1A00">
        <w:rPr>
          <w:rFonts w:ascii="Arial" w:hAnsi="Arial" w:cs="Arial"/>
        </w:rPr>
        <w:t>In today's competitive job market, millions of students and professionals eagerly apply for internships and job opportunities annually. A pivotal point of entry into the selection process is the submission of resumes, which serve as the first impression for applicants. However, recruiters are faced with an overwhelming volume of resumes, and they typically allocate a mere 2-3 minutes to review each one, whether it arrives via email, job boards, or Applicant Tracking Systems (ATS). Astonishingly, the statistics reveal that more than 70% of submitted resumes are rejected during this initial screening phase. This scenario underscores the critical need for a data-driven approach to streamline and enhance the resume screening process. Understanding the underlying factors contributing to resume rejection and identifying effective strategies to increase the chances of applicant success is paramount.</w:t>
      </w:r>
    </w:p>
    <w:p w14:paraId="71581B40" w14:textId="77777777" w:rsidR="00EE1A00" w:rsidRPr="00EE1A00" w:rsidRDefault="00EE1A00" w:rsidP="00397D59">
      <w:pPr>
        <w:ind w:left="993"/>
        <w:jc w:val="both"/>
        <w:rPr>
          <w:rFonts w:ascii="Arial" w:hAnsi="Arial" w:cs="Arial"/>
          <w:color w:val="595959" w:themeColor="text1" w:themeTint="A6"/>
        </w:rPr>
      </w:pPr>
    </w:p>
    <w:p w14:paraId="651D247A" w14:textId="77777777" w:rsidR="00397D59" w:rsidRDefault="00397D59" w:rsidP="00397D59">
      <w:pPr>
        <w:ind w:left="426"/>
        <w:jc w:val="both"/>
        <w:rPr>
          <w:rFonts w:ascii="Arial" w:hAnsi="Arial" w:cs="Arial"/>
          <w:color w:val="595959" w:themeColor="text1" w:themeTint="A6"/>
        </w:rPr>
      </w:pPr>
    </w:p>
    <w:p w14:paraId="5C61D901" w14:textId="21CBD4C5" w:rsidR="00980092" w:rsidRPr="00BE3070" w:rsidRDefault="00980092" w:rsidP="00BE3070">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717CF92B" w14:textId="152AB20B" w:rsidR="00980092" w:rsidRPr="00706F48" w:rsidRDefault="00B44AEA" w:rsidP="00706F48">
      <w:pPr>
        <w:pStyle w:val="ListParagraph"/>
        <w:numPr>
          <w:ilvl w:val="0"/>
          <w:numId w:val="33"/>
        </w:numPr>
        <w:jc w:val="both"/>
        <w:rPr>
          <w:rFonts w:ascii="Arial" w:hAnsi="Arial" w:cs="Arial"/>
        </w:rPr>
      </w:pPr>
      <w:r w:rsidRPr="00706F48">
        <w:rPr>
          <w:rFonts w:ascii="Arial" w:hAnsi="Arial" w:cs="Arial"/>
          <w:b/>
          <w:bCs/>
        </w:rPr>
        <w:t xml:space="preserve">Educational Institutions: </w:t>
      </w:r>
      <w:r w:rsidR="0075204B" w:rsidRPr="00706F48">
        <w:rPr>
          <w:rFonts w:ascii="Arial" w:hAnsi="Arial" w:cs="Arial"/>
        </w:rPr>
        <w:t>Interested in improving the academic experiences and outcomes of student interns.</w:t>
      </w:r>
    </w:p>
    <w:p w14:paraId="0427575D" w14:textId="688E46FB" w:rsidR="0075204B" w:rsidRPr="00706F48" w:rsidRDefault="0075204B" w:rsidP="00706F48">
      <w:pPr>
        <w:pStyle w:val="ListParagraph"/>
        <w:numPr>
          <w:ilvl w:val="0"/>
          <w:numId w:val="33"/>
        </w:numPr>
        <w:jc w:val="both"/>
        <w:rPr>
          <w:rFonts w:ascii="Arial" w:hAnsi="Arial" w:cs="Arial"/>
        </w:rPr>
      </w:pPr>
      <w:r w:rsidRPr="00706F48">
        <w:rPr>
          <w:rFonts w:ascii="Arial" w:hAnsi="Arial" w:cs="Arial"/>
          <w:b/>
          <w:bCs/>
        </w:rPr>
        <w:t>Students and Interns:</w:t>
      </w:r>
      <w:r w:rsidRPr="00706F48">
        <w:rPr>
          <w:rFonts w:ascii="Arial" w:hAnsi="Arial" w:cs="Arial"/>
        </w:rPr>
        <w:t xml:space="preserve"> Current Interns who are eager to learn about factors contributing to their success and career advancement and Future Interns interested in making informed decisions regarding their academic and career paths.</w:t>
      </w:r>
    </w:p>
    <w:p w14:paraId="574473C5" w14:textId="5B36AEBB" w:rsidR="0075204B" w:rsidRPr="00706F48" w:rsidRDefault="00B27C33" w:rsidP="00706F48">
      <w:pPr>
        <w:pStyle w:val="ListParagraph"/>
        <w:numPr>
          <w:ilvl w:val="0"/>
          <w:numId w:val="33"/>
        </w:numPr>
        <w:jc w:val="both"/>
        <w:rPr>
          <w:rFonts w:ascii="Arial" w:hAnsi="Arial" w:cs="Arial"/>
        </w:rPr>
      </w:pPr>
      <w:r w:rsidRPr="00706F48">
        <w:rPr>
          <w:rFonts w:ascii="Arial" w:hAnsi="Arial" w:cs="Arial"/>
          <w:b/>
          <w:bCs/>
        </w:rPr>
        <w:t>Employers and Organizations:</w:t>
      </w:r>
      <w:r w:rsidRPr="00706F48">
        <w:rPr>
          <w:rFonts w:ascii="Arial" w:hAnsi="Arial" w:cs="Arial"/>
        </w:rPr>
        <w:t xml:space="preserve"> </w:t>
      </w:r>
      <w:r w:rsidR="00706F48" w:rsidRPr="00706F48">
        <w:rPr>
          <w:rFonts w:ascii="Arial" w:hAnsi="Arial" w:cs="Arial"/>
        </w:rPr>
        <w:t>Interested in refining internship programs, recruitment strategies, and talent retention.</w:t>
      </w:r>
    </w:p>
    <w:p w14:paraId="0C715494" w14:textId="3066C86D" w:rsidR="00BA6BF5" w:rsidRPr="00BE3070" w:rsidRDefault="00397D59" w:rsidP="00BE3070">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B88A3C5" w14:textId="5555E970" w:rsidR="006059C0" w:rsidRPr="00392480" w:rsidRDefault="00861C83" w:rsidP="00392480">
      <w:pPr>
        <w:pStyle w:val="ListParagraph"/>
        <w:numPr>
          <w:ilvl w:val="0"/>
          <w:numId w:val="33"/>
        </w:numPr>
        <w:jc w:val="both"/>
        <w:rPr>
          <w:rFonts w:ascii="Arial" w:hAnsi="Arial" w:cs="Arial"/>
        </w:rPr>
      </w:pPr>
      <w:r w:rsidRPr="00392480">
        <w:rPr>
          <w:rFonts w:ascii="Arial" w:hAnsi="Arial" w:cs="Arial"/>
          <w:b/>
          <w:bCs/>
        </w:rPr>
        <w:t>Understanding Scholastic Performance</w:t>
      </w:r>
      <w:r w:rsidRPr="00392480">
        <w:rPr>
          <w:rFonts w:ascii="Arial" w:hAnsi="Arial" w:cs="Arial"/>
          <w:b/>
          <w:bCs/>
          <w:color w:val="595959" w:themeColor="text1" w:themeTint="A6"/>
        </w:rPr>
        <w:t>:</w:t>
      </w:r>
      <w:r w:rsidRPr="00392480">
        <w:rPr>
          <w:rFonts w:ascii="Arial" w:hAnsi="Arial" w:cs="Arial"/>
          <w:color w:val="595959" w:themeColor="text1" w:themeTint="A6"/>
        </w:rPr>
        <w:t xml:space="preserve"> Analy</w:t>
      </w:r>
      <w:r w:rsidR="00C20AFB" w:rsidRPr="00392480">
        <w:rPr>
          <w:rFonts w:ascii="Arial" w:hAnsi="Arial" w:cs="Arial"/>
          <w:color w:val="595959" w:themeColor="text1" w:themeTint="A6"/>
        </w:rPr>
        <w:t>s</w:t>
      </w:r>
      <w:r w:rsidRPr="00392480">
        <w:rPr>
          <w:rFonts w:ascii="Arial" w:hAnsi="Arial" w:cs="Arial"/>
          <w:color w:val="595959" w:themeColor="text1" w:themeTint="A6"/>
        </w:rPr>
        <w:t xml:space="preserve">e academic records to identify patterns and trends in student interns' scholastic achievements, including GPA, </w:t>
      </w:r>
      <w:r w:rsidR="00C20AFB" w:rsidRPr="00392480">
        <w:rPr>
          <w:rFonts w:ascii="Arial" w:hAnsi="Arial" w:cs="Arial"/>
          <w:color w:val="595959" w:themeColor="text1" w:themeTint="A6"/>
        </w:rPr>
        <w:t>experience in programming languages</w:t>
      </w:r>
      <w:r w:rsidRPr="00392480">
        <w:rPr>
          <w:rFonts w:ascii="Arial" w:hAnsi="Arial" w:cs="Arial"/>
          <w:color w:val="595959" w:themeColor="text1" w:themeTint="A6"/>
        </w:rPr>
        <w:t xml:space="preserve">, </w:t>
      </w:r>
      <w:r w:rsidR="00C20AFB" w:rsidRPr="00392480">
        <w:rPr>
          <w:rFonts w:ascii="Arial" w:hAnsi="Arial" w:cs="Arial"/>
          <w:color w:val="595959" w:themeColor="text1" w:themeTint="A6"/>
        </w:rPr>
        <w:t>leadership skills</w:t>
      </w:r>
      <w:r w:rsidRPr="00392480">
        <w:rPr>
          <w:rFonts w:ascii="Arial" w:hAnsi="Arial" w:cs="Arial"/>
          <w:color w:val="595959" w:themeColor="text1" w:themeTint="A6"/>
        </w:rPr>
        <w:t>.</w:t>
      </w:r>
      <w:r w:rsidR="00C20AFB" w:rsidRPr="00392480">
        <w:rPr>
          <w:rFonts w:ascii="Arial" w:hAnsi="Arial" w:cs="Arial"/>
          <w:color w:val="595959" w:themeColor="text1" w:themeTint="A6"/>
        </w:rPr>
        <w:t xml:space="preserve">  </w:t>
      </w:r>
    </w:p>
    <w:p w14:paraId="59D01A93" w14:textId="58249600" w:rsidR="00C20AFB" w:rsidRDefault="00392480" w:rsidP="00392480">
      <w:pPr>
        <w:pStyle w:val="ListParagraph"/>
        <w:numPr>
          <w:ilvl w:val="0"/>
          <w:numId w:val="33"/>
        </w:numPr>
        <w:jc w:val="both"/>
        <w:rPr>
          <w:rFonts w:ascii="Arial" w:hAnsi="Arial" w:cs="Arial"/>
        </w:rPr>
      </w:pPr>
      <w:r w:rsidRPr="00392480">
        <w:rPr>
          <w:rFonts w:ascii="Arial" w:hAnsi="Arial" w:cs="Arial"/>
          <w:b/>
          <w:bCs/>
        </w:rPr>
        <w:t>Event Engagement Analysis:</w:t>
      </w:r>
      <w:r w:rsidRPr="00392480">
        <w:rPr>
          <w:rFonts w:ascii="Arial" w:hAnsi="Arial" w:cs="Arial"/>
        </w:rPr>
        <w:t xml:space="preserve"> Explore the extent of student interns' involvement in extracurricular events</w:t>
      </w:r>
      <w:r w:rsidR="00334B0D">
        <w:rPr>
          <w:rFonts w:ascii="Arial" w:hAnsi="Arial" w:cs="Arial"/>
        </w:rPr>
        <w:t xml:space="preserve"> </w:t>
      </w:r>
      <w:r w:rsidRPr="00392480">
        <w:rPr>
          <w:rFonts w:ascii="Arial" w:hAnsi="Arial" w:cs="Arial"/>
        </w:rPr>
        <w:t>and assess how their participation correlates with academic success and career goals.</w:t>
      </w:r>
    </w:p>
    <w:p w14:paraId="34C77658" w14:textId="51D7B9FD" w:rsidR="00392480" w:rsidRPr="00392480" w:rsidRDefault="00075D1C" w:rsidP="00392480">
      <w:pPr>
        <w:pStyle w:val="ListParagraph"/>
        <w:numPr>
          <w:ilvl w:val="0"/>
          <w:numId w:val="33"/>
        </w:numPr>
        <w:jc w:val="both"/>
        <w:rPr>
          <w:rFonts w:ascii="Arial" w:hAnsi="Arial" w:cs="Arial"/>
        </w:rPr>
      </w:pPr>
      <w:r w:rsidRPr="00075D1C">
        <w:rPr>
          <w:rFonts w:ascii="Arial" w:hAnsi="Arial" w:cs="Arial"/>
          <w:b/>
          <w:bCs/>
        </w:rPr>
        <w:t>Recommendations</w:t>
      </w:r>
      <w:r w:rsidRPr="00075D1C">
        <w:rPr>
          <w:rFonts w:ascii="Arial" w:hAnsi="Arial" w:cs="Arial"/>
        </w:rPr>
        <w:t>: Based on the findings, provide actionable recommendations for educational institutions, employers, and policymakers to enhance the intern experience and support student success.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65CD52EC" w14:textId="639CCFA4" w:rsidR="00EF006B" w:rsidRPr="00BE3070" w:rsidRDefault="00ED01C9" w:rsidP="00BE3070">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57FD1A23" w14:textId="1FA3761D" w:rsidR="00EF006B" w:rsidRPr="00EF006B" w:rsidRDefault="00EF006B" w:rsidP="00EF006B">
      <w:pPr>
        <w:pStyle w:val="ListParagraph"/>
        <w:numPr>
          <w:ilvl w:val="0"/>
          <w:numId w:val="38"/>
        </w:numPr>
        <w:jc w:val="both"/>
        <w:rPr>
          <w:rFonts w:ascii="Arial" w:hAnsi="Arial" w:cs="Arial"/>
          <w:color w:val="595959" w:themeColor="text1" w:themeTint="A6"/>
          <w:lang w:val="en-US"/>
        </w:rPr>
      </w:pPr>
      <w:r w:rsidRPr="00EF006B">
        <w:rPr>
          <w:rFonts w:ascii="Arial" w:hAnsi="Arial" w:cs="Arial"/>
          <w:b/>
          <w:bCs/>
          <w:color w:val="595959" w:themeColor="text1" w:themeTint="A6"/>
          <w:lang w:val="en-US"/>
        </w:rPr>
        <w:t xml:space="preserve">Considerations: </w:t>
      </w:r>
      <w:r w:rsidRPr="00EF006B">
        <w:rPr>
          <w:rFonts w:ascii="Arial" w:hAnsi="Arial" w:cs="Arial"/>
          <w:color w:val="595959" w:themeColor="text1" w:themeTint="A6"/>
          <w:lang w:val="en-US"/>
        </w:rPr>
        <w:t>A critical consideration for the success of this data analysis project is the inherent reliance on accurate and complete data, hinging on the assumption that student interns will provide reliable information. Ensuring data integrity and addressing potential reporting biases is paramount, as any inaccuracies or omissions could compromise the validity of the insights gained.</w:t>
      </w:r>
      <w:r w:rsidR="00406E8B" w:rsidRPr="00406E8B">
        <w:t xml:space="preserve"> </w:t>
      </w:r>
      <w:r w:rsidR="00752BD9">
        <w:rPr>
          <w:rFonts w:ascii="Arial" w:hAnsi="Arial" w:cs="Arial"/>
          <w:color w:val="595959" w:themeColor="text1" w:themeTint="A6"/>
          <w:lang w:val="en-US"/>
        </w:rPr>
        <w:t xml:space="preserve">The </w:t>
      </w:r>
      <w:r w:rsidR="00406E8B" w:rsidRPr="00406E8B">
        <w:rPr>
          <w:rFonts w:ascii="Arial" w:hAnsi="Arial" w:cs="Arial"/>
          <w:color w:val="595959" w:themeColor="text1" w:themeTint="A6"/>
          <w:lang w:val="en-US"/>
        </w:rPr>
        <w:t>project's success in optimizing programs and improving outcomes depends on the trustworthiness of the underlying data and the project's ability to translate findings into actionable steps for program enhancement.</w:t>
      </w:r>
    </w:p>
    <w:p w14:paraId="4F00A4EC" w14:textId="77777777" w:rsidR="00ED01C9" w:rsidRDefault="00ED01C9" w:rsidP="00682147">
      <w:pPr>
        <w:ind w:left="273" w:firstLine="720"/>
        <w:rPr>
          <w:rFonts w:ascii="Arial" w:hAnsi="Arial" w:cs="Arial"/>
          <w:color w:val="595959" w:themeColor="text1" w:themeTint="A6"/>
          <w:highlight w:val="yellow"/>
        </w:rPr>
      </w:pPr>
    </w:p>
    <w:p w14:paraId="3CE31A23" w14:textId="08AD51AA" w:rsidR="00682147" w:rsidRPr="00DD4E76" w:rsidRDefault="00DD4E76" w:rsidP="00DD4E76">
      <w:pPr>
        <w:pStyle w:val="ListParagraph"/>
        <w:numPr>
          <w:ilvl w:val="0"/>
          <w:numId w:val="35"/>
        </w:numPr>
        <w:jc w:val="both"/>
        <w:rPr>
          <w:rFonts w:ascii="Arial" w:hAnsi="Arial" w:cs="Arial"/>
          <w:color w:val="595959" w:themeColor="text1" w:themeTint="A6"/>
        </w:rPr>
      </w:pPr>
      <w:r w:rsidRPr="00DD4E76">
        <w:rPr>
          <w:rFonts w:ascii="Arial" w:hAnsi="Arial" w:cs="Arial"/>
          <w:b/>
          <w:bCs/>
          <w:color w:val="595959" w:themeColor="text1" w:themeTint="A6"/>
        </w:rPr>
        <w:t>Assumptions:</w:t>
      </w:r>
      <w:r>
        <w:rPr>
          <w:rFonts w:ascii="Arial" w:hAnsi="Arial" w:cs="Arial"/>
          <w:color w:val="595959" w:themeColor="text1" w:themeTint="A6"/>
        </w:rPr>
        <w:t xml:space="preserve"> </w:t>
      </w:r>
      <w:r w:rsidRPr="00DD4E76">
        <w:rPr>
          <w:rFonts w:ascii="Arial" w:hAnsi="Arial" w:cs="Arial"/>
          <w:color w:val="595959" w:themeColor="text1" w:themeTint="A6"/>
        </w:rPr>
        <w:t>The project assumes that student interns will provide accurate and complete information for analysis. It also assumes that the data sources required for the analysis, such as academic records, event participation logs, and career aspiration surveys, are readily accessible and reliable. Furthermore, the assumption is made that the identified success factors from the analysis will be actionable and have a direct influence on program optimization.</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28C92908" w14:textId="77CB50FC" w:rsidR="00401CAB" w:rsidRDefault="000F7EB0" w:rsidP="00333C33">
      <w:pPr>
        <w:pStyle w:val="ListParagraph"/>
        <w:numPr>
          <w:ilvl w:val="0"/>
          <w:numId w:val="35"/>
        </w:numPr>
        <w:jc w:val="both"/>
        <w:rPr>
          <w:rFonts w:ascii="Arial" w:hAnsi="Arial" w:cs="Arial"/>
          <w:color w:val="595959" w:themeColor="text1" w:themeTint="A6"/>
        </w:rPr>
      </w:pPr>
      <w:r w:rsidRPr="00333C33">
        <w:rPr>
          <w:rFonts w:ascii="Arial" w:hAnsi="Arial" w:cs="Arial"/>
          <w:color w:val="595959" w:themeColor="text1" w:themeTint="A6"/>
        </w:rPr>
        <w:t>The approach for this data analysis project involves a comprehensive and multi-faceted strategy. Initially, diverse dataset is gathered encompassing</w:t>
      </w:r>
      <w:r w:rsidR="0032406B" w:rsidRPr="00333C33">
        <w:rPr>
          <w:rFonts w:ascii="Arial" w:hAnsi="Arial" w:cs="Arial"/>
          <w:color w:val="595959" w:themeColor="text1" w:themeTint="A6"/>
        </w:rPr>
        <w:t xml:space="preserve"> academic CGPAs</w:t>
      </w:r>
      <w:r w:rsidRPr="00333C33">
        <w:rPr>
          <w:rFonts w:ascii="Arial" w:hAnsi="Arial" w:cs="Arial"/>
          <w:color w:val="595959" w:themeColor="text1" w:themeTint="A6"/>
        </w:rPr>
        <w:t xml:space="preserve">, event </w:t>
      </w:r>
      <w:r w:rsidR="0032406B" w:rsidRPr="00333C33">
        <w:rPr>
          <w:rFonts w:ascii="Arial" w:hAnsi="Arial" w:cs="Arial"/>
          <w:color w:val="595959" w:themeColor="text1" w:themeTint="A6"/>
        </w:rPr>
        <w:t xml:space="preserve">interests and </w:t>
      </w:r>
      <w:r w:rsidRPr="00333C33">
        <w:rPr>
          <w:rFonts w:ascii="Arial" w:hAnsi="Arial" w:cs="Arial"/>
          <w:color w:val="595959" w:themeColor="text1" w:themeTint="A6"/>
        </w:rPr>
        <w:t xml:space="preserve">participation records, </w:t>
      </w:r>
      <w:r w:rsidR="008A1B0E" w:rsidRPr="00333C33">
        <w:rPr>
          <w:rFonts w:ascii="Arial" w:hAnsi="Arial" w:cs="Arial"/>
          <w:color w:val="595959" w:themeColor="text1" w:themeTint="A6"/>
        </w:rPr>
        <w:t>experience in programming</w:t>
      </w:r>
      <w:r w:rsidR="0032406B" w:rsidRPr="00333C33">
        <w:rPr>
          <w:rFonts w:ascii="Arial" w:hAnsi="Arial" w:cs="Arial"/>
          <w:color w:val="595959" w:themeColor="text1" w:themeTint="A6"/>
        </w:rPr>
        <w:t>,</w:t>
      </w:r>
      <w:r w:rsidR="008A1B0E" w:rsidRPr="00333C33">
        <w:rPr>
          <w:rFonts w:ascii="Arial" w:hAnsi="Arial" w:cs="Arial"/>
          <w:color w:val="595959" w:themeColor="text1" w:themeTint="A6"/>
        </w:rPr>
        <w:t xml:space="preserve"> </w:t>
      </w:r>
      <w:r w:rsidRPr="00333C33">
        <w:rPr>
          <w:rFonts w:ascii="Arial" w:hAnsi="Arial" w:cs="Arial"/>
          <w:color w:val="595959" w:themeColor="text1" w:themeTint="A6"/>
        </w:rPr>
        <w:t>career ambition surveys, and relevant determinants.</w:t>
      </w:r>
      <w:r w:rsidR="00333C33" w:rsidRPr="00333C33">
        <w:rPr>
          <w:rFonts w:ascii="Arial" w:hAnsi="Arial" w:cs="Arial"/>
          <w:color w:val="595959" w:themeColor="text1" w:themeTint="A6"/>
        </w:rPr>
        <w:t xml:space="preserve"> Then employ statistical techniques </w:t>
      </w:r>
      <w:r w:rsidR="00A91A48">
        <w:rPr>
          <w:rFonts w:ascii="Arial" w:hAnsi="Arial" w:cs="Arial"/>
          <w:color w:val="595959" w:themeColor="text1" w:themeTint="A6"/>
        </w:rPr>
        <w:t xml:space="preserve">and </w:t>
      </w:r>
      <w:r w:rsidR="00DC32FF">
        <w:rPr>
          <w:rFonts w:ascii="Arial" w:hAnsi="Arial" w:cs="Arial"/>
          <w:color w:val="595959" w:themeColor="text1" w:themeTint="A6"/>
        </w:rPr>
        <w:t xml:space="preserve">visualization methods </w:t>
      </w:r>
      <w:r w:rsidR="00333C33" w:rsidRPr="00333C33">
        <w:rPr>
          <w:rFonts w:ascii="Arial" w:hAnsi="Arial" w:cs="Arial"/>
          <w:color w:val="595959" w:themeColor="text1" w:themeTint="A6"/>
        </w:rPr>
        <w:t>to uncover meaningful patterns and relationships within the data.</w:t>
      </w:r>
      <w:r w:rsidR="006E584F">
        <w:rPr>
          <w:rFonts w:ascii="Arial" w:hAnsi="Arial" w:cs="Arial"/>
          <w:color w:val="595959" w:themeColor="text1" w:themeTint="A6"/>
        </w:rPr>
        <w:t xml:space="preserve"> </w:t>
      </w:r>
      <w:r w:rsidR="006E584F" w:rsidRPr="006E584F">
        <w:rPr>
          <w:rFonts w:ascii="Arial" w:hAnsi="Arial" w:cs="Arial"/>
          <w:color w:val="595959" w:themeColor="text1" w:themeTint="A6"/>
        </w:rPr>
        <w:t>This analysis will encompass descriptive statistics to profile student interns,</w:t>
      </w:r>
      <w:r w:rsidR="006E584F">
        <w:rPr>
          <w:rFonts w:ascii="Arial" w:hAnsi="Arial" w:cs="Arial"/>
          <w:color w:val="595959" w:themeColor="text1" w:themeTint="A6"/>
        </w:rPr>
        <w:t xml:space="preserve"> to identify </w:t>
      </w:r>
      <w:r w:rsidR="00256D0B">
        <w:rPr>
          <w:rFonts w:ascii="Arial" w:hAnsi="Arial" w:cs="Arial"/>
          <w:color w:val="595959" w:themeColor="text1" w:themeTint="A6"/>
        </w:rPr>
        <w:t>factors influencing their achievements,</w:t>
      </w:r>
      <w:r w:rsidR="00DC32FF">
        <w:rPr>
          <w:rFonts w:ascii="Arial" w:hAnsi="Arial" w:cs="Arial"/>
          <w:color w:val="595959" w:themeColor="text1" w:themeTint="A6"/>
        </w:rPr>
        <w:t xml:space="preserve"> leadership skills, and expected salaries</w:t>
      </w:r>
      <w:r w:rsidR="00C40C29">
        <w:rPr>
          <w:rFonts w:ascii="Arial" w:hAnsi="Arial" w:cs="Arial"/>
          <w:color w:val="595959" w:themeColor="text1" w:themeTint="A6"/>
        </w:rPr>
        <w:t xml:space="preserve">. </w:t>
      </w:r>
      <w:r w:rsidR="00C40C29" w:rsidRPr="00C40C29">
        <w:rPr>
          <w:rFonts w:ascii="Arial" w:hAnsi="Arial" w:cs="Arial"/>
          <w:color w:val="595959" w:themeColor="text1" w:themeTint="A6"/>
        </w:rPr>
        <w:t>The ultimate goal is to derive actionable insights that inform educational institutions, employers, and policymakers, facilitating program optimization and better support for student interns in their academic and career endeavo</w:t>
      </w:r>
      <w:r w:rsidR="001748FE">
        <w:rPr>
          <w:rFonts w:ascii="Arial" w:hAnsi="Arial" w:cs="Arial"/>
          <w:color w:val="595959" w:themeColor="text1" w:themeTint="A6"/>
        </w:rPr>
        <w:t>u</w:t>
      </w:r>
      <w:r w:rsidR="00C40C29" w:rsidRPr="00C40C29">
        <w:rPr>
          <w:rFonts w:ascii="Arial" w:hAnsi="Arial" w:cs="Arial"/>
          <w:color w:val="595959" w:themeColor="text1" w:themeTint="A6"/>
        </w:rPr>
        <w:t>rs.</w:t>
      </w:r>
      <w:r w:rsidR="00256D0B">
        <w:rPr>
          <w:rFonts w:ascii="Arial" w:hAnsi="Arial" w:cs="Arial"/>
          <w:color w:val="595959" w:themeColor="text1" w:themeTint="A6"/>
        </w:rPr>
        <w:t xml:space="preserve"> </w:t>
      </w:r>
    </w:p>
    <w:p w14:paraId="5B88481A" w14:textId="77777777" w:rsidR="00333C33" w:rsidRPr="00333C33" w:rsidRDefault="00333C33" w:rsidP="00333C33">
      <w:pPr>
        <w:pStyle w:val="ListParagraph"/>
        <w:ind w:left="720"/>
        <w:jc w:val="both"/>
        <w:rPr>
          <w:rFonts w:ascii="Arial" w:hAnsi="Arial" w:cs="Arial"/>
          <w:color w:val="595959" w:themeColor="text1" w:themeTint="A6"/>
        </w:rPr>
      </w:pPr>
    </w:p>
    <w:p w14:paraId="3B867CB3" w14:textId="1FADCB0A" w:rsidR="007025D3" w:rsidRPr="00BE3070" w:rsidRDefault="00401CAB" w:rsidP="00BE3070">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65237B40" w14:textId="40EB9959" w:rsidR="007025D3" w:rsidRPr="007025D3" w:rsidRDefault="007025D3" w:rsidP="007025D3">
      <w:pPr>
        <w:pStyle w:val="ListParagraph"/>
        <w:numPr>
          <w:ilvl w:val="0"/>
          <w:numId w:val="35"/>
        </w:numPr>
        <w:jc w:val="both"/>
        <w:rPr>
          <w:rFonts w:ascii="Arial" w:hAnsi="Arial" w:cs="Arial"/>
          <w:color w:val="595959" w:themeColor="text1" w:themeTint="A6"/>
        </w:rPr>
      </w:pPr>
      <w:r w:rsidRPr="007025D3">
        <w:rPr>
          <w:rFonts w:ascii="Arial" w:hAnsi="Arial" w:cs="Arial"/>
          <w:color w:val="595959" w:themeColor="text1" w:themeTint="A6"/>
        </w:rPr>
        <w:t xml:space="preserve">The data analysis project will commence with a meticulous requirement gathering phase, wherein we collaborate closely with educational institutions, employers, and student interns to define the scope, objectives, and data sources. Following this, we will undertake comprehensive planning, outlining the project timeline, resource allocation, and methodology. Data collection will involve acquiring academic records, event participation data, career ambition surveys, and relevant determinants while ensuring data privacy and ethical considerations. Once </w:t>
      </w:r>
      <w:r w:rsidR="00720C50">
        <w:rPr>
          <w:rFonts w:ascii="Arial" w:hAnsi="Arial" w:cs="Arial"/>
          <w:color w:val="595959" w:themeColor="text1" w:themeTint="A6"/>
        </w:rPr>
        <w:t>done with this</w:t>
      </w:r>
      <w:r w:rsidRPr="007025D3">
        <w:rPr>
          <w:rFonts w:ascii="Arial" w:hAnsi="Arial" w:cs="Arial"/>
          <w:color w:val="595959" w:themeColor="text1" w:themeTint="A6"/>
        </w:rPr>
        <w:t xml:space="preserve">, we will proceed with data cleaning and preprocessing to guarantee its quality and consistency. The core analysis will encompass statistical and </w:t>
      </w:r>
      <w:r w:rsidR="00720C50">
        <w:rPr>
          <w:rFonts w:ascii="Arial" w:hAnsi="Arial" w:cs="Arial"/>
          <w:color w:val="595959" w:themeColor="text1" w:themeTint="A6"/>
        </w:rPr>
        <w:t>visualization</w:t>
      </w:r>
      <w:r w:rsidRPr="007025D3">
        <w:rPr>
          <w:rFonts w:ascii="Arial" w:hAnsi="Arial" w:cs="Arial"/>
          <w:color w:val="595959" w:themeColor="text1" w:themeTint="A6"/>
        </w:rPr>
        <w:t xml:space="preserve"> techniques</w:t>
      </w:r>
      <w:r w:rsidR="005566EB">
        <w:rPr>
          <w:rFonts w:ascii="Arial" w:hAnsi="Arial" w:cs="Arial"/>
          <w:color w:val="595959" w:themeColor="text1" w:themeTint="A6"/>
        </w:rPr>
        <w:t xml:space="preserve"> </w:t>
      </w:r>
      <w:r w:rsidRPr="007025D3">
        <w:rPr>
          <w:rFonts w:ascii="Arial" w:hAnsi="Arial" w:cs="Arial"/>
          <w:color w:val="595959" w:themeColor="text1" w:themeTint="A6"/>
        </w:rPr>
        <w:t>and potentially qualitative survey or interview analysis. Finally, the project will conclude with the synthesis of insights into actionable recommendations for educational institutions, employers, and policymakers to enhance the support and success of student interns.</w:t>
      </w:r>
    </w:p>
    <w:p w14:paraId="220BE30C" w14:textId="77777777" w:rsidR="00401CAB" w:rsidRPr="00ED01C9" w:rsidRDefault="00401CAB" w:rsidP="007025D3">
      <w:pPr>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98325D1" w14:textId="7FDA421D" w:rsidR="00991F49" w:rsidRPr="002B7ADE" w:rsidRDefault="002B7ADE" w:rsidP="002B7ADE">
      <w:pPr>
        <w:pStyle w:val="ListParagraph"/>
        <w:numPr>
          <w:ilvl w:val="0"/>
          <w:numId w:val="35"/>
        </w:numPr>
        <w:spacing w:after="120"/>
        <w:jc w:val="both"/>
        <w:textAlignment w:val="baseline"/>
        <w:rPr>
          <w:rFonts w:ascii="Arial" w:hAnsi="Arial" w:cs="Arial"/>
          <w:color w:val="595959" w:themeColor="text1" w:themeTint="A6"/>
        </w:rPr>
      </w:pPr>
      <w:r w:rsidRPr="002B7ADE">
        <w:rPr>
          <w:rFonts w:ascii="Arial" w:hAnsi="Arial" w:cs="Arial"/>
          <w:color w:val="595959" w:themeColor="text1" w:themeTint="A6"/>
        </w:rPr>
        <w:t xml:space="preserve">The targeted output for this data analysis project was to unearth comprehensive insights into the interrelationships among student interns' scholastic achievements, event engagement, career aspirations, and the determinants shaping their accomplishments. Through a rigorous analysis of diverse datasets and the application of advanced statistical and </w:t>
      </w:r>
      <w:r>
        <w:rPr>
          <w:rFonts w:ascii="Arial" w:hAnsi="Arial" w:cs="Arial"/>
          <w:color w:val="595959" w:themeColor="text1" w:themeTint="A6"/>
        </w:rPr>
        <w:t>visualization</w:t>
      </w:r>
      <w:r w:rsidRPr="002B7ADE">
        <w:rPr>
          <w:rFonts w:ascii="Arial" w:hAnsi="Arial" w:cs="Arial"/>
          <w:color w:val="595959" w:themeColor="text1" w:themeTint="A6"/>
        </w:rPr>
        <w:t xml:space="preserve"> techniques, the project successfully achieved its objectives. It unveiled key determinants influencing student intern success, including the impact of event participation on academic performance and career goals. Furthermore, it identified actionable recommendations for educational institutions, employers, and policymakers to enhance support structures for student interns. The project's output not only met but exceeded its targeted goals, providing a robust foundation for future research and program enhancements in the realm of student internships and career development.</w:t>
      </w:r>
    </w:p>
    <w:p w14:paraId="4A6DA8E9" w14:textId="76C221CA" w:rsidR="00596DC3" w:rsidRPr="00BE3070" w:rsidRDefault="00991F49" w:rsidP="00BE3070">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4A9120BB" w14:textId="38DA2126" w:rsidR="00991F49" w:rsidRPr="00596DC3" w:rsidRDefault="00596DC3" w:rsidP="00596DC3">
      <w:pPr>
        <w:pStyle w:val="ListParagraph"/>
        <w:widowControl w:val="0"/>
        <w:numPr>
          <w:ilvl w:val="0"/>
          <w:numId w:val="35"/>
        </w:numPr>
        <w:autoSpaceDE w:val="0"/>
        <w:autoSpaceDN w:val="0"/>
        <w:jc w:val="both"/>
        <w:rPr>
          <w:rFonts w:ascii="Arial" w:hAnsi="Arial" w:cs="Arial"/>
          <w:color w:val="595959" w:themeColor="text1" w:themeTint="A6"/>
        </w:rPr>
      </w:pPr>
      <w:r w:rsidRPr="00596DC3">
        <w:rPr>
          <w:rFonts w:ascii="Arial" w:hAnsi="Arial" w:cs="Arial"/>
          <w:color w:val="595959" w:themeColor="text1" w:themeTint="A6"/>
        </w:rPr>
        <w:t xml:space="preserve">In conclusion, the comprehensive analysis of student interns has yielded invaluable insights into the intricate web of factors shaping their scholastic achievements, event engagement, career ambitions, and the determinants influencing their accomplishments. These insights hold substantial utility for stakeholders involved, including educational institutions, employers, and policymakers. Educational institutions can refine academic programs and support services, employers can optimize recruitment strategies, and policymakers can make informed decisions to foster a nurturing environment for student success. As for future scope, this project lays the foundation for ongoing research and data collection, enabling a continuous cycle of improvement in educational and career development practices, ultimately benefiting future generations of students and professionals by enhancing their educational and career experiences. </w:t>
      </w:r>
      <w:r w:rsidR="00991F49" w:rsidRPr="00596DC3">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7C089D"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sidRPr="007C089D">
        <w:rPr>
          <w:rFonts w:ascii="Arial" w:hAnsi="Arial" w:cs="Arial"/>
          <w:b/>
          <w:bCs/>
          <w:color w:val="FFB923" w:themeColor="accent4"/>
          <w:sz w:val="28"/>
          <w:szCs w:val="28"/>
        </w:rPr>
        <w:t>APPENDICES</w:t>
      </w:r>
      <w:bookmarkEnd w:id="12"/>
    </w:p>
    <w:p w14:paraId="436992D6" w14:textId="7BF125D2" w:rsidR="0007654E" w:rsidRPr="005E475A" w:rsidRDefault="0007654E" w:rsidP="0007654E">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395F88">
        <w:rPr>
          <w:rFonts w:ascii="Arial" w:eastAsia="Times New Roman" w:hAnsi="Arial" w:cs="Arial"/>
        </w:rPr>
        <w:t>Data Sources and Collection</w:t>
      </w:r>
      <w:r w:rsidRPr="00373485">
        <w:rPr>
          <w:rFonts w:ascii="Arial" w:eastAsia="Times New Roman" w:hAnsi="Arial" w:cs="Arial"/>
        </w:rPr>
        <w:br/>
      </w:r>
    </w:p>
    <w:tbl>
      <w:tblPr>
        <w:tblStyle w:val="TableGrid0"/>
        <w:tblW w:w="0" w:type="auto"/>
        <w:tblLook w:val="04A0" w:firstRow="1" w:lastRow="0" w:firstColumn="1" w:lastColumn="0" w:noHBand="0" w:noVBand="1"/>
      </w:tblPr>
      <w:tblGrid>
        <w:gridCol w:w="2547"/>
        <w:gridCol w:w="6473"/>
      </w:tblGrid>
      <w:tr w:rsidR="0057434A" w14:paraId="6E7A81E2" w14:textId="77777777" w:rsidTr="0057434A">
        <w:tc>
          <w:tcPr>
            <w:tcW w:w="2547" w:type="dxa"/>
          </w:tcPr>
          <w:p w14:paraId="76AC0B61" w14:textId="2A6F1398" w:rsidR="0057434A" w:rsidRDefault="0057434A" w:rsidP="0007654E">
            <w:pPr>
              <w:rPr>
                <w:rFonts w:ascii="Arial" w:hAnsi="Arial" w:cs="Arial"/>
                <w:color w:val="595959" w:themeColor="text1" w:themeTint="A6"/>
              </w:rPr>
            </w:pPr>
            <w:r>
              <w:rPr>
                <w:rFonts w:ascii="Arial" w:hAnsi="Arial" w:cs="Arial"/>
                <w:color w:val="595959" w:themeColor="text1" w:themeTint="A6"/>
              </w:rPr>
              <w:t>Academic Records</w:t>
            </w:r>
          </w:p>
        </w:tc>
        <w:tc>
          <w:tcPr>
            <w:tcW w:w="6473" w:type="dxa"/>
          </w:tcPr>
          <w:p w14:paraId="413D79E8" w14:textId="322D3578" w:rsidR="0057434A" w:rsidRDefault="00B53EA6" w:rsidP="00B53EA6">
            <w:pPr>
              <w:jc w:val="both"/>
              <w:rPr>
                <w:rFonts w:ascii="Arial" w:hAnsi="Arial" w:cs="Arial"/>
                <w:color w:val="595959" w:themeColor="text1" w:themeTint="A6"/>
              </w:rPr>
            </w:pPr>
            <w:r w:rsidRPr="00B53EA6">
              <w:rPr>
                <w:rFonts w:ascii="Arial" w:hAnsi="Arial" w:cs="Arial"/>
                <w:color w:val="595959" w:themeColor="text1" w:themeTint="A6"/>
              </w:rPr>
              <w:t>Explanation of the data fields and sources used to gather information about scholastic achievements, such as GPA, coursework performance, and academic majors.</w:t>
            </w:r>
          </w:p>
        </w:tc>
      </w:tr>
      <w:tr w:rsidR="0057434A" w14:paraId="017F44A6" w14:textId="77777777" w:rsidTr="0057434A">
        <w:tc>
          <w:tcPr>
            <w:tcW w:w="2547" w:type="dxa"/>
          </w:tcPr>
          <w:p w14:paraId="6CD5BBAD" w14:textId="1E97D7C0" w:rsidR="0057434A" w:rsidRDefault="0057434A" w:rsidP="0007654E">
            <w:pPr>
              <w:rPr>
                <w:rFonts w:ascii="Arial" w:hAnsi="Arial" w:cs="Arial"/>
                <w:color w:val="595959" w:themeColor="text1" w:themeTint="A6"/>
              </w:rPr>
            </w:pPr>
            <w:r>
              <w:rPr>
                <w:rFonts w:ascii="Arial" w:hAnsi="Arial" w:cs="Arial"/>
                <w:color w:val="595959" w:themeColor="text1" w:themeTint="A6"/>
              </w:rPr>
              <w:t>Event Participation Logs</w:t>
            </w:r>
          </w:p>
        </w:tc>
        <w:tc>
          <w:tcPr>
            <w:tcW w:w="6473" w:type="dxa"/>
          </w:tcPr>
          <w:p w14:paraId="5E8DD05C" w14:textId="58A613CE" w:rsidR="0057434A" w:rsidRDefault="00CF23F0" w:rsidP="00CF23F0">
            <w:pPr>
              <w:jc w:val="both"/>
              <w:rPr>
                <w:rFonts w:ascii="Arial" w:hAnsi="Arial" w:cs="Arial"/>
                <w:color w:val="595959" w:themeColor="text1" w:themeTint="A6"/>
              </w:rPr>
            </w:pPr>
            <w:r w:rsidRPr="00CF23F0">
              <w:rPr>
                <w:rFonts w:ascii="Arial" w:hAnsi="Arial" w:cs="Arial"/>
                <w:color w:val="595959" w:themeColor="text1" w:themeTint="A6"/>
              </w:rPr>
              <w:t>Overview of the data collection process for event engagement, including the types of events, attendance records, and relevant timestamps.</w:t>
            </w:r>
          </w:p>
        </w:tc>
      </w:tr>
      <w:tr w:rsidR="0057434A" w14:paraId="1F174E74" w14:textId="77777777" w:rsidTr="0057434A">
        <w:tc>
          <w:tcPr>
            <w:tcW w:w="2547" w:type="dxa"/>
          </w:tcPr>
          <w:p w14:paraId="0A794503" w14:textId="0F62F6CE" w:rsidR="0057434A" w:rsidRDefault="005E475A" w:rsidP="0007654E">
            <w:pPr>
              <w:rPr>
                <w:rFonts w:ascii="Arial" w:hAnsi="Arial" w:cs="Arial"/>
                <w:color w:val="595959" w:themeColor="text1" w:themeTint="A6"/>
              </w:rPr>
            </w:pPr>
            <w:r>
              <w:rPr>
                <w:rFonts w:ascii="Arial" w:hAnsi="Arial" w:cs="Arial"/>
                <w:color w:val="595959" w:themeColor="text1" w:themeTint="A6"/>
              </w:rPr>
              <w:t>Career Aspiration Surveys</w:t>
            </w:r>
          </w:p>
        </w:tc>
        <w:tc>
          <w:tcPr>
            <w:tcW w:w="6473" w:type="dxa"/>
          </w:tcPr>
          <w:p w14:paraId="69593A1D" w14:textId="18916B13" w:rsidR="0057434A" w:rsidRDefault="003C2463" w:rsidP="003C2463">
            <w:pPr>
              <w:jc w:val="both"/>
              <w:rPr>
                <w:rFonts w:ascii="Arial" w:hAnsi="Arial" w:cs="Arial"/>
                <w:color w:val="595959" w:themeColor="text1" w:themeTint="A6"/>
              </w:rPr>
            </w:pPr>
            <w:r w:rsidRPr="003C2463">
              <w:rPr>
                <w:rFonts w:ascii="Arial" w:hAnsi="Arial" w:cs="Arial"/>
                <w:color w:val="595959" w:themeColor="text1" w:themeTint="A6"/>
              </w:rPr>
              <w:t>Details about the surveys conducted to gather information on student interns' career ambitions, motivations, and goals.</w:t>
            </w:r>
          </w:p>
        </w:tc>
      </w:tr>
      <w:tr w:rsidR="0057434A" w14:paraId="3EA17FCD" w14:textId="77777777" w:rsidTr="0057434A">
        <w:tc>
          <w:tcPr>
            <w:tcW w:w="2547" w:type="dxa"/>
          </w:tcPr>
          <w:p w14:paraId="5C29871D" w14:textId="5BFB6C3C" w:rsidR="0057434A" w:rsidRDefault="005E475A" w:rsidP="0007654E">
            <w:pPr>
              <w:rPr>
                <w:rFonts w:ascii="Arial" w:hAnsi="Arial" w:cs="Arial"/>
                <w:color w:val="595959" w:themeColor="text1" w:themeTint="A6"/>
              </w:rPr>
            </w:pPr>
            <w:r>
              <w:rPr>
                <w:rFonts w:ascii="Arial" w:hAnsi="Arial" w:cs="Arial"/>
                <w:color w:val="595959" w:themeColor="text1" w:themeTint="A6"/>
              </w:rPr>
              <w:t>Data Validation and Cleaning</w:t>
            </w:r>
          </w:p>
        </w:tc>
        <w:tc>
          <w:tcPr>
            <w:tcW w:w="6473" w:type="dxa"/>
          </w:tcPr>
          <w:p w14:paraId="40314E9C" w14:textId="532168C0" w:rsidR="0057434A" w:rsidRDefault="003C2463" w:rsidP="00B53EA6">
            <w:pPr>
              <w:tabs>
                <w:tab w:val="left" w:pos="2323"/>
              </w:tabs>
              <w:jc w:val="both"/>
              <w:rPr>
                <w:rFonts w:ascii="Arial" w:hAnsi="Arial" w:cs="Arial"/>
                <w:color w:val="595959" w:themeColor="text1" w:themeTint="A6"/>
              </w:rPr>
            </w:pPr>
            <w:r w:rsidRPr="003C2463">
              <w:rPr>
                <w:rFonts w:ascii="Arial" w:hAnsi="Arial" w:cs="Arial"/>
                <w:color w:val="595959" w:themeColor="text1" w:themeTint="A6"/>
              </w:rPr>
              <w:t>Description of the procedures implemented to verify data accuracy, address missing values, and handle any anomalies or inconsistencies.</w:t>
            </w:r>
            <w:r w:rsidR="00B53EA6">
              <w:rPr>
                <w:rFonts w:ascii="Arial" w:hAnsi="Arial" w:cs="Arial"/>
                <w:color w:val="595959" w:themeColor="text1" w:themeTint="A6"/>
              </w:rPr>
              <w:tab/>
            </w:r>
          </w:p>
        </w:tc>
      </w:tr>
    </w:tbl>
    <w:p w14:paraId="2BE767FF" w14:textId="77777777" w:rsidR="00395F88" w:rsidRDefault="00395F88" w:rsidP="0007654E">
      <w:pPr>
        <w:rPr>
          <w:rFonts w:ascii="Arial" w:hAnsi="Arial" w:cs="Arial"/>
          <w:color w:val="595959" w:themeColor="text1" w:themeTint="A6"/>
        </w:rPr>
      </w:pPr>
    </w:p>
    <w:p w14:paraId="37FCCF78" w14:textId="45B5DAA0" w:rsidR="003C2463" w:rsidRDefault="00EA3757" w:rsidP="002B204C">
      <w:pPr>
        <w:pStyle w:val="Heading2"/>
      </w:pPr>
      <w:r w:rsidRPr="00EA3757">
        <w:rPr>
          <w:rFonts w:eastAsia="Times New Roman"/>
        </w:rPr>
        <w:t xml:space="preserve">Appendix </w:t>
      </w:r>
      <w:r w:rsidRPr="00EA3757">
        <w:t>B</w:t>
      </w:r>
      <w:r w:rsidRPr="00EA3757">
        <w:rPr>
          <w:rFonts w:eastAsia="Times New Roman"/>
        </w:rPr>
        <w:t xml:space="preserve"> – </w:t>
      </w:r>
      <w:r w:rsidR="002B204C">
        <w:t>Results and Findings</w:t>
      </w:r>
    </w:p>
    <w:p w14:paraId="355980FB" w14:textId="77777777" w:rsidR="002B204C" w:rsidRDefault="002B204C" w:rsidP="0007654E">
      <w:pPr>
        <w:rPr>
          <w:rFonts w:ascii="Arial" w:hAnsi="Arial" w:cs="Arial"/>
          <w:b/>
          <w:bCs/>
          <w:color w:val="00B0F0"/>
        </w:rPr>
      </w:pPr>
    </w:p>
    <w:tbl>
      <w:tblPr>
        <w:tblStyle w:val="TableGrid0"/>
        <w:tblW w:w="0" w:type="auto"/>
        <w:tblLook w:val="04A0" w:firstRow="1" w:lastRow="0" w:firstColumn="1" w:lastColumn="0" w:noHBand="0" w:noVBand="1"/>
      </w:tblPr>
      <w:tblGrid>
        <w:gridCol w:w="2547"/>
        <w:gridCol w:w="6473"/>
      </w:tblGrid>
      <w:tr w:rsidR="002B204C" w14:paraId="725F1FE8" w14:textId="77777777" w:rsidTr="002B204C">
        <w:tc>
          <w:tcPr>
            <w:tcW w:w="2547" w:type="dxa"/>
          </w:tcPr>
          <w:p w14:paraId="13E71363" w14:textId="3E7854B2" w:rsidR="002B204C" w:rsidRDefault="00B17198" w:rsidP="00A24469">
            <w:pPr>
              <w:jc w:val="both"/>
              <w:rPr>
                <w:rFonts w:ascii="Arial" w:hAnsi="Arial" w:cs="Arial"/>
                <w:b/>
                <w:bCs/>
                <w:color w:val="00B0F0"/>
              </w:rPr>
            </w:pPr>
            <w:r w:rsidRPr="00925C76">
              <w:rPr>
                <w:rFonts w:ascii="Arial" w:hAnsi="Arial" w:cs="Arial"/>
                <w:color w:val="4C4C4C" w:themeColor="accent6" w:themeShade="BF"/>
              </w:rPr>
              <w:t>Scholastic Achievements Analysis</w:t>
            </w:r>
          </w:p>
        </w:tc>
        <w:tc>
          <w:tcPr>
            <w:tcW w:w="6473" w:type="dxa"/>
          </w:tcPr>
          <w:p w14:paraId="22DF7A2F" w14:textId="4ADA944E" w:rsidR="002B204C" w:rsidRPr="006A2E67" w:rsidRDefault="006A2E67" w:rsidP="00A24469">
            <w:pPr>
              <w:jc w:val="both"/>
              <w:rPr>
                <w:rFonts w:ascii="Arial" w:hAnsi="Arial" w:cs="Arial"/>
                <w:color w:val="00B0F0"/>
              </w:rPr>
            </w:pPr>
            <w:r w:rsidRPr="00925C76">
              <w:rPr>
                <w:rFonts w:ascii="Arial" w:hAnsi="Arial" w:cs="Arial"/>
                <w:color w:val="4C4C4C" w:themeColor="accent6" w:themeShade="BF"/>
              </w:rPr>
              <w:t>Presentation of insights related to academic performance and achievements.</w:t>
            </w:r>
          </w:p>
        </w:tc>
      </w:tr>
      <w:tr w:rsidR="002B204C" w14:paraId="3B4CCFCB" w14:textId="77777777" w:rsidTr="002B204C">
        <w:tc>
          <w:tcPr>
            <w:tcW w:w="2547" w:type="dxa"/>
          </w:tcPr>
          <w:p w14:paraId="46580862" w14:textId="637AFC4E" w:rsidR="002B204C" w:rsidRPr="00A24469" w:rsidRDefault="006B78BC" w:rsidP="00A24469">
            <w:pPr>
              <w:jc w:val="both"/>
              <w:rPr>
                <w:rFonts w:ascii="Arial" w:hAnsi="Arial" w:cs="Arial"/>
                <w:color w:val="4C4C4C" w:themeColor="accent6" w:themeShade="BF"/>
              </w:rPr>
            </w:pPr>
            <w:r w:rsidRPr="00A24469">
              <w:rPr>
                <w:rFonts w:ascii="Arial" w:hAnsi="Arial" w:cs="Arial"/>
                <w:color w:val="4C4C4C" w:themeColor="accent6" w:themeShade="BF"/>
              </w:rPr>
              <w:t>Event Engagement Analysis</w:t>
            </w:r>
          </w:p>
        </w:tc>
        <w:tc>
          <w:tcPr>
            <w:tcW w:w="6473" w:type="dxa"/>
          </w:tcPr>
          <w:p w14:paraId="3A46703E" w14:textId="4F96B3C2" w:rsidR="002B204C" w:rsidRPr="00A24469" w:rsidRDefault="006B78BC" w:rsidP="00A24469">
            <w:pPr>
              <w:jc w:val="both"/>
              <w:rPr>
                <w:rFonts w:ascii="Arial" w:hAnsi="Arial" w:cs="Arial"/>
                <w:color w:val="4C4C4C" w:themeColor="accent6" w:themeShade="BF"/>
              </w:rPr>
            </w:pPr>
            <w:r w:rsidRPr="00A24469">
              <w:rPr>
                <w:rFonts w:ascii="Arial" w:hAnsi="Arial" w:cs="Arial"/>
                <w:color w:val="4C4C4C" w:themeColor="accent6" w:themeShade="BF"/>
              </w:rPr>
              <w:t>Visual representation of event participation trends and their impact on student success.</w:t>
            </w:r>
          </w:p>
        </w:tc>
      </w:tr>
      <w:tr w:rsidR="002B204C" w14:paraId="200DED0D" w14:textId="77777777" w:rsidTr="002B204C">
        <w:tc>
          <w:tcPr>
            <w:tcW w:w="2547" w:type="dxa"/>
          </w:tcPr>
          <w:p w14:paraId="0CCC6D59" w14:textId="5D586F72" w:rsidR="002B204C" w:rsidRPr="00A24469" w:rsidRDefault="00A24469" w:rsidP="00A24469">
            <w:pPr>
              <w:jc w:val="both"/>
              <w:rPr>
                <w:rFonts w:ascii="Arial" w:hAnsi="Arial" w:cs="Arial"/>
                <w:color w:val="4C4C4C" w:themeColor="accent6" w:themeShade="BF"/>
              </w:rPr>
            </w:pPr>
            <w:r w:rsidRPr="00A24469">
              <w:rPr>
                <w:rFonts w:ascii="Arial" w:hAnsi="Arial" w:cs="Arial"/>
                <w:color w:val="4C4C4C" w:themeColor="accent6" w:themeShade="BF"/>
              </w:rPr>
              <w:t>Career Ambitions and Determinants</w:t>
            </w:r>
          </w:p>
        </w:tc>
        <w:tc>
          <w:tcPr>
            <w:tcW w:w="6473" w:type="dxa"/>
          </w:tcPr>
          <w:p w14:paraId="198BB791" w14:textId="5E2F72EA" w:rsidR="002B204C" w:rsidRPr="00A24469" w:rsidRDefault="00A24469" w:rsidP="00A24469">
            <w:pPr>
              <w:jc w:val="both"/>
              <w:rPr>
                <w:rFonts w:ascii="Arial" w:hAnsi="Arial" w:cs="Arial"/>
                <w:color w:val="4C4C4C" w:themeColor="accent6" w:themeShade="BF"/>
              </w:rPr>
            </w:pPr>
            <w:r w:rsidRPr="00A24469">
              <w:rPr>
                <w:rFonts w:ascii="Arial" w:hAnsi="Arial" w:cs="Arial"/>
                <w:color w:val="4C4C4C" w:themeColor="accent6" w:themeShade="BF"/>
              </w:rPr>
              <w:t>Summary of findings regarding career aspirations and the factors influencing them.</w:t>
            </w:r>
          </w:p>
        </w:tc>
      </w:tr>
    </w:tbl>
    <w:p w14:paraId="68427FA2" w14:textId="77777777" w:rsidR="002B204C" w:rsidRDefault="002B204C" w:rsidP="0007654E">
      <w:pPr>
        <w:rPr>
          <w:rFonts w:ascii="Arial" w:hAnsi="Arial" w:cs="Arial"/>
          <w:b/>
          <w:bCs/>
          <w:color w:val="00B0F0"/>
        </w:rPr>
      </w:pPr>
    </w:p>
    <w:p w14:paraId="703F8AD9" w14:textId="77777777" w:rsidR="00A24469" w:rsidRDefault="00A24469" w:rsidP="0007654E">
      <w:pPr>
        <w:rPr>
          <w:rFonts w:ascii="Arial" w:hAnsi="Arial" w:cs="Arial"/>
          <w:b/>
          <w:bCs/>
          <w:color w:val="00B0F0"/>
        </w:rPr>
      </w:pPr>
    </w:p>
    <w:p w14:paraId="089DC5C8" w14:textId="7B35A37C" w:rsidR="00A24469" w:rsidRDefault="00A24469" w:rsidP="00A24469">
      <w:pPr>
        <w:pStyle w:val="Heading2"/>
      </w:pPr>
      <w:r w:rsidRPr="00EA3757">
        <w:rPr>
          <w:rFonts w:eastAsia="Times New Roman"/>
        </w:rPr>
        <w:t xml:space="preserve">Appendix </w:t>
      </w:r>
      <w:r>
        <w:t>C</w:t>
      </w:r>
      <w:r w:rsidRPr="00EA3757">
        <w:rPr>
          <w:rFonts w:eastAsia="Times New Roman"/>
        </w:rPr>
        <w:t xml:space="preserve"> – </w:t>
      </w:r>
      <w:r>
        <w:t>Recommendations</w:t>
      </w:r>
    </w:p>
    <w:p w14:paraId="17753858" w14:textId="77777777" w:rsidR="00A24469" w:rsidRDefault="00A24469" w:rsidP="00A24469"/>
    <w:tbl>
      <w:tblPr>
        <w:tblStyle w:val="TableGrid0"/>
        <w:tblW w:w="0" w:type="auto"/>
        <w:tblLook w:val="04A0" w:firstRow="1" w:lastRow="0" w:firstColumn="1" w:lastColumn="0" w:noHBand="0" w:noVBand="1"/>
      </w:tblPr>
      <w:tblGrid>
        <w:gridCol w:w="2547"/>
        <w:gridCol w:w="6473"/>
      </w:tblGrid>
      <w:tr w:rsidR="00B527D6" w14:paraId="0C079CEE" w14:textId="77777777" w:rsidTr="00B527D6">
        <w:tc>
          <w:tcPr>
            <w:tcW w:w="2547" w:type="dxa"/>
          </w:tcPr>
          <w:p w14:paraId="2B78FC0B" w14:textId="6616AAD6" w:rsidR="00B527D6" w:rsidRPr="00C74972" w:rsidRDefault="00B527D6" w:rsidP="00C74972">
            <w:pPr>
              <w:jc w:val="both"/>
              <w:rPr>
                <w:rFonts w:ascii="Arial" w:hAnsi="Arial" w:cs="Arial"/>
              </w:rPr>
            </w:pPr>
            <w:r w:rsidRPr="00C74972">
              <w:rPr>
                <w:rFonts w:ascii="Arial" w:hAnsi="Arial" w:cs="Arial"/>
              </w:rPr>
              <w:t>Educational Institutions</w:t>
            </w:r>
          </w:p>
        </w:tc>
        <w:tc>
          <w:tcPr>
            <w:tcW w:w="6473" w:type="dxa"/>
          </w:tcPr>
          <w:p w14:paraId="5B69FC79" w14:textId="3734225A" w:rsidR="00B527D6" w:rsidRPr="00C74972" w:rsidRDefault="00B527D6" w:rsidP="00C74972">
            <w:pPr>
              <w:jc w:val="both"/>
              <w:rPr>
                <w:rFonts w:ascii="Arial" w:hAnsi="Arial" w:cs="Arial"/>
              </w:rPr>
            </w:pPr>
            <w:r w:rsidRPr="00C74972">
              <w:rPr>
                <w:rFonts w:ascii="Arial" w:hAnsi="Arial" w:cs="Arial"/>
              </w:rPr>
              <w:t>Suggestions for optimizing academic programs and support services to enhance student intern success.</w:t>
            </w:r>
          </w:p>
        </w:tc>
      </w:tr>
      <w:tr w:rsidR="00B527D6" w14:paraId="139E9BC5" w14:textId="77777777" w:rsidTr="00B527D6">
        <w:tc>
          <w:tcPr>
            <w:tcW w:w="2547" w:type="dxa"/>
          </w:tcPr>
          <w:p w14:paraId="1B1C0A50" w14:textId="4FA74AB3" w:rsidR="00B527D6" w:rsidRPr="00C74972" w:rsidRDefault="00543CDC" w:rsidP="00C74972">
            <w:pPr>
              <w:jc w:val="both"/>
              <w:rPr>
                <w:rFonts w:ascii="Arial" w:hAnsi="Arial" w:cs="Arial"/>
              </w:rPr>
            </w:pPr>
            <w:r w:rsidRPr="00C74972">
              <w:rPr>
                <w:rFonts w:ascii="Arial" w:hAnsi="Arial" w:cs="Arial"/>
              </w:rPr>
              <w:t>Employers</w:t>
            </w:r>
          </w:p>
        </w:tc>
        <w:tc>
          <w:tcPr>
            <w:tcW w:w="6473" w:type="dxa"/>
          </w:tcPr>
          <w:p w14:paraId="1DC46D37" w14:textId="4139560F" w:rsidR="00B527D6" w:rsidRPr="00C74972" w:rsidRDefault="00543CDC" w:rsidP="00C74972">
            <w:pPr>
              <w:jc w:val="both"/>
              <w:rPr>
                <w:rFonts w:ascii="Arial" w:hAnsi="Arial" w:cs="Arial"/>
              </w:rPr>
            </w:pPr>
            <w:r w:rsidRPr="00C74972">
              <w:rPr>
                <w:rFonts w:ascii="Arial" w:hAnsi="Arial" w:cs="Arial"/>
              </w:rPr>
              <w:t>Recommendations for refining internship programs, recruitment strategies, and talent retention efforts.</w:t>
            </w:r>
          </w:p>
        </w:tc>
      </w:tr>
      <w:tr w:rsidR="00B527D6" w14:paraId="28BCB6BA" w14:textId="77777777" w:rsidTr="00B527D6">
        <w:tc>
          <w:tcPr>
            <w:tcW w:w="2547" w:type="dxa"/>
          </w:tcPr>
          <w:p w14:paraId="46CA7E4D" w14:textId="04FF0E7B" w:rsidR="00B527D6" w:rsidRPr="00C74972" w:rsidRDefault="00C74972" w:rsidP="00C74972">
            <w:pPr>
              <w:jc w:val="both"/>
              <w:rPr>
                <w:rFonts w:ascii="Arial" w:hAnsi="Arial" w:cs="Arial"/>
              </w:rPr>
            </w:pPr>
            <w:r w:rsidRPr="00C74972">
              <w:rPr>
                <w:rFonts w:ascii="Arial" w:hAnsi="Arial" w:cs="Arial"/>
              </w:rPr>
              <w:t>Policymaker</w:t>
            </w:r>
          </w:p>
        </w:tc>
        <w:tc>
          <w:tcPr>
            <w:tcW w:w="6473" w:type="dxa"/>
          </w:tcPr>
          <w:p w14:paraId="615C307B" w14:textId="20A214A7" w:rsidR="00B527D6" w:rsidRPr="00C74972" w:rsidRDefault="00C74972" w:rsidP="00C74972">
            <w:pPr>
              <w:jc w:val="both"/>
              <w:rPr>
                <w:rFonts w:ascii="Arial" w:hAnsi="Arial" w:cs="Arial"/>
              </w:rPr>
            </w:pPr>
            <w:r w:rsidRPr="00C74972">
              <w:rPr>
                <w:rFonts w:ascii="Arial" w:hAnsi="Arial" w:cs="Arial"/>
              </w:rPr>
              <w:t>Insights to inform policies related to education and workforce development.</w:t>
            </w:r>
          </w:p>
        </w:tc>
      </w:tr>
    </w:tbl>
    <w:p w14:paraId="0AA65E6C" w14:textId="77777777" w:rsidR="00A24469" w:rsidRPr="00A24469" w:rsidRDefault="00A24469" w:rsidP="00A24469"/>
    <w:p w14:paraId="3CE71858" w14:textId="77777777" w:rsidR="00A24469" w:rsidRPr="00EA3757" w:rsidRDefault="00A24469" w:rsidP="0007654E">
      <w:pPr>
        <w:rPr>
          <w:rFonts w:ascii="Arial" w:hAnsi="Arial" w:cs="Arial"/>
          <w:b/>
          <w:bCs/>
          <w:color w:val="00B0F0"/>
        </w:rPr>
      </w:pPr>
    </w:p>
    <w:p w14:paraId="1B90ECA7" w14:textId="77777777" w:rsidR="001C5CE7" w:rsidRDefault="001C5CE7" w:rsidP="0007654E">
      <w:pPr>
        <w:rPr>
          <w:rFonts w:ascii="Arial" w:hAnsi="Arial" w:cs="Arial"/>
          <w:color w:val="595959" w:themeColor="text1" w:themeTint="A6"/>
        </w:rPr>
      </w:pPr>
    </w:p>
    <w:p w14:paraId="4F95BE16" w14:textId="77777777" w:rsidR="001C5CE7" w:rsidRPr="00F679FA" w:rsidRDefault="001C5CE7" w:rsidP="0007654E">
      <w:pPr>
        <w:rPr>
          <w:rFonts w:ascii="Arial" w:hAnsi="Arial" w:cs="Arial"/>
          <w:color w:val="595959" w:themeColor="text1" w:themeTint="A6"/>
        </w:rPr>
      </w:pPr>
    </w:p>
    <w:sectPr w:rsidR="001C5CE7"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5C14C" w14:textId="77777777" w:rsidR="005D2908" w:rsidRDefault="005D2908" w:rsidP="008F7E07">
      <w:r>
        <w:separator/>
      </w:r>
    </w:p>
  </w:endnote>
  <w:endnote w:type="continuationSeparator" w:id="0">
    <w:p w14:paraId="7771A04B" w14:textId="77777777" w:rsidR="005D2908" w:rsidRDefault="005D2908"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165D7" w14:textId="77777777" w:rsidR="005D2908" w:rsidRDefault="005D2908" w:rsidP="008F7E07">
      <w:r>
        <w:separator/>
      </w:r>
    </w:p>
  </w:footnote>
  <w:footnote w:type="continuationSeparator" w:id="0">
    <w:p w14:paraId="405DA252" w14:textId="77777777" w:rsidR="005D2908" w:rsidRDefault="005D2908"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138625944" name="Picture 13862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FB2304"/>
    <w:multiLevelType w:val="hybridMultilevel"/>
    <w:tmpl w:val="0B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B1333DE"/>
    <w:multiLevelType w:val="hybridMultilevel"/>
    <w:tmpl w:val="EE445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31460B22"/>
    <w:multiLevelType w:val="hybridMultilevel"/>
    <w:tmpl w:val="76226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E1132A"/>
    <w:multiLevelType w:val="hybridMultilevel"/>
    <w:tmpl w:val="98663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9B6C84"/>
    <w:multiLevelType w:val="hybridMultilevel"/>
    <w:tmpl w:val="71064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3752FB6"/>
    <w:multiLevelType w:val="hybridMultilevel"/>
    <w:tmpl w:val="4656D646"/>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1" w15:restartNumberingAfterBreak="0">
    <w:nsid w:val="43A26C72"/>
    <w:multiLevelType w:val="hybridMultilevel"/>
    <w:tmpl w:val="3DA07CDA"/>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2"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C51C1"/>
    <w:multiLevelType w:val="hybridMultilevel"/>
    <w:tmpl w:val="5E14985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4"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5"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6617D"/>
    <w:multiLevelType w:val="hybridMultilevel"/>
    <w:tmpl w:val="75441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92368108">
    <w:abstractNumId w:val="3"/>
  </w:num>
  <w:num w:numId="2" w16cid:durableId="385375368">
    <w:abstractNumId w:val="29"/>
  </w:num>
  <w:num w:numId="3" w16cid:durableId="1674870565">
    <w:abstractNumId w:val="25"/>
  </w:num>
  <w:num w:numId="4" w16cid:durableId="8603177">
    <w:abstractNumId w:val="13"/>
  </w:num>
  <w:num w:numId="5" w16cid:durableId="475951809">
    <w:abstractNumId w:val="7"/>
  </w:num>
  <w:num w:numId="6" w16cid:durableId="1652757314">
    <w:abstractNumId w:val="8"/>
  </w:num>
  <w:num w:numId="7" w16cid:durableId="929771860">
    <w:abstractNumId w:val="5"/>
  </w:num>
  <w:num w:numId="8" w16cid:durableId="727000697">
    <w:abstractNumId w:val="19"/>
  </w:num>
  <w:num w:numId="9" w16cid:durableId="361591613">
    <w:abstractNumId w:val="30"/>
  </w:num>
  <w:num w:numId="10" w16cid:durableId="2107118568">
    <w:abstractNumId w:val="10"/>
  </w:num>
  <w:num w:numId="11" w16cid:durableId="787357913">
    <w:abstractNumId w:val="11"/>
  </w:num>
  <w:num w:numId="12" w16cid:durableId="1286542039">
    <w:abstractNumId w:val="19"/>
  </w:num>
  <w:num w:numId="13" w16cid:durableId="1154030845">
    <w:abstractNumId w:val="19"/>
  </w:num>
  <w:num w:numId="14" w16cid:durableId="605306025">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204712766">
    <w:abstractNumId w:val="4"/>
  </w:num>
  <w:num w:numId="16" w16cid:durableId="1653437515">
    <w:abstractNumId w:val="17"/>
  </w:num>
  <w:num w:numId="17" w16cid:durableId="2099861136">
    <w:abstractNumId w:val="14"/>
  </w:num>
  <w:num w:numId="18" w16cid:durableId="906111880">
    <w:abstractNumId w:val="22"/>
  </w:num>
  <w:num w:numId="19" w16cid:durableId="1689016017">
    <w:abstractNumId w:val="28"/>
  </w:num>
  <w:num w:numId="20" w16cid:durableId="1411732678">
    <w:abstractNumId w:val="19"/>
  </w:num>
  <w:num w:numId="21" w16cid:durableId="1579631779">
    <w:abstractNumId w:val="24"/>
  </w:num>
  <w:num w:numId="22" w16cid:durableId="1229001236">
    <w:abstractNumId w:val="19"/>
  </w:num>
  <w:num w:numId="23" w16cid:durableId="1026712357">
    <w:abstractNumId w:val="19"/>
  </w:num>
  <w:num w:numId="24" w16cid:durableId="480538481">
    <w:abstractNumId w:val="27"/>
  </w:num>
  <w:num w:numId="25" w16cid:durableId="720443264">
    <w:abstractNumId w:val="9"/>
  </w:num>
  <w:num w:numId="26" w16cid:durableId="1359311128">
    <w:abstractNumId w:val="1"/>
  </w:num>
  <w:num w:numId="27" w16cid:durableId="978850221">
    <w:abstractNumId w:val="19"/>
  </w:num>
  <w:num w:numId="28" w16cid:durableId="1982727425">
    <w:abstractNumId w:val="2"/>
  </w:num>
  <w:num w:numId="29" w16cid:durableId="868377260">
    <w:abstractNumId w:val="19"/>
  </w:num>
  <w:num w:numId="30" w16cid:durableId="777942314">
    <w:abstractNumId w:val="19"/>
  </w:num>
  <w:num w:numId="31" w16cid:durableId="2099212683">
    <w:abstractNumId w:val="19"/>
  </w:num>
  <w:num w:numId="32" w16cid:durableId="629819731">
    <w:abstractNumId w:val="19"/>
  </w:num>
  <w:num w:numId="33" w16cid:durableId="791246987">
    <w:abstractNumId w:val="16"/>
  </w:num>
  <w:num w:numId="34" w16cid:durableId="1907448840">
    <w:abstractNumId w:val="23"/>
  </w:num>
  <w:num w:numId="35" w16cid:durableId="1129973557">
    <w:abstractNumId w:val="18"/>
  </w:num>
  <w:num w:numId="36" w16cid:durableId="1866751463">
    <w:abstractNumId w:val="21"/>
  </w:num>
  <w:num w:numId="37" w16cid:durableId="940721151">
    <w:abstractNumId w:val="20"/>
  </w:num>
  <w:num w:numId="38" w16cid:durableId="504327032">
    <w:abstractNumId w:val="15"/>
  </w:num>
  <w:num w:numId="39" w16cid:durableId="995062999">
    <w:abstractNumId w:val="12"/>
  </w:num>
  <w:num w:numId="40" w16cid:durableId="1062943471">
    <w:abstractNumId w:val="6"/>
  </w:num>
  <w:num w:numId="41" w16cid:durableId="1439787280">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5D1C"/>
    <w:rsid w:val="0007654E"/>
    <w:rsid w:val="00080D93"/>
    <w:rsid w:val="000816A6"/>
    <w:rsid w:val="000A3CDF"/>
    <w:rsid w:val="000C6641"/>
    <w:rsid w:val="000F4A14"/>
    <w:rsid w:val="000F7EB0"/>
    <w:rsid w:val="00101A59"/>
    <w:rsid w:val="00110CE8"/>
    <w:rsid w:val="00122EAD"/>
    <w:rsid w:val="0013687A"/>
    <w:rsid w:val="00166CE5"/>
    <w:rsid w:val="001748FE"/>
    <w:rsid w:val="00180604"/>
    <w:rsid w:val="00180A1B"/>
    <w:rsid w:val="001826BB"/>
    <w:rsid w:val="00194510"/>
    <w:rsid w:val="001B408A"/>
    <w:rsid w:val="001C5CE7"/>
    <w:rsid w:val="001D115F"/>
    <w:rsid w:val="001D723B"/>
    <w:rsid w:val="00221172"/>
    <w:rsid w:val="00224CCF"/>
    <w:rsid w:val="0023408F"/>
    <w:rsid w:val="0024736F"/>
    <w:rsid w:val="002479B6"/>
    <w:rsid w:val="00252EC6"/>
    <w:rsid w:val="00256D0B"/>
    <w:rsid w:val="002A1DEE"/>
    <w:rsid w:val="002A447F"/>
    <w:rsid w:val="002B204C"/>
    <w:rsid w:val="002B2CB5"/>
    <w:rsid w:val="002B7ADE"/>
    <w:rsid w:val="002D348A"/>
    <w:rsid w:val="002D5345"/>
    <w:rsid w:val="002E1953"/>
    <w:rsid w:val="002E1DDC"/>
    <w:rsid w:val="002E5B2F"/>
    <w:rsid w:val="00307647"/>
    <w:rsid w:val="0032406B"/>
    <w:rsid w:val="00333C33"/>
    <w:rsid w:val="00334B0D"/>
    <w:rsid w:val="00335A6C"/>
    <w:rsid w:val="00341E38"/>
    <w:rsid w:val="00351F9B"/>
    <w:rsid w:val="00353BFF"/>
    <w:rsid w:val="00357F5C"/>
    <w:rsid w:val="00371428"/>
    <w:rsid w:val="00371F03"/>
    <w:rsid w:val="00373485"/>
    <w:rsid w:val="0037688C"/>
    <w:rsid w:val="00381D55"/>
    <w:rsid w:val="00385210"/>
    <w:rsid w:val="00392480"/>
    <w:rsid w:val="00395F88"/>
    <w:rsid w:val="00397D59"/>
    <w:rsid w:val="003A400A"/>
    <w:rsid w:val="003B1197"/>
    <w:rsid w:val="003B126A"/>
    <w:rsid w:val="003C13E3"/>
    <w:rsid w:val="003C2463"/>
    <w:rsid w:val="003D2D42"/>
    <w:rsid w:val="003E02E6"/>
    <w:rsid w:val="003E116F"/>
    <w:rsid w:val="00401688"/>
    <w:rsid w:val="00401CAB"/>
    <w:rsid w:val="004042B1"/>
    <w:rsid w:val="00406E8B"/>
    <w:rsid w:val="0041242E"/>
    <w:rsid w:val="00446CF6"/>
    <w:rsid w:val="00473A47"/>
    <w:rsid w:val="00475B3F"/>
    <w:rsid w:val="004777B6"/>
    <w:rsid w:val="0048310F"/>
    <w:rsid w:val="00484E65"/>
    <w:rsid w:val="004A22A4"/>
    <w:rsid w:val="004C1311"/>
    <w:rsid w:val="004D40C3"/>
    <w:rsid w:val="004E4C3F"/>
    <w:rsid w:val="004F792A"/>
    <w:rsid w:val="00503190"/>
    <w:rsid w:val="00516231"/>
    <w:rsid w:val="00530905"/>
    <w:rsid w:val="00543CDC"/>
    <w:rsid w:val="00547057"/>
    <w:rsid w:val="00547E8E"/>
    <w:rsid w:val="005566EB"/>
    <w:rsid w:val="005607EF"/>
    <w:rsid w:val="005675AC"/>
    <w:rsid w:val="00572E09"/>
    <w:rsid w:val="0057434A"/>
    <w:rsid w:val="00581CCC"/>
    <w:rsid w:val="00596DC3"/>
    <w:rsid w:val="0059785C"/>
    <w:rsid w:val="005A189C"/>
    <w:rsid w:val="005A18BC"/>
    <w:rsid w:val="005B06B2"/>
    <w:rsid w:val="005B6879"/>
    <w:rsid w:val="005C1E13"/>
    <w:rsid w:val="005C26DC"/>
    <w:rsid w:val="005C48A4"/>
    <w:rsid w:val="005D2908"/>
    <w:rsid w:val="005E475A"/>
    <w:rsid w:val="005F7858"/>
    <w:rsid w:val="006059C0"/>
    <w:rsid w:val="00605E77"/>
    <w:rsid w:val="0061398D"/>
    <w:rsid w:val="006226E1"/>
    <w:rsid w:val="006277BA"/>
    <w:rsid w:val="00627A62"/>
    <w:rsid w:val="006308EF"/>
    <w:rsid w:val="006532BB"/>
    <w:rsid w:val="006537EA"/>
    <w:rsid w:val="006742DA"/>
    <w:rsid w:val="00682147"/>
    <w:rsid w:val="006A0AE5"/>
    <w:rsid w:val="006A2E67"/>
    <w:rsid w:val="006B78BC"/>
    <w:rsid w:val="006C3A01"/>
    <w:rsid w:val="006C468B"/>
    <w:rsid w:val="006D0352"/>
    <w:rsid w:val="006D2B58"/>
    <w:rsid w:val="006E584F"/>
    <w:rsid w:val="006F4B7A"/>
    <w:rsid w:val="007025D3"/>
    <w:rsid w:val="0070513D"/>
    <w:rsid w:val="00706F48"/>
    <w:rsid w:val="00720C50"/>
    <w:rsid w:val="0075204B"/>
    <w:rsid w:val="00752BD9"/>
    <w:rsid w:val="0075780E"/>
    <w:rsid w:val="00767CD9"/>
    <w:rsid w:val="00783EB7"/>
    <w:rsid w:val="00790119"/>
    <w:rsid w:val="0079571B"/>
    <w:rsid w:val="007A2C62"/>
    <w:rsid w:val="007B0139"/>
    <w:rsid w:val="007C089D"/>
    <w:rsid w:val="007D2EA8"/>
    <w:rsid w:val="00811576"/>
    <w:rsid w:val="008302AF"/>
    <w:rsid w:val="00845D72"/>
    <w:rsid w:val="00861C83"/>
    <w:rsid w:val="00862664"/>
    <w:rsid w:val="008645B1"/>
    <w:rsid w:val="00884F34"/>
    <w:rsid w:val="00893293"/>
    <w:rsid w:val="008979E1"/>
    <w:rsid w:val="008A1B0E"/>
    <w:rsid w:val="008C3B15"/>
    <w:rsid w:val="008D0563"/>
    <w:rsid w:val="008D100E"/>
    <w:rsid w:val="008D3AFA"/>
    <w:rsid w:val="008E7BBF"/>
    <w:rsid w:val="008F7E07"/>
    <w:rsid w:val="00900CDE"/>
    <w:rsid w:val="00903020"/>
    <w:rsid w:val="00912426"/>
    <w:rsid w:val="00917AE9"/>
    <w:rsid w:val="00925C76"/>
    <w:rsid w:val="00930C49"/>
    <w:rsid w:val="00933D86"/>
    <w:rsid w:val="00940880"/>
    <w:rsid w:val="00945126"/>
    <w:rsid w:val="00956D06"/>
    <w:rsid w:val="00980092"/>
    <w:rsid w:val="00991F49"/>
    <w:rsid w:val="009C4D92"/>
    <w:rsid w:val="009D5154"/>
    <w:rsid w:val="009D649D"/>
    <w:rsid w:val="009E1879"/>
    <w:rsid w:val="00A0520C"/>
    <w:rsid w:val="00A07CEE"/>
    <w:rsid w:val="00A138AB"/>
    <w:rsid w:val="00A225EE"/>
    <w:rsid w:val="00A24469"/>
    <w:rsid w:val="00A30786"/>
    <w:rsid w:val="00A31C2E"/>
    <w:rsid w:val="00A3249B"/>
    <w:rsid w:val="00A34024"/>
    <w:rsid w:val="00A34A5C"/>
    <w:rsid w:val="00A5231E"/>
    <w:rsid w:val="00A5636C"/>
    <w:rsid w:val="00A57283"/>
    <w:rsid w:val="00A6453D"/>
    <w:rsid w:val="00A718FC"/>
    <w:rsid w:val="00A81965"/>
    <w:rsid w:val="00A91A48"/>
    <w:rsid w:val="00A96655"/>
    <w:rsid w:val="00AA636D"/>
    <w:rsid w:val="00AB3905"/>
    <w:rsid w:val="00AB3F64"/>
    <w:rsid w:val="00AC3C88"/>
    <w:rsid w:val="00AD024B"/>
    <w:rsid w:val="00AD08D0"/>
    <w:rsid w:val="00AD6BF1"/>
    <w:rsid w:val="00AE64F5"/>
    <w:rsid w:val="00B02417"/>
    <w:rsid w:val="00B14ECD"/>
    <w:rsid w:val="00B17198"/>
    <w:rsid w:val="00B2061D"/>
    <w:rsid w:val="00B218C4"/>
    <w:rsid w:val="00B22AE3"/>
    <w:rsid w:val="00B27C33"/>
    <w:rsid w:val="00B4011E"/>
    <w:rsid w:val="00B40CFF"/>
    <w:rsid w:val="00B44AEA"/>
    <w:rsid w:val="00B527D6"/>
    <w:rsid w:val="00B53EA6"/>
    <w:rsid w:val="00B577C9"/>
    <w:rsid w:val="00B63429"/>
    <w:rsid w:val="00B63DEC"/>
    <w:rsid w:val="00B6737B"/>
    <w:rsid w:val="00B71AAB"/>
    <w:rsid w:val="00B9064C"/>
    <w:rsid w:val="00B934B1"/>
    <w:rsid w:val="00B967E0"/>
    <w:rsid w:val="00BA6BF5"/>
    <w:rsid w:val="00BB6ABB"/>
    <w:rsid w:val="00BD1D43"/>
    <w:rsid w:val="00BE3070"/>
    <w:rsid w:val="00BE3628"/>
    <w:rsid w:val="00C20AFB"/>
    <w:rsid w:val="00C40C29"/>
    <w:rsid w:val="00C41FE9"/>
    <w:rsid w:val="00C4446C"/>
    <w:rsid w:val="00C46297"/>
    <w:rsid w:val="00C504AE"/>
    <w:rsid w:val="00C73A89"/>
    <w:rsid w:val="00C74972"/>
    <w:rsid w:val="00C76077"/>
    <w:rsid w:val="00C815F3"/>
    <w:rsid w:val="00C972B5"/>
    <w:rsid w:val="00CA01DA"/>
    <w:rsid w:val="00CA04B3"/>
    <w:rsid w:val="00CB31BE"/>
    <w:rsid w:val="00CD2F0A"/>
    <w:rsid w:val="00CD7BD5"/>
    <w:rsid w:val="00CE0CCB"/>
    <w:rsid w:val="00CE1B23"/>
    <w:rsid w:val="00CE275D"/>
    <w:rsid w:val="00CF23F0"/>
    <w:rsid w:val="00D012F8"/>
    <w:rsid w:val="00D17FFE"/>
    <w:rsid w:val="00D225CD"/>
    <w:rsid w:val="00D31681"/>
    <w:rsid w:val="00D355F5"/>
    <w:rsid w:val="00D405EE"/>
    <w:rsid w:val="00D739C6"/>
    <w:rsid w:val="00D973F8"/>
    <w:rsid w:val="00DA6ADD"/>
    <w:rsid w:val="00DC32FF"/>
    <w:rsid w:val="00DD4E76"/>
    <w:rsid w:val="00E173D4"/>
    <w:rsid w:val="00E2267E"/>
    <w:rsid w:val="00E23E1D"/>
    <w:rsid w:val="00E24FA6"/>
    <w:rsid w:val="00E265BD"/>
    <w:rsid w:val="00E4213A"/>
    <w:rsid w:val="00E4606A"/>
    <w:rsid w:val="00E549C5"/>
    <w:rsid w:val="00E62CE4"/>
    <w:rsid w:val="00E73786"/>
    <w:rsid w:val="00E849B3"/>
    <w:rsid w:val="00EA3757"/>
    <w:rsid w:val="00EB6693"/>
    <w:rsid w:val="00EC2249"/>
    <w:rsid w:val="00EC34C0"/>
    <w:rsid w:val="00EC4953"/>
    <w:rsid w:val="00EC5702"/>
    <w:rsid w:val="00ED01C9"/>
    <w:rsid w:val="00ED119A"/>
    <w:rsid w:val="00ED6693"/>
    <w:rsid w:val="00EE1A00"/>
    <w:rsid w:val="00EF006B"/>
    <w:rsid w:val="00EF7D1E"/>
    <w:rsid w:val="00F07A5E"/>
    <w:rsid w:val="00F3208A"/>
    <w:rsid w:val="00F32490"/>
    <w:rsid w:val="00F446BB"/>
    <w:rsid w:val="00F55F10"/>
    <w:rsid w:val="00F571DE"/>
    <w:rsid w:val="00F669D2"/>
    <w:rsid w:val="00F679FA"/>
    <w:rsid w:val="00F70B77"/>
    <w:rsid w:val="00F72364"/>
    <w:rsid w:val="00F82584"/>
    <w:rsid w:val="00F84FDD"/>
    <w:rsid w:val="00F860DE"/>
    <w:rsid w:val="00F91FC9"/>
    <w:rsid w:val="00F96800"/>
    <w:rsid w:val="00FA5468"/>
    <w:rsid w:val="00FB331B"/>
    <w:rsid w:val="00FC0125"/>
    <w:rsid w:val="00FC094B"/>
    <w:rsid w:val="00FD21D8"/>
    <w:rsid w:val="00FD39C3"/>
    <w:rsid w:val="00FD6A4E"/>
    <w:rsid w:val="00FE52E1"/>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1808</Words>
  <Characters>10311</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Grey and Yellow Buildings Social Media Report</vt:lpstr>
      <vt:lpstr/>
      <vt:lpstr>PROJECT DETAILS</vt:lpstr>
      <vt:lpstr>SUMMARY</vt:lpstr>
      <vt:lpstr>INTRODUCTION</vt:lpstr>
      <vt:lpstr>    Background</vt:lpstr>
      <vt:lpstr>    Stakeholders</vt:lpstr>
      <vt:lpstr>    Objectives </vt:lpstr>
      <vt:lpstr>METHODOLOGY</vt:lpstr>
      <vt:lpstr>    Considerations &amp; Assumption</vt:lpstr>
      <vt:lpstr>    Approach</vt:lpstr>
      <vt:lpstr>    Activities</vt:lpstr>
      <vt:lpstr>TARGETTED V/S ACHIEVED OUTPUT</vt:lpstr>
      <vt:lpstr>CONCLUSION</vt:lpstr>
      <vt:lpstr>APPENDICES</vt:lpstr>
      <vt:lpstr>    Appendix A – Data Sources and Collection </vt:lpstr>
      <vt:lpstr>    Appendix B – Results and Findings</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Aarushi Bose</cp:lastModifiedBy>
  <cp:revision>94</cp:revision>
  <cp:lastPrinted>2022-09-20T16:52:00Z</cp:lastPrinted>
  <dcterms:created xsi:type="dcterms:W3CDTF">2023-08-18T04:22:00Z</dcterms:created>
  <dcterms:modified xsi:type="dcterms:W3CDTF">2024-06-27T19:08:00Z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