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Robust Stigmergic Coordination under Minority Pheromone Injection Attacks</w:t>
      </w:r>
    </w:p>
    <w:p>
      <w:r/>
      <w:r>
        <w:rPr>
          <w:b/>
        </w:rPr>
        <w:t>Project proposal</w:t>
      </w:r>
      <w:r>
        <w:t xml:space="preserve">  |  3 October 2026</w:t>
      </w:r>
    </w:p>
    <w:p>
      <w:r/>
      <w:r>
        <w:rPr>
          <w:b/>
        </w:rPr>
        <w:t>Team</w:t>
      </w:r>
      <w:r>
        <w:t xml:space="preserve"> Aarya (PES1UG24CS496), Shashannk (PES1UG24CS436), Rohan (PES1UG24CS490) and Tusti (PES1UG24CS505).</w:t>
      </w:r>
    </w:p>
    <w:p>
      <w:pPr>
        <w:pStyle w:val="Heading2"/>
      </w:pPr>
      <w:r>
        <w:t>Proposal in brief</w:t>
      </w:r>
    </w:p>
    <w:p>
      <w:r>
        <w:t>We propose a simulation study of cooperative learned agents that coordinate through digital pheromone. A minority of compromised agents can place plausible but false food signals in that shared medium. We will build a reproducible benchmark and evaluate whether a lightweight defense based on local history and the agent’s own task progress reduces the resulting loss in resource retrieval.</w:t>
      </w:r>
    </w:p>
    <w:p>
      <w:r>
        <w:t>The attack mechanism itself is established prior work. Our research will focus on evaluation of learned stigmergic policies, local defense generalization, benign false alarms and the tradeoff between protection and clean-task performance. The benchmark and defense will form one coherent initial research contribution rather than two promised papers.</w:t>
      </w:r>
    </w:p>
    <w:p>
      <w:pPr>
        <w:pStyle w:val="Heading2"/>
      </w:pPr>
      <w:r>
        <w:t>Problem statement</w:t>
      </w:r>
    </w:p>
    <w:p>
      <w:r>
        <w:t>Can a lightweight defense using local pheromone history and an agent’s own task progress improve cooperative learned-policy performance under minority pheromone-injection attacks, including attack conditions withheld during development, without substantially reducing clean-task performance?</w:t>
      </w:r>
    </w:p>
    <w:p>
      <w:pPr>
        <w:pStyle w:val="Heading2"/>
      </w:pPr>
      <w:r>
        <w:t>Application and value</w:t>
      </w:r>
    </w:p>
    <w:p>
      <w:r>
        <w:t>The concrete task is cooperative resource retrieval: agents search for resources, carry them to a nest and leave traces that guide their peers. This represents a simplified coordination problem relevant to robot teams operating with constrained direct communication. A false trace can redirect workers even when their individual policies and sensors operate correctly.</w:t>
      </w:r>
    </w:p>
    <w:p>
      <w:r>
        <w:t>A useful outcome is an experiment platform that separates the effects of malicious signal injection from congestion, stale trails and replacement of productive workers. It can support repeatable security testing before more expensive robot experiments. This project does not establish physical-robot safety or deployment readiness.</w:t>
      </w:r>
    </w:p>
    <w:p>
      <w:pPr>
        <w:pStyle w:val="Heading2"/>
      </w:pPr>
      <w:r>
        <w:t>Final project deliverables</w:t>
      </w:r>
    </w:p>
    <w:p>
      <w:pPr>
        <w:pStyle w:val="ListBullet"/>
      </w:pPr>
      <w:r/>
      <w:r>
        <w:rPr>
          <w:b/>
        </w:rPr>
        <w:t>Runnable simulation:</w:t>
      </w:r>
      <w:r>
        <w:t xml:space="preserve"> seeded resource-retrieval environment, bounded pheromone mechanics and reproducible setup.</w:t>
      </w:r>
    </w:p>
    <w:p>
      <w:pPr>
        <w:pStyle w:val="ListBullet"/>
      </w:pPr>
      <w:r/>
      <w:r>
        <w:rPr>
          <w:b/>
        </w:rPr>
        <w:t>Trained policy:</w:t>
      </w:r>
      <w:r>
        <w:t xml:space="preserve"> small parameter-shared PPO checkpoint, training configurations and learning evidence.</w:t>
      </w:r>
    </w:p>
    <w:p>
      <w:pPr>
        <w:pStyle w:val="ListBullet"/>
      </w:pPr>
      <w:r/>
      <w:r>
        <w:rPr>
          <w:b/>
        </w:rPr>
        <w:t>Attack dataset:</w:t>
      </w:r>
      <w:r>
        <w:t xml:space="preserve"> three bounded injection modes, versioned trajectories, grouped splits and a dataset card.</w:t>
      </w:r>
    </w:p>
    <w:p>
      <w:pPr>
        <w:pStyle w:val="ListBullet"/>
      </w:pPr>
      <w:r/>
      <w:r>
        <w:rPr>
          <w:b/>
        </w:rPr>
        <w:t>Local defense:</w:t>
      </w:r>
      <w:r>
        <w:t xml:space="preserve"> temporal detector, mitigation and comparisons with timeout and adapted cautionary pheromone.</w:t>
      </w:r>
    </w:p>
    <w:p>
      <w:pPr>
        <w:pStyle w:val="ListBullet"/>
      </w:pPr>
      <w:r/>
      <w:r>
        <w:rPr>
          <w:b/>
        </w:rPr>
        <w:t>Evaluation results:</w:t>
      </w:r>
      <w:r>
        <w:t xml:space="preserve"> clean costs, held-out attacks, ablations, uncertainty, failure cases and comparison plots.</w:t>
      </w:r>
    </w:p>
    <w:p>
      <w:pPr>
        <w:pStyle w:val="ListBullet"/>
      </w:pPr>
      <w:r/>
      <w:r>
        <w:rPr>
          <w:b/>
        </w:rPr>
        <w:t>Research manuscript:</w:t>
      </w:r>
      <w:r>
        <w:t xml:space="preserve"> one coherent primary paper, reproducibility package, demonstration and shared literature matrix.</w:t>
      </w:r>
    </w:p>
    <w:p>
      <w:pPr>
        <w:pStyle w:val="Heading1"/>
      </w:pPr>
      <w:r>
        <w:t>Research gap and closest prior work</w:t>
      </w:r>
    </w:p>
    <w:p>
      <w:pPr>
        <w:pStyle w:val="Heading2"/>
      </w:pPr>
      <w:r>
        <w:t>What has already been established</w:t>
      </w:r>
    </w:p>
    <w:p>
      <w:r>
        <w:t>Hacking the Colony studies simulated ant foraging disrupted by minority agents that deposit misleading food pheromone. It also introduces cautionary pheromone as a mitigation [R1]. Consequently, demonstrating that false pheromone can harm a swarm, sweeping the attacker fraction, or merely adding a warning channel cannot be claimed as our novelty.</w:t>
      </w:r>
    </w:p>
    <w:p>
      <w:r>
        <w:t>Stigmergic Independent Reinforcement Learning combines digital pheromone with learning and conflict avoidance for collaborative shape formation [R2]. Aina and Ha study learned stigmergic coordination for pellet retrieval in congested environments [R11]. Their architecture and task provide learning-related context, but our shared PPO implementation will be an adaptation, not a reproduction of their DQN and curriculum method.</w:t>
      </w:r>
    </w:p>
    <w:p>
      <w:r>
        <w:t>The MARL security survey distinguishes explicit communication perturbations from implicit environment-mediated influence [R8, Section 5.3]. Our attack is implemented through compromised agents’ legal movement and deposition capabilities, changing the field that honest agents observe. We will describe both the physical mechanism and its relationship to malicious-action and observation-based influence, without claiming a new taxonomy category.</w:t>
      </w:r>
    </w:p>
    <w:p>
      <w:pPr>
        <w:pStyle w:val="Heading2"/>
      </w:pPr>
      <w:r>
        <w:t>The candidate research gap</w:t>
      </w:r>
    </w:p>
    <w:p>
      <w:r>
        <w:t>The sources reviewed for this proposal do not establish a ready-made benchmark jointly covering learned pheromone-mediated coordination, bounded minority injection, deployable local defenses, held-out attacks and clean-utility costs. This motivates a focused evaluation study. It is a qualified finding from the reviewed sources, not a universal absence claim or a guarantee of novelty.</w:t>
      </w:r>
    </w:p>
    <w:p>
      <w:r>
        <w:t>The generalization question matters because a detector can memorize obvious simulation artifacts. It may recognize intensity spikes while missing plausible decoy trails, or confuse benign saturation with attacks. We therefore evaluate unseen attack timing and strength, separate map seeds and benign difficult conditions, alongside actual task recovery.</w:t>
      </w:r>
    </w:p>
    <w:p>
      <w:pPr>
        <w:pStyle w:val="Heading2"/>
      </w:pPr>
      <w:r>
        <w:t>Why adjacent security work is insufficient as a direct baseline</w:t>
      </w:r>
    </w:p>
    <w:p>
      <w:r>
        <w:t>Adversarial Minority Influence demonstrates that a controlled agent can exploit cooperative interactions, but uses a learned action-based attack rather than this exact deposition-only channel [R9]. Swarm Oracle relies on peer-to-peer reports, identities and reputation tokens [R6]; it offers useful trust concepts but is not a directly comparable no-message local defense. TRiSM concerns LLM-based agentic systems [R7] and supplies broader framing rather than evidence about pheromone attacks.</w:t>
      </w:r>
    </w:p>
    <w:p>
      <w:pPr>
        <w:pStyle w:val="Heading2"/>
      </w:pPr>
      <w:r>
        <w:t>Research questions</w:t>
      </w:r>
    </w:p>
    <w:p>
      <w:r/>
      <w:r>
        <w:rPr>
          <w:b/>
        </w:rPr>
        <w:t>RQ1</w:t>
      </w:r>
      <w:r>
        <w:t xml:space="preserve"> How does bounded injection affect a fixed learned policy relative to matched injection-disabled controls?</w:t>
      </w:r>
    </w:p>
    <w:p>
      <w:r/>
      <w:r>
        <w:rPr>
          <w:b/>
        </w:rPr>
        <w:t>RQ2</w:t>
      </w:r>
      <w:r>
        <w:t xml:space="preserve"> Does local temporal mitigation improve retrieval relative to simple defenses?</w:t>
      </w:r>
    </w:p>
    <w:p>
      <w:r/>
      <w:r>
        <w:rPr>
          <w:b/>
        </w:rPr>
        <w:t>RQ3</w:t>
      </w:r>
      <w:r>
        <w:t xml:space="preserve"> How do results change under unseen attacks, maps and benign congestion, and what clean-performance cost does the defense impose?</w:t>
      </w:r>
    </w:p>
    <w:p>
      <w:pPr>
        <w:pStyle w:val="Heading1"/>
      </w:pPr>
      <w:r>
        <w:t>Dataset strategy and supporting resources</w:t>
      </w:r>
    </w:p>
    <w:p>
      <w:pPr>
        <w:pStyle w:val="Heading2"/>
      </w:pPr>
      <w:r>
        <w:t>Data to be generated</w:t>
      </w:r>
    </w:p>
    <w:p>
      <w:r>
        <w:t>Our primary data will be reproducible simulation trajectories under clean, attacked and defended conditions. Each episode will record local observations, actions, field snapshots, resource pickup and delivery, attack configuration, seeds, policy checkpoint and defense decisions. Privileged attacker identities and injection masks will be stored separately for scoring; they will never be detector inputs.</w:t>
      </w:r>
    </w:p>
    <w:p>
      <w:r>
        <w:t>Labels will distinguish episode attack presence, direct injection exposure and retained malicious contribution in the sensed field. An attack does not imply that every cell or timestep is poisoned. Likewise, a suspicious local observation does not establish malicious intent. The simulation provides controlled labels, but those labels are not automatically available in a deployed swarm.</w:t>
      </w:r>
    </w:p>
    <w:p>
      <w:pPr>
        <w:pStyle w:val="Heading2"/>
      </w:pPr>
      <w:r>
        <w:t>Existing resources and their roles</w:t>
      </w:r>
    </w:p>
    <w:tbl>
      <w:tblPr>
        <w:tblW w:type="auto" w:w="0"/>
        <w:jc w:val="center"/>
        <w:tblLayout w:type="fixed"/>
        <w:tblLook w:firstColumn="1" w:firstRow="1" w:lastColumn="0" w:lastRow="0" w:noHBand="0" w:noVBand="1" w:val="04A0"/>
      </w:tblPr>
      <w:tblGrid>
        <w:gridCol w:w="2160"/>
        <w:gridCol w:w="3240"/>
        <w:gridCol w:w="4262"/>
      </w:tblGrid>
      <w:tr>
        <w:trPr>
          <w:cantSplit/>
          <w:tblHeader/>
        </w:trPr>
        <w:tc>
          <w:tcPr>
            <w:tcW w:type="dxa" w:w="2160"/>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Resource</w:t>
            </w:r>
          </w:p>
        </w:tc>
        <w:tc>
          <w:tcPr>
            <w:tcW w:type="dxa" w:w="3240"/>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What it contributes</w:t>
            </w:r>
          </w:p>
        </w:tc>
        <w:tc>
          <w:tcPr>
            <w:tcW w:type="dxa" w:w="4262"/>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Limitation for this project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AntSimulator linked in R1</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Reference implementation for misleading-pheromone experiments</w:t>
            </w:r>
          </w:p>
        </w:tc>
        <w:tc>
          <w:tcPr>
            <w:tcW w:type="dxa" w:w="426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Code and simulator; not assumed to be our prepared train/test dataset</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Hunt et al. Dryad data</w:t>
            </w:r>
          </w:p>
        </w:tc>
        <w:tc>
          <w:tcPr>
            <w:tcW w:type="dxa" w:w="32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Public robot and simulation data on density and pheromone configurations</w:t>
            </w:r>
          </w:p>
        </w:tc>
        <w:tc>
          <w:tcPr>
            <w:tcW w:type="dxa" w:w="426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Benign stigmergy experiments; no verified attack labels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Phormica supplementary resources</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Physical pheromone mechanics, experiments and control-system context</w:t>
            </w:r>
          </w:p>
        </w:tc>
        <w:tc>
          <w:tcPr>
            <w:tcW w:type="dxa" w:w="426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Different robot and sensing assumptions</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Automatic design study R12</w:t>
            </w:r>
          </w:p>
        </w:tc>
        <w:tc>
          <w:tcPr>
            <w:tcW w:type="dxa" w:w="32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Public experimental data and code availability described by the paper</w:t>
            </w:r>
          </w:p>
        </w:tc>
        <w:tc>
          <w:tcPr>
            <w:tcW w:type="dxa" w:w="426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Behavior-design study, not the full attack-and-defense protocol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AMB repository R13</w:t>
            </w:r>
          </w:p>
        </w:tc>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Experiment organization and broader MARL robustness context</w:t>
            </w:r>
          </w:p>
        </w:tc>
        <w:tc>
          <w:tcPr>
            <w:tcW w:type="dxa" w:w="426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Substantially broader environments and threat models</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Systematic review R14</w:t>
            </w:r>
          </w:p>
        </w:tc>
        <w:tc>
          <w:tcPr>
            <w:tcW w:type="dxa" w:w="32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Corpus of 338 papers and a review protocol</w:t>
            </w:r>
          </w:p>
        </w:tc>
        <w:tc>
          <w:tcPr>
            <w:tcW w:type="dxa" w:w="426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Literature records rather than attack trajectories</w:t>
            </w:r>
          </w:p>
        </w:tc>
      </w:tr>
    </w:tbl>
    <w:p>
      <w:pPr>
        <w:spacing w:after="0"/>
      </w:pPr>
    </w:p>
    <w:p>
      <w:r>
        <w:t>These supporting resources will be inspected selectively. Downloading all 5.94 GB of the Dryad collection is unnecessary for the pilot simulation milestone. We will not merge incompatible physical and synthetic traces into one training set without a justified mapping.</w:t>
      </w:r>
    </w:p>
    <w:p>
      <w:pPr>
        <w:pStyle w:val="Heading2"/>
      </w:pPr>
      <w:r>
        <w:t>Leakage prevention and release</w:t>
      </w:r>
    </w:p>
    <w:p>
      <w:r>
        <w:t>Split complete episodes and map seeds before deriving windows. Related clean, attacked and defended runs share a group identifier and stay in the same partition. Train-only statistics normalize features; validation chooses thresholds. An unseen attack family and separate map seeds remain untouched until final evaluation.</w:t>
      </w:r>
    </w:p>
    <w:p>
      <w:r>
        <w:t>Release a dataset card describing simulator version, observation limits, labels, split rules, attack budgets, collection procedure, limitations and licenses. Include small sample trajectories with generation commands and checksums. Full raw snapshots can be a separate versioned archive rather than part of the source repository.</w:t>
      </w:r>
    </w:p>
    <w:p>
      <w:r/>
      <w:r>
        <w:rPr>
          <w:b/>
        </w:rPr>
        <w:t>Resource links:</w:t>
      </w:r>
      <w:r>
        <w:t xml:space="preserve"> </w:t>
      </w:r>
      <w:hyperlink r:id="rId10">
        <w:r>
          <w:rPr>
            <w:color w:val="245A81"/>
          </w:rPr>
          <w:t>Dryad data</w:t>
        </w:r>
      </w:hyperlink>
      <w:r>
        <w:t xml:space="preserve">, </w:t>
      </w:r>
      <w:hyperlink r:id="rId11">
        <w:r>
          <w:rPr>
            <w:color w:val="245A81"/>
          </w:rPr>
          <w:t>Phormica supplement</w:t>
        </w:r>
      </w:hyperlink>
      <w:r>
        <w:t xml:space="preserve">, </w:t>
      </w:r>
      <w:hyperlink r:id="rId12">
        <w:r>
          <w:rPr>
            <w:color w:val="245A81"/>
          </w:rPr>
          <w:t>review corpus</w:t>
        </w:r>
      </w:hyperlink>
      <w:r>
        <w:t>.</w:t>
      </w:r>
    </w:p>
    <w:p>
      <w:pPr>
        <w:pStyle w:val="Heading1"/>
      </w:pPr>
      <w:r>
        <w:t>Methodology and evaluation</w:t>
      </w:r>
    </w:p>
    <w:p>
      <w:pPr>
        <w:pStyle w:val="Heading2"/>
      </w:pPr>
      <w:r>
        <w:t>Simulation and learning</w:t>
      </w:r>
    </w:p>
    <w:p>
      <w:r>
        <w:t>Implement a small grid environment with bounded food and home pheromone fields, partial local observations, simultaneous movement and explicit resource mechanics. Begin with a rule-based forager to debug the physics. Train a compact parameter-shared PPO policy through a tested PettingZoo-to-SB3 vector adapter [R15–R16]. The shared model controls multiple agents from their individual observations; this is not a centralized-critic MAPPO implementation.</w:t>
      </w:r>
    </w:p>
    <w:p>
      <w:r>
        <w:t>The pilot phase uses a 16 by 16 grid, eight agents and a 500-step horizon as starting engineering defaults. Map difficulty, curriculum and training budget can be reduced at documented gates if learning fails. Small-team attacker ratios are reported as counts: one of eight agents is 12.5%, not 1% or 5%.</w:t>
      </w:r>
    </w:p>
    <w:p>
      <w:pPr>
        <w:pStyle w:val="Heading2"/>
      </w:pPr>
      <w:r>
        <w:t>Attack model</w:t>
      </w:r>
    </w:p>
    <w:p>
      <w:r>
        <w:t>A fixed minority of compromised agents can add bounded, nonnegative food pheromone only at cells they occupy, subject to per-step and episode budgets. Use persistent false deposition, decoy trails and intermittent deposition. Honest policy weights and observations are not directly overwritten; environmental signals naturally change what honest agents sense. No field erasure, resource edits, special malicious evaporation or reward tampering is permitted.</w:t>
      </w:r>
    </w:p>
    <w:p>
      <w:r>
        <w:t>Compare each attacked configuration with an injection-disabled twin using the same maps, designated compromised agents and movement controller. This controls for altered worker productivity and scripted movement. Also retain an all-honest reference as an operational comparison.</w:t>
      </w:r>
    </w:p>
    <w:p>
      <w:pPr>
        <w:pStyle w:val="Heading2"/>
      </w:pPr>
      <w:r>
        <w:t>Local defense</w:t>
      </w:r>
    </w:p>
    <w:p>
      <w:r>
        <w:t>Extract temporal features from each agent’s observed field history and own pickup/delivery history. Train logistic regression and a small random forest to estimate suspicious exposure. At runtime, downweight the perceived food signal and increase exploration when the selected score exceeds a validation-set threshold. Do not mutate the shared field or identify and expel agents.</w:t>
      </w:r>
    </w:p>
    <w:p>
      <w:r>
        <w:t>Baselines comprise undefended coordination, a separately trained no-pheromone policy, local timeout and adapted cautionary pheromone. All comparisons use the same physical environment, budgets and evaluation maps. Adaptations and extra warning-channel assumptions will be explicit.</w:t>
      </w:r>
    </w:p>
    <w:p>
      <w:pPr>
        <w:pStyle w:val="Heading2"/>
      </w:pPr>
      <w:r>
        <w:t>What will be measured</w:t>
      </w:r>
    </w:p>
    <w:p>
      <w:r>
        <w:t>Primary measures are food delivered by honest agents, injection-induced performance degradation, improvement from defense, clean-performance cost and recovery after attack cessation. Secondary measures include precision–recall curves, false-positive rate, detection delay, runtime and memory.</w:t>
      </w:r>
    </w:p>
    <w:p>
      <w:r>
        <w:t>Evaluate clean congestion, strong legitimate trails, resource depletion and delayed discovery as false-alarm controls. Use multiple independently trained seeds and paired evaluation maps; report seed-level uncertainty and failure cases. A high classifier score without improved retrieval is not sufficient evidence of an effective defense.</w:t>
      </w:r>
    </w:p>
    <w:p>
      <w:pPr>
        <w:pStyle w:val="Heading1"/>
      </w:pPr>
      <w:r>
        <w:t>Project Phases and Outcomes</w:t>
      </w:r>
    </w:p>
    <w:p>
      <w:r>
        <w:t>The project runs for 22 weeks. Phase 1 must produce executable code and learned-policy evidence; the later phases strengthen the research comparison.</w:t>
      </w:r>
    </w:p>
    <w:tbl>
      <w:tblPr>
        <w:tblW w:type="auto" w:w="0"/>
        <w:jc w:val="center"/>
        <w:tblLayout w:type="fixed"/>
        <w:tblLook w:firstColumn="1" w:firstRow="1" w:lastColumn="0" w:lastRow="0" w:noHBand="0" w:noVBand="1" w:val="04A0"/>
      </w:tblPr>
      <w:tblGrid>
        <w:gridCol w:w="1944"/>
        <w:gridCol w:w="1728"/>
        <w:gridCol w:w="5990"/>
      </w:tblGrid>
      <w:tr>
        <w:trPr>
          <w:cantSplit/>
          <w:tblHeader/>
        </w:trPr>
        <w:tc>
          <w:tcPr>
            <w:tcW w:type="dxa" w:w="1944"/>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Phase</w:t>
            </w:r>
          </w:p>
        </w:tc>
        <w:tc>
          <w:tcPr>
            <w:tcW w:type="dxa" w:w="1728"/>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Timing</w:t>
            </w:r>
          </w:p>
        </w:tc>
        <w:tc>
          <w:tcPr>
            <w:tcW w:type="dxa" w:w="5990"/>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Required outcome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1 Executable pilot</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1–8</w:t>
            </w:r>
          </w:p>
        </w:tc>
        <w:tc>
          <w:tcPr>
            <w:tcW w:type="dxa" w:w="59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Simulator, trained policy, attacks, local-defense pilot and release; completion target week 7, buffer week 8</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2 Research refinement</w:t>
            </w:r>
          </w:p>
        </w:tc>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9–12</w:t>
            </w:r>
          </w:p>
        </w:tc>
        <w:tc>
          <w:tcPr>
            <w:tcW w:type="dxa" w:w="599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Audited mechanics, stronger baselines and frozen evaluation protocol</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3 Main experiments</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13–17</w:t>
            </w:r>
          </w:p>
        </w:tc>
        <w:tc>
          <w:tcPr>
            <w:tcW w:type="dxa" w:w="59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Held-out evaluation, ablations, uncertainty and failure analysis</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4 Publication and final release</w:t>
            </w:r>
          </w:p>
        </w:tc>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18–22</w:t>
            </w:r>
          </w:p>
        </w:tc>
        <w:tc>
          <w:tcPr>
            <w:tcW w:type="dxa" w:w="599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Manuscript, reproducibility audit and demo; primary submission target weeks 20–22</w:t>
            </w:r>
          </w:p>
        </w:tc>
      </w:tr>
    </w:tbl>
    <w:p>
      <w:pPr>
        <w:spacing w:after="0"/>
      </w:pPr>
    </w:p>
    <w:p>
      <w:pPr>
        <w:pStyle w:val="Heading2"/>
      </w:pPr>
      <w:r>
        <w:t>Pilot checkpoints</w:t>
      </w:r>
    </w:p>
    <w:p>
      <w:pPr>
        <w:pStyle w:val="ListBullet"/>
      </w:pPr>
      <w:r/>
      <w:r>
        <w:rPr>
          <w:b/>
        </w:rPr>
        <w:t>Week 2:</w:t>
      </w:r>
      <w:r>
        <w:t xml:space="preserve"> tested clean simulator, retrieval trajectories and versioned configurations.</w:t>
      </w:r>
    </w:p>
    <w:p>
      <w:pPr>
        <w:pStyle w:val="ListBullet"/>
      </w:pPr>
      <w:r/>
      <w:r>
        <w:rPr>
          <w:b/>
        </w:rPr>
        <w:t>Week 4:</w:t>
      </w:r>
      <w:r>
        <w:t xml:space="preserve"> saved trained checkpoint, three attack modes, matched controls and labeled episode files.</w:t>
      </w:r>
    </w:p>
    <w:p>
      <w:pPr>
        <w:pStyle w:val="ListBullet"/>
      </w:pPr>
      <w:r/>
      <w:r>
        <w:rPr>
          <w:b/>
        </w:rPr>
        <w:t>Week 6:</w:t>
      </w:r>
      <w:r>
        <w:t xml:space="preserve"> local detector, mitigation and offline-to-closed-loop comparisons without label leakage.</w:t>
      </w:r>
    </w:p>
    <w:p>
      <w:pPr>
        <w:pStyle w:val="ListBullet"/>
      </w:pPr>
      <w:r/>
      <w:r>
        <w:rPr>
          <w:b/>
        </w:rPr>
        <w:t>Week 7:</w:t>
      </w:r>
      <w:r>
        <w:t xml:space="preserve"> runnable release, checkpoint, sample dataset, baseline report and backup demo.</w:t>
      </w:r>
    </w:p>
    <w:p>
      <w:pPr>
        <w:pStyle w:val="ListBullet"/>
      </w:pPr>
      <w:r/>
      <w:r>
        <w:rPr>
          <w:b/>
        </w:rPr>
        <w:t>Week 8:</w:t>
      </w:r>
      <w:r>
        <w:t xml:space="preserve"> reproduction fixes and buffer; avoid adding new research features.</w:t>
      </w:r>
    </w:p>
    <w:p>
      <w:r>
        <w:t>If learning is unreliable, simplify maps and curriculum before adding complexity. Rule-based results can demonstrate mechanics, but missing learned-policy evidence remains an incomplete milestone.</w:t>
      </w:r>
    </w:p>
    <w:p>
      <w:pPr>
        <w:pStyle w:val="Heading2"/>
      </w:pPr>
      <w:r>
        <w:t>Publication milestones</w:t>
      </w:r>
    </w:p>
    <w:p>
      <w:r/>
      <w:r>
        <w:rPr>
          <w:b/>
        </w:rPr>
        <w:t>Primary submission target:</w:t>
      </w:r>
      <w:r>
        <w:t xml:space="preserve"> project weeks 20–22, after held-out evaluation and a reproducibility audit. Select an appropriate workshop or conference track using the actual results and official call; no future calendar deadline is assumed.</w:t>
      </w:r>
    </w:p>
    <w:p>
      <w:r>
        <w:t>An early short submission is optional only if it has a complete result and suitable deadline. A second paper requires a distinct later contribution. Retain valid negative findings and present the benchmark and local defense as one coherent initial study.</w:t>
      </w:r>
    </w:p>
    <w:p>
      <w:pPr>
        <w:pStyle w:val="Heading1"/>
      </w:pPr>
      <w:r>
        <w:t>Feasibility team participation and research risks</w:t>
      </w:r>
    </w:p>
    <w:p>
      <w:pPr>
        <w:pStyle w:val="Heading2"/>
      </w:pPr>
      <w:r>
        <w:t>Feasibility assessment</w:t>
      </w:r>
    </w:p>
    <w:p>
      <w:r>
        <w:t>This is a feasible capstone if the initial system remains small and CPU-first. The pilot phase aims for an end-to-end pilot rather than a large-scale benchmark. Four teammates contributing approximately six to eight hours weekly provide 24–32 team hours per week. Very limited GPU access rules out making large recurrent models, graph networks or extensive adversarial self-play prerequisites.</w:t>
      </w:r>
    </w:p>
    <w:p>
      <w:r>
        <w:t>The proposed novelty is moderate and conditional: the established attack is combined with an explicit learned-policy and local-defense evaluation protocol. Engineering usefulness is stronger than the claim of a new attack. Publishability depends on clean baselines, meaningful comparison with cautionary pheromone, generalization evidence, reproducibility and insight beyond an obvious simulator-specific detector.</w:t>
      </w:r>
    </w:p>
    <w:p>
      <w:pPr>
        <w:pStyle w:val="Heading2"/>
      </w:pPr>
      <w:r>
        <w:t>Balanced participation</w:t>
      </w:r>
    </w:p>
    <w:tbl>
      <w:tblPr>
        <w:tblW w:type="auto" w:w="0"/>
        <w:jc w:val="center"/>
        <w:tblLayout w:type="fixed"/>
        <w:tblLook w:firstColumn="1" w:firstRow="1" w:lastColumn="0" w:lastRow="0" w:noHBand="0" w:noVBand="1" w:val="04A0"/>
      </w:tblPr>
      <w:tblGrid>
        <w:gridCol w:w="1440"/>
        <w:gridCol w:w="3816"/>
        <w:gridCol w:w="4406"/>
      </w:tblGrid>
      <w:tr>
        <w:trPr>
          <w:cantSplit/>
          <w:tblHeader/>
        </w:trPr>
        <w:tc>
          <w:tcPr>
            <w:tcW w:type="dxa" w:w="1440"/>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Teammate</w:t>
            </w:r>
          </w:p>
        </w:tc>
        <w:tc>
          <w:tcPr>
            <w:tcW w:type="dxa" w:w="3816"/>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Initial owner</w:t>
            </w:r>
          </w:p>
        </w:tc>
        <w:tc>
          <w:tcPr>
            <w:tcW w:type="dxa" w:w="4406"/>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Initial reviewer</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Aarya</w:t>
            </w:r>
          </w:p>
        </w:tc>
        <w:tc>
          <w:tcPr>
            <w:tcW w:type="dxa" w:w="38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Environment and pheromone mechanics</w:t>
            </w:r>
          </w:p>
        </w:tc>
        <w:tc>
          <w:tcPr>
            <w:tcW w:type="dxa" w:w="440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Local defense and evaluation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Shashannk</w:t>
            </w:r>
          </w:p>
        </w:tc>
        <w:tc>
          <w:tcPr>
            <w:tcW w:type="dxa" w:w="38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Policies and training</w:t>
            </w:r>
          </w:p>
        </w:tc>
        <w:tc>
          <w:tcPr>
            <w:tcW w:type="dxa" w:w="440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Environment and mechanics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Rohan</w:t>
            </w:r>
          </w:p>
        </w:tc>
        <w:tc>
          <w:tcPr>
            <w:tcW w:type="dxa" w:w="38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Attacks and trajectory generation</w:t>
            </w:r>
          </w:p>
        </w:tc>
        <w:tc>
          <w:tcPr>
            <w:tcW w:type="dxa" w:w="440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Policies and training</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Tusti</w:t>
            </w:r>
          </w:p>
        </w:tc>
        <w:tc>
          <w:tcPr>
            <w:tcW w:type="dxa" w:w="38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Local defense and evaluation</w:t>
            </w:r>
          </w:p>
        </w:tc>
        <w:tc>
          <w:tcPr>
            <w:tcW w:type="dxa" w:w="440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Attacks and trajectory generation</w:t>
            </w:r>
          </w:p>
        </w:tc>
      </w:tr>
    </w:tbl>
    <w:p>
      <w:pPr>
        <w:spacing w:after="0"/>
      </w:pPr>
    </w:p>
    <w:p>
      <w:r>
        <w:t>Ownership rotates in later phases. Each teammate will implement at least one component outside their initial area, reproduce another member’s experiment and write part of the manuscript. Weekly teach-backs and paired reviews keep the project understandable to the entire team. Equal participation is measured by effort and completed responsibilities, not commit counts.</w:t>
      </w:r>
    </w:p>
    <w:p>
      <w:pPr>
        <w:pStyle w:val="Heading2"/>
      </w:pPr>
      <w:r>
        <w:t>Main risks and responses</w:t>
      </w:r>
    </w:p>
    <w:tbl>
      <w:tblPr>
        <w:tblW w:type="auto" w:w="0"/>
        <w:jc w:val="center"/>
        <w:tblLayout w:type="fixed"/>
        <w:tblLook w:firstColumn="1" w:firstRow="1" w:lastColumn="0" w:lastRow="0" w:noHBand="0" w:noVBand="1" w:val="04A0"/>
      </w:tblPr>
      <w:tblGrid>
        <w:gridCol w:w="2664"/>
        <w:gridCol w:w="6998"/>
      </w:tblGrid>
      <w:tr>
        <w:trPr>
          <w:cantSplit/>
          <w:tblHeader/>
        </w:trPr>
        <w:tc>
          <w:tcPr>
            <w:tcW w:type="dxa" w:w="2664"/>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Risk</w:t>
            </w:r>
          </w:p>
        </w:tc>
        <w:tc>
          <w:tcPr>
            <w:tcW w:type="dxa" w:w="6998"/>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Response</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Weak learned policy</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Shorten routes and simplify curriculum; document unsuccessful training seeds</w:t>
            </w:r>
          </w:p>
        </w:tc>
      </w:tr>
      <w:tr>
        <w:trPr>
          <w:cantSplit/>
        </w:trPr>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Detector exploits simulation artifacts</w:t>
            </w:r>
          </w:p>
        </w:tc>
        <w:tc>
          <w:tcPr>
            <w:tcW w:type="dxa" w:w="699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Enforce observable features, split by episode/map, include plausible weak attacks and benign controls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Defense harms honest coordination</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Tune on validation data and report clean utility alongside attack protection</w:t>
            </w:r>
          </w:p>
        </w:tc>
      </w:tr>
      <w:tr>
        <w:trPr>
          <w:cantSplit/>
        </w:trPr>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Prior work closes the proposed gap</w:t>
            </w:r>
          </w:p>
        </w:tc>
        <w:tc>
          <w:tcPr>
            <w:tcW w:type="dxa" w:w="699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Update the matrix; narrow to comparative replication and an openly released protocol</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Compute exceeds capacity</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Profile first; retain a small core experiment matrix and defer scaling</w:t>
            </w:r>
          </w:p>
        </w:tc>
      </w:tr>
      <w:tr>
        <w:trPr>
          <w:cantSplit/>
        </w:trPr>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Cautionary adaptation gains unfair information</w:t>
            </w:r>
          </w:p>
        </w:tc>
        <w:tc>
          <w:tcPr>
            <w:tcW w:type="dxa" w:w="699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Document warning-channel capability and match local sensing assumptions</w:t>
            </w:r>
          </w:p>
        </w:tc>
      </w:tr>
    </w:tbl>
    <w:p>
      <w:pPr>
        <w:spacing w:after="0"/>
      </w:pPr>
    </w:p>
    <w:p>
      <w:pPr>
        <w:pStyle w:val="Heading2"/>
      </w:pPr>
      <w:r>
        <w:t>Publication acceptance gate</w:t>
      </w:r>
    </w:p>
    <w:p>
      <w:r>
        <w:t>Before submission, verify untouched test partitions, independent training seeds, complete baselines and fresh-install reproduction. Report a losing defense honestly; planned hypotheses are not results.</w:t>
      </w:r>
    </w:p>
    <w:p>
      <w:pPr>
        <w:pStyle w:val="Heading1"/>
      </w:pPr>
      <w:r>
        <w:t>References and Evidence Boundaries</w:t>
      </w:r>
    </w:p>
    <w:p>
      <w:r>
        <w:t>These references are the finalized source set. Supplied proposals and screenshots are planning inputs; they do not independently establish novelty. The handbook records the structured source review. This proposal contains planned experiments, not completed training results or validated defense claims.</w:t>
      </w:r>
    </w:p>
    <w:p>
      <w:pPr>
        <w:spacing w:after="60"/>
      </w:pPr>
      <w:r>
        <w:rPr>
          <w:sz w:val="20"/>
        </w:rPr>
      </w:r>
      <w:r>
        <w:rPr>
          <w:b/>
          <w:sz w:val="20"/>
        </w:rPr>
        <w:t>[R1]</w:t>
      </w:r>
      <w:r>
        <w:rPr>
          <w:sz w:val="20"/>
        </w:rPr>
        <w:t xml:space="preserve"> Aswale et al. 2022. </w:t>
      </w:r>
      <w:hyperlink r:id="rId13">
        <w:r>
          <w:rPr>
            <w:color w:val="245A81"/>
          </w:rPr>
          <w:t>Hacking the Colony: On the Disruptive Effect of Misleading Pheromone and How to Defend Against It</w:t>
        </w:r>
      </w:hyperlink>
      <w:r>
        <w:rPr>
          <w:sz w:val="20"/>
        </w:rPr>
      </w:r>
    </w:p>
    <w:p>
      <w:pPr>
        <w:spacing w:after="60"/>
      </w:pPr>
      <w:r>
        <w:rPr>
          <w:sz w:val="20"/>
        </w:rPr>
      </w:r>
      <w:r>
        <w:rPr>
          <w:b/>
          <w:sz w:val="20"/>
        </w:rPr>
        <w:t>[R2]</w:t>
      </w:r>
      <w:r>
        <w:rPr>
          <w:sz w:val="20"/>
        </w:rPr>
        <w:t xml:space="preserve"> Xu et al. 2022. </w:t>
      </w:r>
      <w:hyperlink r:id="rId14">
        <w:r>
          <w:rPr>
            <w:color w:val="245A81"/>
          </w:rPr>
          <w:t>Stigmergic Independent Reinforcement Learning for Multiagent Collaboration</w:t>
        </w:r>
      </w:hyperlink>
      <w:r>
        <w:rPr>
          <w:sz w:val="20"/>
        </w:rPr>
      </w:r>
    </w:p>
    <w:p>
      <w:pPr>
        <w:spacing w:after="60"/>
      </w:pPr>
      <w:r>
        <w:rPr>
          <w:sz w:val="20"/>
        </w:rPr>
      </w:r>
      <w:r>
        <w:rPr>
          <w:b/>
          <w:sz w:val="20"/>
        </w:rPr>
        <w:t>[R3]</w:t>
      </w:r>
      <w:r>
        <w:rPr>
          <w:sz w:val="20"/>
        </w:rPr>
        <w:t xml:space="preserve"> Salman et al. 2020. </w:t>
      </w:r>
      <w:hyperlink r:id="rId15">
        <w:r>
          <w:rPr>
            <w:color w:val="245A81"/>
          </w:rPr>
          <w:t>Phormica: Photochromic Pheromone Release and Detection System for Stigmergic Coordination in Robot Swarms</w:t>
        </w:r>
      </w:hyperlink>
      <w:r>
        <w:rPr>
          <w:sz w:val="20"/>
        </w:rPr>
      </w:r>
    </w:p>
    <w:p>
      <w:pPr>
        <w:spacing w:after="60"/>
      </w:pPr>
      <w:r>
        <w:rPr>
          <w:sz w:val="20"/>
        </w:rPr>
      </w:r>
      <w:r>
        <w:rPr>
          <w:b/>
          <w:sz w:val="20"/>
        </w:rPr>
        <w:t>[R4]</w:t>
      </w:r>
      <w:r>
        <w:rPr>
          <w:sz w:val="20"/>
        </w:rPr>
        <w:t xml:space="preserve"> Hunt et al. 2019. </w:t>
      </w:r>
      <w:hyperlink r:id="rId16">
        <w:r>
          <w:rPr>
            <w:color w:val="245A81"/>
          </w:rPr>
          <w:t>Testing the limits of pheromone stigmergy in high-density robot swarms</w:t>
        </w:r>
      </w:hyperlink>
      <w:r>
        <w:rPr>
          <w:sz w:val="20"/>
        </w:rPr>
      </w:r>
    </w:p>
    <w:p>
      <w:pPr>
        <w:spacing w:after="60"/>
      </w:pPr>
      <w:r>
        <w:rPr>
          <w:sz w:val="20"/>
        </w:rPr>
      </w:r>
      <w:r>
        <w:rPr>
          <w:b/>
          <w:sz w:val="20"/>
        </w:rPr>
        <w:t>[R5]</w:t>
      </w:r>
      <w:r>
        <w:rPr>
          <w:sz w:val="20"/>
        </w:rPr>
        <w:t xml:space="preserve"> De Nicola et al. 2020. </w:t>
      </w:r>
      <w:hyperlink r:id="rId17">
        <w:r>
          <w:rPr>
            <w:color w:val="245A81"/>
          </w:rPr>
          <w:t>Multi-agent systems with virtual stigmergy</w:t>
        </w:r>
      </w:hyperlink>
      <w:r>
        <w:rPr>
          <w:sz w:val="20"/>
        </w:rPr>
      </w:r>
    </w:p>
    <w:p>
      <w:pPr>
        <w:spacing w:after="60"/>
      </w:pPr>
      <w:r>
        <w:rPr>
          <w:sz w:val="20"/>
        </w:rPr>
      </w:r>
      <w:r>
        <w:rPr>
          <w:b/>
          <w:sz w:val="20"/>
        </w:rPr>
        <w:t>[R6]</w:t>
      </w:r>
      <w:r>
        <w:rPr>
          <w:sz w:val="20"/>
        </w:rPr>
        <w:t xml:space="preserve"> Pacheco et al. 2025. </w:t>
      </w:r>
      <w:hyperlink r:id="rId18">
        <w:r>
          <w:rPr>
            <w:color w:val="245A81"/>
          </w:rPr>
          <w:t>Swarm Oracle: Trustless Blockchain Agreements through Robot Swarms</w:t>
        </w:r>
      </w:hyperlink>
      <w:r>
        <w:rPr>
          <w:sz w:val="20"/>
        </w:rPr>
      </w:r>
    </w:p>
    <w:p>
      <w:pPr>
        <w:spacing w:after="60"/>
      </w:pPr>
      <w:r>
        <w:rPr>
          <w:sz w:val="20"/>
        </w:rPr>
      </w:r>
      <w:r>
        <w:rPr>
          <w:b/>
          <w:sz w:val="20"/>
        </w:rPr>
        <w:t>[R7]</w:t>
      </w:r>
      <w:r>
        <w:rPr>
          <w:sz w:val="20"/>
        </w:rPr>
        <w:t xml:space="preserve"> Raza et al. 2026. </w:t>
      </w:r>
      <w:hyperlink r:id="rId19">
        <w:r>
          <w:rPr>
            <w:color w:val="245A81"/>
          </w:rPr>
          <w:t>TRiSM for Agentic AI: A review of Trust, Risk, and Security Management in LLM-based Agentic Multi-Agent Systems</w:t>
        </w:r>
      </w:hyperlink>
      <w:r>
        <w:rPr>
          <w:sz w:val="20"/>
        </w:rPr>
      </w:r>
    </w:p>
    <w:p>
      <w:pPr>
        <w:spacing w:after="60"/>
      </w:pPr>
      <w:r>
        <w:rPr>
          <w:sz w:val="20"/>
        </w:rPr>
      </w:r>
      <w:r>
        <w:rPr>
          <w:b/>
          <w:sz w:val="20"/>
        </w:rPr>
        <w:t>[R8]</w:t>
      </w:r>
      <w:r>
        <w:rPr>
          <w:sz w:val="20"/>
        </w:rPr>
        <w:t xml:space="preserve"> Standen et al. 2025. </w:t>
      </w:r>
      <w:hyperlink r:id="rId20">
        <w:r>
          <w:rPr>
            <w:color w:val="245A81"/>
          </w:rPr>
          <w:t>Adversarial Machine Learning Attacks and Defences in Multi-Agent Reinforcement Learning</w:t>
        </w:r>
      </w:hyperlink>
      <w:r>
        <w:rPr>
          <w:sz w:val="20"/>
        </w:rPr>
      </w:r>
    </w:p>
    <w:p>
      <w:pPr>
        <w:spacing w:after="60"/>
      </w:pPr>
      <w:r>
        <w:rPr>
          <w:sz w:val="20"/>
        </w:rPr>
      </w:r>
      <w:r>
        <w:rPr>
          <w:b/>
          <w:sz w:val="20"/>
        </w:rPr>
        <w:t>[R9]</w:t>
      </w:r>
      <w:r>
        <w:rPr>
          <w:sz w:val="20"/>
        </w:rPr>
        <w:t xml:space="preserve"> Li et al. 2024. </w:t>
      </w:r>
      <w:hyperlink r:id="rId21">
        <w:r>
          <w:rPr>
            <w:color w:val="245A81"/>
          </w:rPr>
          <w:t>Attacking Cooperative Multi-Agent Reinforcement Learning by Adversarial Minority Influence</w:t>
        </w:r>
      </w:hyperlink>
      <w:r>
        <w:rPr>
          <w:sz w:val="20"/>
        </w:rPr>
      </w:r>
    </w:p>
    <w:p>
      <w:pPr>
        <w:spacing w:after="60"/>
      </w:pPr>
      <w:r>
        <w:rPr>
          <w:sz w:val="20"/>
        </w:rPr>
      </w:r>
      <w:r>
        <w:rPr>
          <w:b/>
          <w:sz w:val="20"/>
        </w:rPr>
        <w:t>[R10]</w:t>
      </w:r>
      <w:r>
        <w:rPr>
          <w:sz w:val="20"/>
        </w:rPr>
        <w:t xml:space="preserve"> Cadet et al. 2025. </w:t>
      </w:r>
      <w:hyperlink r:id="rId22">
        <w:r>
          <w:rPr>
            <w:color w:val="245A81"/>
          </w:rPr>
          <w:t>PoolFlip: A Multi-Agent Reinforcement Learning Security Environment for Cyber Defense</w:t>
        </w:r>
      </w:hyperlink>
      <w:r>
        <w:rPr>
          <w:sz w:val="20"/>
        </w:rPr>
      </w:r>
    </w:p>
    <w:p>
      <w:pPr>
        <w:spacing w:after="60"/>
      </w:pPr>
      <w:r>
        <w:rPr>
          <w:sz w:val="20"/>
        </w:rPr>
      </w:r>
      <w:r>
        <w:rPr>
          <w:b/>
          <w:sz w:val="20"/>
        </w:rPr>
        <w:t>[R11]</w:t>
      </w:r>
      <w:r>
        <w:rPr>
          <w:sz w:val="20"/>
        </w:rPr>
        <w:t xml:space="preserve"> Aina et al. 2025. </w:t>
      </w:r>
      <w:hyperlink r:id="rId23">
        <w:r>
          <w:rPr>
            <w:color w:val="245A81"/>
          </w:rPr>
          <w:t>Deep reinforcement learning for multi-agent coordination</w:t>
        </w:r>
      </w:hyperlink>
      <w:r>
        <w:rPr>
          <w:sz w:val="20"/>
        </w:rPr>
      </w:r>
    </w:p>
    <w:p>
      <w:pPr>
        <w:spacing w:after="60"/>
      </w:pPr>
      <w:r>
        <w:rPr>
          <w:sz w:val="20"/>
        </w:rPr>
      </w:r>
      <w:r>
        <w:rPr>
          <w:b/>
          <w:sz w:val="20"/>
        </w:rPr>
        <w:t>[R12]</w:t>
      </w:r>
      <w:r>
        <w:rPr>
          <w:sz w:val="20"/>
        </w:rPr>
        <w:t xml:space="preserve"> Salman et al. 2024. </w:t>
      </w:r>
      <w:hyperlink r:id="rId24">
        <w:r>
          <w:rPr>
            <w:color w:val="245A81"/>
          </w:rPr>
          <w:t>Automatic design of stigmergy-based behaviours for robot swarms</w:t>
        </w:r>
      </w:hyperlink>
      <w:r>
        <w:rPr>
          <w:sz w:val="20"/>
        </w:rPr>
      </w:r>
    </w:p>
    <w:p>
      <w:pPr>
        <w:spacing w:after="60"/>
      </w:pPr>
      <w:r>
        <w:rPr>
          <w:sz w:val="20"/>
        </w:rPr>
      </w:r>
      <w:r>
        <w:rPr>
          <w:b/>
          <w:sz w:val="20"/>
        </w:rPr>
        <w:t>[R13]</w:t>
      </w:r>
      <w:r>
        <w:rPr>
          <w:sz w:val="20"/>
        </w:rPr>
        <w:t xml:space="preserve"> </w:t>
      </w:r>
      <w:hyperlink r:id="rId25">
        <w:r>
          <w:rPr>
            <w:color w:val="245A81"/>
          </w:rPr>
          <w:t>BUAA-TrustworthyMARL. Adversarial Multi-Agent Reinforcement Learning Benchmark repository. Repository describes a broad robustness and resilience study</w:t>
        </w:r>
      </w:hyperlink>
      <w:r>
        <w:rPr>
          <w:sz w:val="20"/>
        </w:rPr>
      </w:r>
    </w:p>
    <w:p>
      <w:pPr>
        <w:spacing w:after="60"/>
      </w:pPr>
      <w:r>
        <w:rPr>
          <w:sz w:val="20"/>
        </w:rPr>
      </w:r>
      <w:r>
        <w:rPr>
          <w:b/>
          <w:sz w:val="20"/>
        </w:rPr>
        <w:t>[R14]</w:t>
      </w:r>
      <w:r>
        <w:rPr>
          <w:sz w:val="20"/>
        </w:rPr>
        <w:t xml:space="preserve"> 2026. </w:t>
      </w:r>
      <w:hyperlink r:id="rId26">
        <w:r>
          <w:rPr>
            <w:color w:val="245A81"/>
          </w:rPr>
          <w:t>Stigmergy and Self-Organizing Systems in Swarm Robotics: A Systematic Review</w:t>
        </w:r>
      </w:hyperlink>
      <w:r>
        <w:rPr>
          <w:sz w:val="20"/>
        </w:rPr>
      </w:r>
    </w:p>
    <w:p>
      <w:pPr>
        <w:spacing w:after="60"/>
      </w:pPr>
      <w:r>
        <w:rPr>
          <w:sz w:val="20"/>
        </w:rPr>
      </w:r>
      <w:r>
        <w:rPr>
          <w:b/>
          <w:sz w:val="20"/>
        </w:rPr>
        <w:t>[R15]</w:t>
      </w:r>
      <w:r>
        <w:rPr>
          <w:sz w:val="20"/>
        </w:rPr>
        <w:t xml:space="preserve"> </w:t>
      </w:r>
      <w:hyperlink r:id="rId27">
        <w:r>
          <w:rPr>
            <w:color w:val="245A81"/>
          </w:rPr>
          <w:t>Farama Foundation. PettingZoo Parallel API and Stable-Baselines3 tutorials. Documentation accessed 3 October 2026</w:t>
        </w:r>
      </w:hyperlink>
      <w:r>
        <w:rPr>
          <w:sz w:val="20"/>
        </w:rPr>
      </w:r>
    </w:p>
    <w:p>
      <w:pPr>
        <w:spacing w:after="60"/>
      </w:pPr>
      <w:r>
        <w:rPr>
          <w:sz w:val="20"/>
        </w:rPr>
      </w:r>
      <w:r>
        <w:rPr>
          <w:b/>
          <w:sz w:val="20"/>
        </w:rPr>
        <w:t>[R16]</w:t>
      </w:r>
      <w:r>
        <w:rPr>
          <w:sz w:val="20"/>
        </w:rPr>
        <w:t xml:space="preserve"> </w:t>
      </w:r>
      <w:hyperlink r:id="rId28">
        <w:r>
          <w:rPr>
            <w:color w:val="245A81"/>
          </w:rPr>
          <w:t>Stable-Baselines3 contributors. PPO documentation. Documentation accessed 3 October 2026</w:t>
        </w:r>
      </w:hyperlink>
      <w:r>
        <w:rPr>
          <w:sz w:val="20"/>
        </w:rPr>
      </w:r>
    </w:p>
    <w:sectPr w:rsidR="00FC693F" w:rsidRPr="0006063C" w:rsidSect="00034616">
      <w:footerReference w:type="default" r:id="rId9"/>
      <w:pgSz w:w="11909" w:h="16834"/>
      <w:pgMar w:top="1037"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Capstone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4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tadryad.org/dataset/doi%3A10.5061/dryad.bc4b0kk" TargetMode="External"/><Relationship Id="rId11" Type="http://schemas.openxmlformats.org/officeDocument/2006/relationships/hyperlink" Target="http://iridia.ulb.ac.be/supp/IridiaSupp2020-010/" TargetMode="External"/><Relationship Id="rId12" Type="http://schemas.openxmlformats.org/officeDocument/2006/relationships/hyperlink" Target="https://github.com/LuigiRibeiro/SSOS-SR-Dataset" TargetMode="External"/><Relationship Id="rId13" Type="http://schemas.openxmlformats.org/officeDocument/2006/relationships/hyperlink" Target="https://ifaamas.org/Proceedings/aamas2022/pdfs/p27.pdf" TargetMode="External"/><Relationship Id="rId14" Type="http://schemas.openxmlformats.org/officeDocument/2006/relationships/hyperlink" Target="https://arxiv.org/abs/1911.12504" TargetMode="External"/><Relationship Id="rId15" Type="http://schemas.openxmlformats.org/officeDocument/2006/relationships/hyperlink" Target="https://doi.org/10.3389/frobt.2020.591402" TargetMode="External"/><Relationship Id="rId16" Type="http://schemas.openxmlformats.org/officeDocument/2006/relationships/hyperlink" Target="https://doi.org/10.1098/rsos.190225" TargetMode="External"/><Relationship Id="rId17" Type="http://schemas.openxmlformats.org/officeDocument/2006/relationships/hyperlink" Target="https://doi.org/10.1016/j.scico.2019.102345" TargetMode="External"/><Relationship Id="rId18" Type="http://schemas.openxmlformats.org/officeDocument/2006/relationships/hyperlink" Target="https://arxiv.org/abs/2509.15956" TargetMode="External"/><Relationship Id="rId19" Type="http://schemas.openxmlformats.org/officeDocument/2006/relationships/hyperlink" Target="https://doi.org/10.1016/j.aiopen.2026.02.006" TargetMode="External"/><Relationship Id="rId20" Type="http://schemas.openxmlformats.org/officeDocument/2006/relationships/hyperlink" Target="https://doi.org/10.1145/3708320" TargetMode="External"/><Relationship Id="rId21" Type="http://schemas.openxmlformats.org/officeDocument/2006/relationships/hyperlink" Target="https://arxiv.org/abs/2302.03322" TargetMode="External"/><Relationship Id="rId22" Type="http://schemas.openxmlformats.org/officeDocument/2006/relationships/hyperlink" Target="https://arxiv.org/abs/2508.19488" TargetMode="External"/><Relationship Id="rId23" Type="http://schemas.openxmlformats.org/officeDocument/2006/relationships/hyperlink" Target="https://arxiv.org/abs/2510.03592" TargetMode="External"/><Relationship Id="rId24" Type="http://schemas.openxmlformats.org/officeDocument/2006/relationships/hyperlink" Target="https://www.nature.com/articles/s44172-024-00175-7" TargetMode="External"/><Relationship Id="rId25" Type="http://schemas.openxmlformats.org/officeDocument/2006/relationships/hyperlink" Target="https://github.com/BUAA-TrustworthyMARL/adv_marl_benchmark" TargetMode="External"/><Relationship Id="rId26" Type="http://schemas.openxmlformats.org/officeDocument/2006/relationships/hyperlink" Target="https://www.mdpi.com/1424-8220/26/13/4227" TargetMode="External"/><Relationship Id="rId27" Type="http://schemas.openxmlformats.org/officeDocument/2006/relationships/hyperlink" Target="https://pettingzoo.farama.org/tutorials/sb3/" TargetMode="External"/><Relationship Id="rId28" Type="http://schemas.openxmlformats.org/officeDocument/2006/relationships/hyperlink" Target="https://stable-baselines3.readthedocs.io/en/master/modules/pp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Stigmergic Coordination under Minority Pheromone Injection Attacks</dc:title>
  <dc:subject>proposal</dc:subject>
  <dc:creator>Aarya, Shashannk, Rohan and Tusti</dc:creator>
  <cp:keywords/>
  <dc:description>generated by python-docx</dc:description>
  <cp:lastModifiedBy/>
  <cp:revision>1</cp:revision>
  <dcterms:created xsi:type="dcterms:W3CDTF">2013-12-23T23:15:00Z</dcterms:created>
  <dcterms:modified xsi:type="dcterms:W3CDTF">2013-12-23T23:15:00Z</dcterms:modified>
  <cp:category/>
</cp:coreProperties>
</file>