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jc w:val="center"/>
      </w:pPr>
      <w:r>
        <w:t>CAPSTONE PROJECT ONE PAGER</w:t>
      </w:r>
    </w:p>
    <w:p>
      <w:pPr>
        <w:jc w:val="center"/>
      </w:pPr>
      <w:r>
        <w:rPr>
          <w:b/>
          <w:sz w:val="24"/>
        </w:rPr>
        <w:t>Robust Stigmergic Coordination under Minority Pheromone Injection Attacks</w:t>
      </w:r>
    </w:p>
    <w:p>
      <w:pPr>
        <w:pStyle w:val="Heading2"/>
      </w:pPr>
      <w:r>
        <w:t>Problem Statement</w:t>
      </w:r>
    </w:p>
    <w:p>
      <w:r>
        <w:t>Can a lightweight defense using local pheromone history and an agent’s own task progress improve cooperative learned-policy performance under minority pheromone-injection attacks, including unseen attack conditions, without substantially reducing clean-task performance?</w:t>
      </w:r>
    </w:p>
    <w:p>
      <w:pPr>
        <w:pStyle w:val="Heading2"/>
      </w:pPr>
      <w:r>
        <w:t>Team</w:t>
      </w:r>
    </w:p>
    <w:p>
      <w:pPr>
        <w:spacing w:after="60"/>
      </w:pPr>
      <w:r>
        <w:rPr>
          <w:sz w:val="20"/>
        </w:rPr>
        <w:t>Aarya (PES1UG24CS496) · Shashannk (PES1UG24CS436)</w:t>
        <w:br/>
        <w:t>Rohan (PES1UG24CS490) · Tusti (PES1UG24CS505)</w:t>
      </w:r>
    </w:p>
    <w:p>
      <w:pPr>
        <w:pStyle w:val="Heading2"/>
      </w:pPr>
      <w:r>
        <w:t>The Gap We Are Solving</w:t>
      </w:r>
    </w:p>
    <w:p>
      <w:r>
        <w:t>Hacking the Colony already establishes misleading-pheromone attacks, minority disruption and cautionary-pheromone mitigation [1]. Learned stigmergic coordination also exists [2]. Our candidate contribution is a reproducible evaluation of lightweight local defenses for learned policies under controlled attack and map shifts, measuring clean-performance cost and benign false alarms. Novelty remains conditional on the evidence.</w:t>
      </w:r>
    </w:p>
    <w:p>
      <w:pPr>
        <w:pStyle w:val="Heading2"/>
      </w:pPr>
      <w:r>
        <w:t>Application and Dataset</w:t>
      </w:r>
    </w:p>
    <w:p>
      <w:r>
        <w:t>Simulate cooperative resource retrieval in a small Python grid with local sensing and food/home pheromone. Train a parameter-shared PPO policy. Compromised agents inject bounded, nonnegative food pheromone at occupied cells through persistent, decoy or intermittent deposition. The defense uses local history and own progress, without attacker identities or a global resource map. Compare undefended, no-pheromone, timeout and adapted cautionary-pheromone baselines. Measure food delivered, attack degradation, recovery, clean-task cost and false alarms; report training-seed variability separately from episode variability. The CPU-first design supports limited GPU access and tests simulated coordination rather than hardware deployment.</w:t>
      </w:r>
    </w:p>
    <w:p>
      <w:r>
        <w:t>Generate versioned clean, attacked and defended trajectories; split complete episodes and maps before creating windows. Reviewed resources did not establish a ready-made standardized dataset matching the full protocol; this is a qualified finding, not proof of absence. AntSimulator provides attack code; benign robot datasets inform mechanics.</w:t>
      </w:r>
    </w:p>
    <w:p>
      <w:pPr>
        <w:pStyle w:val="Heading2"/>
      </w:pPr>
      <w:r>
        <w:t>Phases of Work</w:t>
      </w:r>
    </w:p>
    <w:tbl>
      <w:tblPr>
        <w:tblW w:type="auto" w:w="0"/>
        <w:jc w:val="center"/>
        <w:tblLayout w:type="fixed"/>
        <w:tblLook w:firstColumn="1" w:firstRow="1" w:lastColumn="0" w:lastRow="0" w:noHBand="0" w:noVBand="1" w:val="04A0"/>
      </w:tblPr>
      <w:tblGrid>
        <w:gridCol w:w="2059"/>
        <w:gridCol w:w="1440"/>
        <w:gridCol w:w="6451"/>
      </w:tblGrid>
      <w:tr>
        <w:trPr>
          <w:cantSplit/>
          <w:tblHeader/>
        </w:trPr>
        <w:tc>
          <w:tcPr>
            <w:tcW w:type="dxa" w:w="2059"/>
            <w:vAlign w:val="center"/>
            <w:shd w:fill="DFEAF1"/>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sz w:val="18"/>
              </w:rPr>
              <w:t>Phase</w:t>
            </w:r>
          </w:p>
        </w:tc>
        <w:tc>
          <w:tcPr>
            <w:tcW w:type="dxa" w:w="1440"/>
            <w:vAlign w:val="center"/>
            <w:shd w:fill="DFEAF1"/>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sz w:val="18"/>
              </w:rPr>
              <w:t>Timing</w:t>
            </w:r>
          </w:p>
        </w:tc>
        <w:tc>
          <w:tcPr>
            <w:tcW w:type="dxa" w:w="6451"/>
            <w:vAlign w:val="center"/>
            <w:shd w:fill="DFEAF1"/>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sz w:val="18"/>
              </w:rPr>
              <w:t>Required outcome</w:t>
            </w:r>
          </w:p>
        </w:tc>
      </w:tr>
      <w:tr>
        <w:trPr>
          <w:cantSplit/>
        </w:trPr>
        <w:tc>
          <w:tcPr>
            <w:tcW w:type="dxa" w:w="2059"/>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val="0"/>
                <w:sz w:val="18"/>
              </w:rPr>
              <w:t>1 Executable pilot</w:t>
            </w:r>
          </w:p>
        </w:tc>
        <w:tc>
          <w:tcPr>
            <w:tcW w:type="dxa" w:w="144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val="0"/>
                <w:sz w:val="18"/>
              </w:rPr>
              <w:t>Weeks 1–8</w:t>
            </w:r>
          </w:p>
        </w:tc>
        <w:tc>
          <w:tcPr>
            <w:tcW w:type="dxa" w:w="6451"/>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val="0"/>
                <w:sz w:val="18"/>
              </w:rPr>
              <w:t>Simulator, trained policy, attacks, local-defense pilot and release; completion target week 7, buffer week 8</w:t>
            </w:r>
          </w:p>
        </w:tc>
      </w:tr>
      <w:tr>
        <w:trPr>
          <w:cantSplit/>
        </w:trPr>
        <w:tc>
          <w:tcPr>
            <w:tcW w:type="dxa" w:w="2059"/>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val="0"/>
                <w:sz w:val="18"/>
              </w:rPr>
              <w:t>2 Research refinement</w:t>
            </w:r>
          </w:p>
        </w:tc>
        <w:tc>
          <w:tcPr>
            <w:tcW w:type="dxa" w:w="1440"/>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val="0"/>
                <w:sz w:val="18"/>
              </w:rPr>
              <w:t>Weeks 9–12</w:t>
            </w:r>
          </w:p>
        </w:tc>
        <w:tc>
          <w:tcPr>
            <w:tcW w:type="dxa" w:w="6451"/>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val="0"/>
                <w:sz w:val="18"/>
              </w:rPr>
              <w:t>Audited mechanics, stronger baselines and frozen evaluation protocol</w:t>
            </w:r>
          </w:p>
        </w:tc>
      </w:tr>
      <w:tr>
        <w:trPr>
          <w:cantSplit/>
        </w:trPr>
        <w:tc>
          <w:tcPr>
            <w:tcW w:type="dxa" w:w="2059"/>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val="0"/>
                <w:sz w:val="18"/>
              </w:rPr>
              <w:t>3 Main experiments</w:t>
            </w:r>
          </w:p>
        </w:tc>
        <w:tc>
          <w:tcPr>
            <w:tcW w:type="dxa" w:w="144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val="0"/>
                <w:sz w:val="18"/>
              </w:rPr>
              <w:t>Weeks 13–17</w:t>
            </w:r>
          </w:p>
        </w:tc>
        <w:tc>
          <w:tcPr>
            <w:tcW w:type="dxa" w:w="6451"/>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val="0"/>
                <w:sz w:val="18"/>
              </w:rPr>
              <w:t>Held-out evaluation, ablations, uncertainty and failure analysis</w:t>
            </w:r>
          </w:p>
        </w:tc>
      </w:tr>
      <w:tr>
        <w:trPr>
          <w:cantSplit/>
        </w:trPr>
        <w:tc>
          <w:tcPr>
            <w:tcW w:type="dxa" w:w="2059"/>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val="0"/>
                <w:sz w:val="18"/>
              </w:rPr>
              <w:t>4 Publication and final release</w:t>
            </w:r>
          </w:p>
        </w:tc>
        <w:tc>
          <w:tcPr>
            <w:tcW w:type="dxa" w:w="1440"/>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val="0"/>
                <w:sz w:val="18"/>
              </w:rPr>
              <w:t>Weeks 18–22</w:t>
            </w:r>
          </w:p>
        </w:tc>
        <w:tc>
          <w:tcPr>
            <w:tcW w:type="dxa" w:w="6451"/>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line="245" w:lineRule="auto"/>
            </w:pPr>
            <w:r>
              <w:rPr>
                <w:b w:val="0"/>
                <w:sz w:val="18"/>
              </w:rPr>
              <w:t>Manuscript, reproducibility audit and demo; primary submission target weeks 20–22</w:t>
            </w:r>
          </w:p>
        </w:tc>
      </w:tr>
    </w:tbl>
    <w:p>
      <w:pPr>
        <w:spacing w:after="0"/>
      </w:pPr>
    </w:p>
    <w:p>
      <w:pPr>
        <w:pStyle w:val="Heading2"/>
      </w:pPr>
      <w:r>
        <w:t>Expected Contribution</w:t>
      </w:r>
    </w:p>
    <w:p>
      <w:r>
        <w:t>A runnable benchmark, trained checkpoint, labeled sample dataset, local-defense implementation, comparison plots and demo. Pilot gates at weeks 2, 4 and 6 lead to the week-7 code release. The final study will show where the defense helps or fails; a primary paper submission is conditional on rigorous results and official deadlines. A second paper requires a distinct later contribution.</w:t>
      </w:r>
    </w:p>
    <w:p>
      <w:r>
        <w:rPr>
          <w:sz w:val="18"/>
        </w:rPr>
      </w:r>
      <w:r>
        <w:rPr>
          <w:b/>
          <w:sz w:val="18"/>
        </w:rPr>
        <w:t>References</w:t>
      </w:r>
      <w:r>
        <w:rPr>
          <w:sz w:val="18"/>
        </w:rPr>
        <w:t xml:space="preserve"> [1] </w:t>
      </w:r>
      <w:hyperlink r:id="rId7">
        <w:r>
          <w:rPr>
            <w:color w:val="245A81"/>
          </w:rPr>
          <w:t>Aswale et al.</w:t>
        </w:r>
      </w:hyperlink>
      <w:r>
        <w:rPr>
          <w:sz w:val="18"/>
        </w:rPr>
        <w:t xml:space="preserve"> · [2] </w:t>
      </w:r>
      <w:hyperlink r:id="rId8">
        <w:r>
          <w:rPr>
            <w:color w:val="245A81"/>
          </w:rPr>
          <w:t>Aina and Ha</w:t>
        </w:r>
      </w:hyperlink>
      <w:r>
        <w:rPr>
          <w:sz w:val="18"/>
        </w:rPr>
        <w:t xml:space="preserve"> · [3] </w:t>
      </w:r>
      <w:hyperlink r:id="rId9">
        <w:r>
          <w:rPr>
            <w:color w:val="245A81"/>
          </w:rPr>
          <w:t>MARL security survey</w:t>
        </w:r>
      </w:hyperlink>
      <w:r>
        <w:rPr>
          <w:sz w:val="18"/>
        </w:rPr>
      </w:r>
    </w:p>
    <w:sectPr>
      <w:headerReference r:id="rId6" w:type="default"/>
      <w:pgSz w:h="16834" w:w="11909" w:orient="portrait"/>
      <w:pgMar w:bottom="835" w:top="893" w:left="979" w:right="979" w:header="360" w:footer="40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keepLines w:val="1"/>
      <w:pageBreakBefore w:val="0"/>
      <w:spacing w:after="80" w:before="100" w:lineRule="auto"/>
    </w:pPr>
    <w:rPr>
      <w:rFonts w:ascii="Calibri" w:hAnsi="Calibri"/>
      <w:b/>
      <w:color w:val="000000"/>
      <w:sz w:val="32"/>
      <w:szCs w:val="40"/>
    </w:rPr>
  </w:style>
  <w:style w:type="paragraph" w:styleId="Heading2">
    <w:name w:val="heading 2"/>
    <w:basedOn w:val="Normal"/>
    <w:next w:val="Normal"/>
    <w:pPr>
      <w:keepNext/>
      <w:keepLines w:val="1"/>
      <w:pageBreakBefore w:val="0"/>
      <w:spacing w:after="80" w:before="100" w:lineRule="auto"/>
    </w:pPr>
    <w:rPr>
      <w:rFonts w:ascii="Calibri" w:hAnsi="Calibri"/>
      <w:b/>
      <w:bCs w:val="0"/>
      <w:color w:val="000000"/>
      <w:sz w:val="24"/>
      <w:szCs w:val="32"/>
    </w:rPr>
  </w:style>
  <w:style w:type="paragraph" w:styleId="Heading3">
    <w:name w:val="heading 3"/>
    <w:basedOn w:val="Normal"/>
    <w:next w:val="Normal"/>
    <w:pPr>
      <w:keepNext/>
      <w:keepLines w:val="1"/>
      <w:pageBreakBefore w:val="0"/>
      <w:spacing w:after="80" w:before="100" w:lineRule="auto"/>
    </w:pPr>
    <w:rPr>
      <w:rFonts w:ascii="Calibri" w:hAnsi="Calibri"/>
      <w:b/>
      <w:bCs w:val="0"/>
      <w:color w:val="000000"/>
      <w:sz w:val="22"/>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keepLines w:val="1"/>
      <w:pageBreakBefore w:val="0"/>
      <w:spacing w:after="100" w:before="140" w:lineRule="auto"/>
    </w:pPr>
    <w:rPr>
      <w:rFonts w:ascii="Calibri" w:hAnsi="Calibri"/>
      <w:b/>
      <w:color w:val="000000"/>
      <w:sz w:val="36"/>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paragraph" w:default="1" w:styleId="Normal">
    <w:name w:val="Normal"/>
    <w:qFormat/>
    <w:rsid w:val="00FC693F"/>
    <w:pPr>
      <w:widowControl/>
      <w:spacing w:after="80" w:line="250" w:lineRule="auto"/>
    </w:pPr>
    <w:rPr>
      <w:rFonts w:ascii="Calibri" w:hAnsi="Calibri"/>
      <w:color w:val="000000"/>
      <w:sz w:val="22"/>
    </w:rPr>
  </w:style>
  <w:style w:type="paragraph" w:styleId="ListBullet">
    <w:name w:val="List Bullet"/>
    <w:basedOn w:val="Normal"/>
    <w:uiPriority w:val="99"/>
    <w:unhideWhenUsed/>
    <w:rsid w:val="00326F90"/>
    <w:pPr>
      <w:numPr>
        <w:numId w:val="1"/>
      </w:numPr>
      <w:spacing w:after="60" w:line="252" w:lineRule="auto"/>
      <w:contextualSpacing/>
    </w:pPr>
    <w:rPr>
      <w:rFonts w:ascii="Calibri" w:hAnsi="Calibri"/>
      <w:color w:val="000000"/>
      <w:sz w:val="20"/>
    </w:rPr>
  </w:style>
  <w:style w:type="paragraph" w:styleId="ListNumber">
    <w:name w:val="List Number"/>
    <w:basedOn w:val="Normal"/>
    <w:uiPriority w:val="99"/>
    <w:unhideWhenUsed/>
    <w:rsid w:val="00326F90"/>
    <w:pPr>
      <w:numPr>
        <w:numId w:val="5"/>
      </w:numPr>
      <w:spacing w:after="60" w:line="252" w:lineRule="auto"/>
      <w:contextualSpacing/>
    </w:pPr>
    <w:rPr>
      <w:rFonts w:ascii="Calibri" w:hAnsi="Calibri"/>
      <w:color w:val="000000"/>
      <w:sz w:val="2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yperlink" Target="https://ifaamas.org/Proceedings/aamas2022/pdfs/p27.pdf" TargetMode="External"/><Relationship Id="rId8" Type="http://schemas.openxmlformats.org/officeDocument/2006/relationships/hyperlink" Target="https://arxiv.org/abs/2510.03592" TargetMode="External"/><Relationship Id="rId9" Type="http://schemas.openxmlformats.org/officeDocument/2006/relationships/hyperlink" Target="https://doi.org/10.1145/37083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Robust Stigmergic Coordination under Minority Pheromone Injection Attacks</dc:title>
  <cp:lastModifiedBy>python-docx</cp:lastModifiedBy>
  <cp:revision>1</cp:revision>
  <dcterms:modified xsi:type="dcterms:W3CDTF">2026-10-03T15:58:05Z</dcterms:modified>
  <dc:creator>Aarya, Shashannk, Rohan and Tusti</dc:creator>
  <dc:subject>one</dc:subject>
</cp:coreProperties>
</file>