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8B64A" w14:textId="48D8594A" w:rsidR="00BC5FCB" w:rsidRDefault="00000000">
      <w:pPr>
        <w:pStyle w:val="Heading1"/>
      </w:pPr>
      <w:bookmarkStart w:id="0" w:name="Xd46c1ce7d6db17244270212d62dd7e633ba5264"/>
      <w:r>
        <w:t xml:space="preserve">Concept Review </w:t>
      </w:r>
    </w:p>
    <w:p w14:paraId="417313D5" w14:textId="77777777" w:rsidR="00BC5FCB" w:rsidRDefault="00000000">
      <w:pPr>
        <w:pStyle w:val="Heading2"/>
      </w:pPr>
      <w:bookmarkStart w:id="1" w:name="module-1-data-analytics"/>
      <w:r>
        <w:t>Module 1 – Data Analytics</w:t>
      </w:r>
    </w:p>
    <w:p w14:paraId="76CCB834" w14:textId="77777777" w:rsidR="00BC5FCB" w:rsidRDefault="00000000">
      <w:pPr>
        <w:pStyle w:val="Compact"/>
        <w:numPr>
          <w:ilvl w:val="0"/>
          <w:numId w:val="2"/>
        </w:numPr>
      </w:pPr>
      <w:r>
        <w:t>In a bell-shaped distribution, most data lies within one standard deviation from the mean.</w:t>
      </w:r>
    </w:p>
    <w:p w14:paraId="26C39D53" w14:textId="77777777" w:rsidR="00BC5FCB" w:rsidRDefault="00000000">
      <w:pPr>
        <w:pStyle w:val="Compact"/>
        <w:numPr>
          <w:ilvl w:val="0"/>
          <w:numId w:val="2"/>
        </w:numPr>
      </w:pPr>
      <w:r>
        <w:t>In a normal distribution of pulse rates with mean 72 bpm and standard deviation 6 bpm, values between 60 and 84 bpm represent typical cases.</w:t>
      </w:r>
    </w:p>
    <w:p w14:paraId="39774B80" w14:textId="77777777" w:rsidR="00BC5FCB" w:rsidRDefault="00000000">
      <w:pPr>
        <w:pStyle w:val="Compact"/>
        <w:numPr>
          <w:ilvl w:val="0"/>
          <w:numId w:val="2"/>
        </w:numPr>
      </w:pPr>
      <w:r>
        <w:t>The z-score expresses how many standard deviations a value lies from the mean.</w:t>
      </w:r>
    </w:p>
    <w:p w14:paraId="309838E1" w14:textId="77777777" w:rsidR="00BC5FCB" w:rsidRDefault="00000000">
      <w:pPr>
        <w:pStyle w:val="Compact"/>
        <w:numPr>
          <w:ilvl w:val="0"/>
          <w:numId w:val="2"/>
        </w:numPr>
      </w:pPr>
      <w:r>
        <w:t>An IQ of 115 is one standard deviation above the mean of 100 in a normal distribution.</w:t>
      </w:r>
    </w:p>
    <w:p w14:paraId="5ACADF3C" w14:textId="77777777" w:rsidR="00BC5FCB" w:rsidRDefault="00000000">
      <w:pPr>
        <w:pStyle w:val="Compact"/>
        <w:numPr>
          <w:ilvl w:val="0"/>
          <w:numId w:val="2"/>
        </w:numPr>
      </w:pPr>
      <w:r>
        <w:t>Descriptive analytics focuses on summarizing past data to understand what happened.</w:t>
      </w:r>
    </w:p>
    <w:p w14:paraId="33E2F649" w14:textId="77777777" w:rsidR="00BC5FCB" w:rsidRDefault="00000000">
      <w:pPr>
        <w:pStyle w:val="Compact"/>
        <w:numPr>
          <w:ilvl w:val="0"/>
          <w:numId w:val="2"/>
        </w:numPr>
      </w:pPr>
      <w:r>
        <w:t>Diagnostic analytics identifies reasons behind patterns or outcomes in data.</w:t>
      </w:r>
    </w:p>
    <w:p w14:paraId="250F212B" w14:textId="77777777" w:rsidR="00BC5FCB" w:rsidRDefault="00000000">
      <w:pPr>
        <w:pStyle w:val="Compact"/>
        <w:numPr>
          <w:ilvl w:val="0"/>
          <w:numId w:val="2"/>
        </w:numPr>
      </w:pPr>
      <w:r>
        <w:t>Predictive analytics estimates future outcomes based on historical patterns.</w:t>
      </w:r>
    </w:p>
    <w:p w14:paraId="50782F82" w14:textId="77777777" w:rsidR="00BC5FCB" w:rsidRDefault="00000000">
      <w:pPr>
        <w:pStyle w:val="Compact"/>
        <w:numPr>
          <w:ilvl w:val="0"/>
          <w:numId w:val="2"/>
        </w:numPr>
      </w:pPr>
      <w:r>
        <w:t>Prescriptive analytics suggests actions or strategies to optimize outcomes.</w:t>
      </w:r>
    </w:p>
    <w:p w14:paraId="2DC3739B" w14:textId="77777777" w:rsidR="00BC5FCB" w:rsidRDefault="00000000">
      <w:pPr>
        <w:pStyle w:val="Compact"/>
        <w:numPr>
          <w:ilvl w:val="0"/>
          <w:numId w:val="2"/>
        </w:numPr>
      </w:pPr>
      <w:r>
        <w:t>Linear growth in data allows forecasting future values using predictive analytics.</w:t>
      </w:r>
    </w:p>
    <w:p w14:paraId="3E36D1EF" w14:textId="77777777" w:rsidR="00BC5FCB" w:rsidRDefault="00000000">
      <w:pPr>
        <w:pStyle w:val="Compact"/>
        <w:numPr>
          <w:ilvl w:val="0"/>
          <w:numId w:val="2"/>
        </w:numPr>
      </w:pPr>
      <w:r>
        <w:t>Operational inefficiencies can be identified through diagnostic analysis of cost patterns.</w:t>
      </w:r>
    </w:p>
    <w:p w14:paraId="58208262" w14:textId="77777777" w:rsidR="00BC5FCB" w:rsidRDefault="00000000">
      <w:pPr>
        <w:pStyle w:val="Compact"/>
        <w:numPr>
          <w:ilvl w:val="0"/>
          <w:numId w:val="2"/>
        </w:numPr>
      </w:pPr>
      <w:r>
        <w:t>Prescriptive models adjust recommendations such as optimal stock levels during demand surges.</w:t>
      </w:r>
    </w:p>
    <w:p w14:paraId="7236CB28" w14:textId="77777777" w:rsidR="00BC5FCB" w:rsidRDefault="00000000">
      <w:pPr>
        <w:pStyle w:val="Compact"/>
        <w:numPr>
          <w:ilvl w:val="0"/>
          <w:numId w:val="2"/>
        </w:numPr>
      </w:pPr>
      <w:r>
        <w:t>Mean, median, mode, variance, and standard deviation summarize data dispersion.</w:t>
      </w:r>
    </w:p>
    <w:p w14:paraId="3B1CAA67" w14:textId="77777777" w:rsidR="00BC5FCB" w:rsidRDefault="00000000">
      <w:pPr>
        <w:pStyle w:val="Compact"/>
        <w:numPr>
          <w:ilvl w:val="0"/>
          <w:numId w:val="2"/>
        </w:numPr>
      </w:pPr>
      <w:r>
        <w:t>Probability distributions describe how values are spread for a random variable.</w:t>
      </w:r>
    </w:p>
    <w:p w14:paraId="55C20869" w14:textId="77777777" w:rsidR="00BC5FCB" w:rsidRDefault="00000000">
      <w:pPr>
        <w:pStyle w:val="Compact"/>
        <w:numPr>
          <w:ilvl w:val="0"/>
          <w:numId w:val="2"/>
        </w:numPr>
      </w:pPr>
      <w:r>
        <w:t>Discrete distributions include Binomial, Poisson, and Geometric; continuous include Normal, Uniform, and Exponential.</w:t>
      </w:r>
    </w:p>
    <w:p w14:paraId="0FC97991" w14:textId="77777777" w:rsidR="00BC5FCB" w:rsidRDefault="00000000">
      <w:pPr>
        <w:pStyle w:val="Compact"/>
        <w:numPr>
          <w:ilvl w:val="0"/>
          <w:numId w:val="2"/>
        </w:numPr>
      </w:pPr>
      <w:r>
        <w:t>Poisson distribution models the probability of events occurring in a fixed interval given an average rate (λ).</w:t>
      </w:r>
    </w:p>
    <w:p w14:paraId="3F4965D9" w14:textId="77777777" w:rsidR="00BC5FCB" w:rsidRDefault="00000000">
      <w:pPr>
        <w:pStyle w:val="Compact"/>
        <w:numPr>
          <w:ilvl w:val="0"/>
          <w:numId w:val="2"/>
        </w:numPr>
      </w:pPr>
      <w:r>
        <w:t>Poisson formula: P(X=k) = (e^-λ * λ^k) / k!.</w:t>
      </w:r>
    </w:p>
    <w:p w14:paraId="7DD51C2E" w14:textId="77777777" w:rsidR="00BC5FCB" w:rsidRDefault="00000000">
      <w:pPr>
        <w:pStyle w:val="Compact"/>
        <w:numPr>
          <w:ilvl w:val="0"/>
          <w:numId w:val="2"/>
        </w:numPr>
      </w:pPr>
      <w:r>
        <w:t>Expected value and variance of Poisson both equal λ.</w:t>
      </w:r>
    </w:p>
    <w:p w14:paraId="73A7158E" w14:textId="77777777" w:rsidR="00BC5FCB" w:rsidRDefault="00000000">
      <w:pPr>
        <w:pStyle w:val="Compact"/>
        <w:numPr>
          <w:ilvl w:val="0"/>
          <w:numId w:val="2"/>
        </w:numPr>
      </w:pPr>
      <w:r>
        <w:t>Normal distribution is symmetric with mean = median = mode.</w:t>
      </w:r>
    </w:p>
    <w:p w14:paraId="6BF2EABC" w14:textId="77777777" w:rsidR="00BC5FCB" w:rsidRDefault="00000000">
      <w:pPr>
        <w:pStyle w:val="Compact"/>
        <w:numPr>
          <w:ilvl w:val="0"/>
          <w:numId w:val="2"/>
        </w:numPr>
      </w:pPr>
      <w:r>
        <w:t>Z-scores standardize values in the normal distribution for comparison.</w:t>
      </w:r>
    </w:p>
    <w:p w14:paraId="61241BC4" w14:textId="77777777" w:rsidR="00BC5FCB" w:rsidRDefault="00000000">
      <w:pPr>
        <w:pStyle w:val="Compact"/>
        <w:numPr>
          <w:ilvl w:val="0"/>
          <w:numId w:val="2"/>
        </w:numPr>
      </w:pPr>
      <w:r>
        <w:t>A sample is a subset of the population used for inference.</w:t>
      </w:r>
    </w:p>
    <w:p w14:paraId="414A1694" w14:textId="77777777" w:rsidR="00BC5FCB" w:rsidRDefault="00000000">
      <w:pPr>
        <w:pStyle w:val="Compact"/>
        <w:numPr>
          <w:ilvl w:val="0"/>
          <w:numId w:val="2"/>
        </w:numPr>
      </w:pPr>
      <w:r>
        <w:t>Null hypothesis (H₀) assumes no effect; alternative hypothesis (H₁) states a difference.</w:t>
      </w:r>
    </w:p>
    <w:p w14:paraId="52510694" w14:textId="77777777" w:rsidR="00BC5FCB" w:rsidRDefault="00000000">
      <w:pPr>
        <w:pStyle w:val="Compact"/>
        <w:numPr>
          <w:ilvl w:val="0"/>
          <w:numId w:val="2"/>
        </w:numPr>
      </w:pPr>
      <w:r>
        <w:t>Type I error (α): rejecting a true H₀; Type II error (β): failing to reject a false H₀.</w:t>
      </w:r>
    </w:p>
    <w:p w14:paraId="09763B4E" w14:textId="77777777" w:rsidR="00BC5FCB" w:rsidRDefault="00000000">
      <w:pPr>
        <w:pStyle w:val="Compact"/>
        <w:numPr>
          <w:ilvl w:val="0"/>
          <w:numId w:val="2"/>
        </w:numPr>
      </w:pPr>
      <w:r>
        <w:t>P-value measures the probability of observing data if H₀ is true.</w:t>
      </w:r>
    </w:p>
    <w:p w14:paraId="17CDC328" w14:textId="77777777" w:rsidR="00BC5FCB" w:rsidRDefault="00000000">
      <w:pPr>
        <w:pStyle w:val="Compact"/>
        <w:numPr>
          <w:ilvl w:val="0"/>
          <w:numId w:val="2"/>
        </w:numPr>
      </w:pPr>
      <w:r>
        <w:t>Confidence level = 1 – α (commonly 95%).</w:t>
      </w:r>
    </w:p>
    <w:p w14:paraId="4BC48243" w14:textId="77777777" w:rsidR="00BC5FCB" w:rsidRDefault="00000000">
      <w:pPr>
        <w:pStyle w:val="Compact"/>
        <w:numPr>
          <w:ilvl w:val="0"/>
          <w:numId w:val="2"/>
        </w:numPr>
      </w:pPr>
      <w:r>
        <w:t>One-tailed vs. two-tailed tests define direction of testing.</w:t>
      </w:r>
    </w:p>
    <w:p w14:paraId="4CC62F0A" w14:textId="77777777" w:rsidR="00BC5FCB" w:rsidRDefault="00000000">
      <w:pPr>
        <w:pStyle w:val="Compact"/>
        <w:numPr>
          <w:ilvl w:val="0"/>
          <w:numId w:val="2"/>
        </w:numPr>
      </w:pPr>
      <w:r>
        <w:lastRenderedPageBreak/>
        <w:t>Z-test is used when population variance is known; t-test when unknown or small sample size.</w:t>
      </w:r>
    </w:p>
    <w:p w14:paraId="6A075F48" w14:textId="77777777" w:rsidR="00BC5FCB" w:rsidRDefault="00000000">
      <w:pPr>
        <w:pStyle w:val="Compact"/>
        <w:numPr>
          <w:ilvl w:val="0"/>
          <w:numId w:val="2"/>
        </w:numPr>
      </w:pPr>
      <w:r>
        <w:t>Chi-square test checks goodness of fit or independence.</w:t>
      </w:r>
    </w:p>
    <w:p w14:paraId="37DF4664" w14:textId="77777777" w:rsidR="00BC5FCB" w:rsidRDefault="00000000">
      <w:pPr>
        <w:pStyle w:val="Compact"/>
        <w:numPr>
          <w:ilvl w:val="0"/>
          <w:numId w:val="2"/>
        </w:numPr>
      </w:pPr>
      <w:r>
        <w:t>Correlation and regression measure strength and direction of variable relationships.</w:t>
      </w:r>
    </w:p>
    <w:p w14:paraId="0B9C4020" w14:textId="77777777" w:rsidR="00BC5FCB" w:rsidRDefault="00000000">
      <w:pPr>
        <w:pStyle w:val="Compact"/>
        <w:numPr>
          <w:ilvl w:val="0"/>
          <w:numId w:val="2"/>
        </w:numPr>
      </w:pPr>
      <w:r>
        <w:t>Coefficient of determination (R²) indicates model explanatory power.</w:t>
      </w:r>
    </w:p>
    <w:p w14:paraId="0454BE48" w14:textId="77777777" w:rsidR="00BC5FCB" w:rsidRDefault="00000000">
      <w:pPr>
        <w:pStyle w:val="Compact"/>
        <w:numPr>
          <w:ilvl w:val="0"/>
          <w:numId w:val="2"/>
        </w:numPr>
      </w:pPr>
      <w:r>
        <w:t>Numerical practice topics: computing probabilities using Poisson/Normal distributions, z-scores, confidence intervals, p-values, hypothesis testing, regression, and trend estimation.</w:t>
      </w:r>
    </w:p>
    <w:p w14:paraId="42147B8A" w14:textId="77777777" w:rsidR="00BC5FCB" w:rsidRDefault="00000000">
      <w:pPr>
        <w:pStyle w:val="Heading2"/>
      </w:pPr>
      <w:bookmarkStart w:id="2" w:name="module-2-gis-and-spatial-data"/>
      <w:bookmarkEnd w:id="1"/>
      <w:r>
        <w:t>Module 2 – GIS and Spatial Data</w:t>
      </w:r>
    </w:p>
    <w:p w14:paraId="26D43D7E" w14:textId="77777777" w:rsidR="00BC5FCB" w:rsidRDefault="00000000">
      <w:pPr>
        <w:pStyle w:val="Compact"/>
        <w:numPr>
          <w:ilvl w:val="0"/>
          <w:numId w:val="3"/>
        </w:numPr>
      </w:pPr>
      <w:r>
        <w:t>GIS integrates spatial and attribute data for analysis and visualization.</w:t>
      </w:r>
    </w:p>
    <w:p w14:paraId="3747D4E1" w14:textId="77777777" w:rsidR="00BC5FCB" w:rsidRDefault="00000000">
      <w:pPr>
        <w:pStyle w:val="Compact"/>
        <w:numPr>
          <w:ilvl w:val="0"/>
          <w:numId w:val="3"/>
        </w:numPr>
      </w:pPr>
      <w:r>
        <w:t>Spatial data includes location information, whereas attribute data describes feature characteristics.</w:t>
      </w:r>
    </w:p>
    <w:p w14:paraId="59BE87DD" w14:textId="77777777" w:rsidR="00BC5FCB" w:rsidRDefault="00000000">
      <w:pPr>
        <w:pStyle w:val="Compact"/>
        <w:numPr>
          <w:ilvl w:val="0"/>
          <w:numId w:val="3"/>
        </w:numPr>
      </w:pPr>
      <w:r>
        <w:t>Vector data represents real-world features using points, lines, and polygons.</w:t>
      </w:r>
    </w:p>
    <w:p w14:paraId="7D6F181A" w14:textId="77777777" w:rsidR="00BC5FCB" w:rsidRDefault="00000000">
      <w:pPr>
        <w:pStyle w:val="Compact"/>
        <w:numPr>
          <w:ilvl w:val="0"/>
          <w:numId w:val="3"/>
        </w:numPr>
      </w:pPr>
      <w:r>
        <w:t>Raster data models continuous phenomena such as temperature or elevation.</w:t>
      </w:r>
    </w:p>
    <w:p w14:paraId="29FC9016" w14:textId="77777777" w:rsidR="00BC5FCB" w:rsidRDefault="00000000">
      <w:pPr>
        <w:pStyle w:val="Compact"/>
        <w:numPr>
          <w:ilvl w:val="0"/>
          <w:numId w:val="3"/>
        </w:numPr>
      </w:pPr>
      <w:r>
        <w:t>Georeferencing aligns datasets from different sources to a common coordinate system.</w:t>
      </w:r>
    </w:p>
    <w:p w14:paraId="59307288" w14:textId="77777777" w:rsidR="00BC5FCB" w:rsidRDefault="00000000">
      <w:pPr>
        <w:pStyle w:val="Compact"/>
        <w:numPr>
          <w:ilvl w:val="0"/>
          <w:numId w:val="3"/>
        </w:numPr>
      </w:pPr>
      <w:r>
        <w:t>Overlay analysis combines multiple spatial layers to derive new insights.</w:t>
      </w:r>
    </w:p>
    <w:p w14:paraId="32A6C3BE" w14:textId="77777777" w:rsidR="00BC5FCB" w:rsidRDefault="00000000">
      <w:pPr>
        <w:pStyle w:val="Compact"/>
        <w:numPr>
          <w:ilvl w:val="0"/>
          <w:numId w:val="3"/>
        </w:numPr>
      </w:pPr>
      <w:r>
        <w:t>A shapefile (.shp) is a widely used format for vector data.</w:t>
      </w:r>
    </w:p>
    <w:p w14:paraId="42B01EEC" w14:textId="77777777" w:rsidR="00BC5FCB" w:rsidRDefault="00000000">
      <w:pPr>
        <w:pStyle w:val="Compact"/>
        <w:numPr>
          <w:ilvl w:val="0"/>
          <w:numId w:val="3"/>
        </w:numPr>
      </w:pPr>
      <w:r>
        <w:t>PostgreSQL with PostGIS is a common database system for spatial data handling.</w:t>
      </w:r>
    </w:p>
    <w:p w14:paraId="799F27D6" w14:textId="77777777" w:rsidR="00BC5FCB" w:rsidRDefault="00000000">
      <w:pPr>
        <w:pStyle w:val="Compact"/>
        <w:numPr>
          <w:ilvl w:val="0"/>
          <w:numId w:val="3"/>
        </w:numPr>
      </w:pPr>
      <w:r>
        <w:t>QGIS is an open-source GIS platform used for analysis and mapping.</w:t>
      </w:r>
    </w:p>
    <w:p w14:paraId="69C8305B" w14:textId="77777777" w:rsidR="00BC5FCB" w:rsidRDefault="00000000">
      <w:pPr>
        <w:pStyle w:val="Compact"/>
        <w:numPr>
          <w:ilvl w:val="0"/>
          <w:numId w:val="3"/>
        </w:numPr>
      </w:pPr>
      <w:r>
        <w:t>Topology in GIS defines how spatial features are connected or related.</w:t>
      </w:r>
    </w:p>
    <w:p w14:paraId="3FF3F763" w14:textId="77777777" w:rsidR="00BC5FCB" w:rsidRDefault="00000000">
      <w:pPr>
        <w:pStyle w:val="Compact"/>
        <w:numPr>
          <w:ilvl w:val="0"/>
          <w:numId w:val="3"/>
        </w:numPr>
      </w:pPr>
      <w:r>
        <w:t>Quadtrees divide space into four quadrants to manage spatial resolution efficiently.</w:t>
      </w:r>
    </w:p>
    <w:p w14:paraId="0D667320" w14:textId="77777777" w:rsidR="00BC5FCB" w:rsidRDefault="00000000">
      <w:pPr>
        <w:pStyle w:val="Compact"/>
        <w:numPr>
          <w:ilvl w:val="0"/>
          <w:numId w:val="3"/>
        </w:numPr>
      </w:pPr>
      <w:r>
        <w:t>In a quadtree, each internal node typically has four children representing subregions.</w:t>
      </w:r>
    </w:p>
    <w:p w14:paraId="2E5B4427" w14:textId="77777777" w:rsidR="00BC5FCB" w:rsidRDefault="00000000">
      <w:pPr>
        <w:pStyle w:val="Compact"/>
        <w:numPr>
          <w:ilvl w:val="0"/>
          <w:numId w:val="3"/>
        </w:numPr>
      </w:pPr>
      <w:r>
        <w:t>Raster data divides the area into grids or cells for analysis.</w:t>
      </w:r>
    </w:p>
    <w:p w14:paraId="7E52687A" w14:textId="77777777" w:rsidR="00BC5FCB" w:rsidRDefault="00000000">
      <w:pPr>
        <w:pStyle w:val="Compact"/>
        <w:numPr>
          <w:ilvl w:val="0"/>
          <w:numId w:val="3"/>
        </w:numPr>
      </w:pPr>
      <w:r>
        <w:t>Vector data is preferred for high-precision applications such as cadastral mapping.</w:t>
      </w:r>
    </w:p>
    <w:p w14:paraId="3A7F0822" w14:textId="77777777" w:rsidR="00BC5FCB" w:rsidRDefault="00000000">
      <w:pPr>
        <w:pStyle w:val="Compact"/>
        <w:numPr>
          <w:ilvl w:val="0"/>
          <w:numId w:val="3"/>
        </w:numPr>
      </w:pPr>
      <w:r>
        <w:t>Raster data is suitable for continuous surface modeling like slope or temperature.</w:t>
      </w:r>
    </w:p>
    <w:p w14:paraId="3667C4E9" w14:textId="77777777" w:rsidR="00BC5FCB" w:rsidRDefault="00000000">
      <w:pPr>
        <w:pStyle w:val="Compact"/>
        <w:numPr>
          <w:ilvl w:val="0"/>
          <w:numId w:val="3"/>
        </w:numPr>
      </w:pPr>
      <w:r>
        <w:t>Spatial association rule mining identifies relationships between spatial features.</w:t>
      </w:r>
    </w:p>
    <w:p w14:paraId="45FA0033" w14:textId="77777777" w:rsidR="00BC5FCB" w:rsidRDefault="00000000">
      <w:pPr>
        <w:pStyle w:val="Compact"/>
        <w:numPr>
          <w:ilvl w:val="0"/>
          <w:numId w:val="3"/>
        </w:numPr>
      </w:pPr>
      <w:r>
        <w:t>Support measures how frequently an itemset occurs in a spatial dataset.</w:t>
      </w:r>
    </w:p>
    <w:p w14:paraId="22E69166" w14:textId="77777777" w:rsidR="00BC5FCB" w:rsidRDefault="00000000">
      <w:pPr>
        <w:pStyle w:val="Compact"/>
        <w:numPr>
          <w:ilvl w:val="0"/>
          <w:numId w:val="3"/>
        </w:numPr>
      </w:pPr>
      <w:r>
        <w:t>Confidence indicates the probability of the consequent given the antecedent in spatial rules.</w:t>
      </w:r>
    </w:p>
    <w:p w14:paraId="0264CCFA" w14:textId="77777777" w:rsidR="00BC5FCB" w:rsidRDefault="00000000">
      <w:pPr>
        <w:pStyle w:val="Compact"/>
        <w:numPr>
          <w:ilvl w:val="0"/>
          <w:numId w:val="3"/>
        </w:numPr>
      </w:pPr>
      <w:r>
        <w:t>Lift measures the interestingness or strength of association rules beyond random chance.</w:t>
      </w:r>
    </w:p>
    <w:p w14:paraId="70183AE8" w14:textId="77777777" w:rsidR="00BC5FCB" w:rsidRDefault="00000000">
      <w:pPr>
        <w:pStyle w:val="Compact"/>
        <w:numPr>
          <w:ilvl w:val="0"/>
          <w:numId w:val="3"/>
        </w:numPr>
      </w:pPr>
      <w:r>
        <w:t>Digitization converts hard copy maps or survey plans into digital spatial data.</w:t>
      </w:r>
    </w:p>
    <w:p w14:paraId="6C98B6F0" w14:textId="77777777" w:rsidR="00BC5FCB" w:rsidRDefault="00000000">
      <w:pPr>
        <w:pStyle w:val="Compact"/>
        <w:numPr>
          <w:ilvl w:val="0"/>
          <w:numId w:val="3"/>
        </w:numPr>
      </w:pPr>
      <w:r>
        <w:t>Resolution defines the ratio of image size to number of pixels per unit area.</w:t>
      </w:r>
    </w:p>
    <w:p w14:paraId="39AF123E" w14:textId="77777777" w:rsidR="00BC5FCB" w:rsidRDefault="00000000">
      <w:pPr>
        <w:pStyle w:val="Compact"/>
        <w:numPr>
          <w:ilvl w:val="0"/>
          <w:numId w:val="3"/>
        </w:numPr>
      </w:pPr>
      <w:r>
        <w:t>A buffer in GIS defines a zone around a map feature for proximity analysis.</w:t>
      </w:r>
    </w:p>
    <w:p w14:paraId="0C5BB483" w14:textId="77777777" w:rsidR="00BC5FCB" w:rsidRDefault="00000000">
      <w:pPr>
        <w:pStyle w:val="Compact"/>
        <w:numPr>
          <w:ilvl w:val="0"/>
          <w:numId w:val="3"/>
        </w:numPr>
      </w:pPr>
      <w:r>
        <w:t>Spatial queries in GIS help extract features based on location-based conditions.</w:t>
      </w:r>
    </w:p>
    <w:p w14:paraId="3528ACDA" w14:textId="77777777" w:rsidR="00BC5FCB" w:rsidRDefault="00000000">
      <w:pPr>
        <w:pStyle w:val="Compact"/>
        <w:numPr>
          <w:ilvl w:val="0"/>
          <w:numId w:val="3"/>
        </w:numPr>
      </w:pPr>
      <w:r>
        <w:t>Raster and vector data differ in how they represent space and attributes.</w:t>
      </w:r>
    </w:p>
    <w:p w14:paraId="747C07ED" w14:textId="77777777" w:rsidR="00BC5FCB" w:rsidRDefault="00000000">
      <w:pPr>
        <w:pStyle w:val="Compact"/>
        <w:numPr>
          <w:ilvl w:val="0"/>
          <w:numId w:val="3"/>
        </w:numPr>
      </w:pPr>
      <w:r>
        <w:lastRenderedPageBreak/>
        <w:t>A representative fraction (ratio scale) expresses map distance relative to ground distance.</w:t>
      </w:r>
    </w:p>
    <w:p w14:paraId="5548FC0B" w14:textId="77777777" w:rsidR="00BC5FCB" w:rsidRDefault="00000000">
      <w:pPr>
        <w:pStyle w:val="Compact"/>
        <w:numPr>
          <w:ilvl w:val="0"/>
          <w:numId w:val="3"/>
        </w:numPr>
      </w:pPr>
      <w:r>
        <w:t>GIS components include hardware, software, data, and people.</w:t>
      </w:r>
    </w:p>
    <w:p w14:paraId="6BFA1007" w14:textId="77777777" w:rsidR="00BC5FCB" w:rsidRDefault="00000000">
      <w:pPr>
        <w:pStyle w:val="Compact"/>
        <w:numPr>
          <w:ilvl w:val="0"/>
          <w:numId w:val="3"/>
        </w:numPr>
      </w:pPr>
      <w:r>
        <w:t>Set-based decision making in GIS helps select suitable locations based on multiple constraints.</w:t>
      </w:r>
    </w:p>
    <w:p w14:paraId="7345DB2B" w14:textId="77777777" w:rsidR="00BC5FCB" w:rsidRDefault="00000000">
      <w:pPr>
        <w:pStyle w:val="Compact"/>
        <w:numPr>
          <w:ilvl w:val="0"/>
          <w:numId w:val="3"/>
        </w:numPr>
      </w:pPr>
      <w:r>
        <w:t>GIS supports applications such as urban planning, environmental management, and agriculture.</w:t>
      </w:r>
    </w:p>
    <w:p w14:paraId="59F5FFEC" w14:textId="77777777" w:rsidR="00BC5FCB" w:rsidRDefault="00000000">
      <w:pPr>
        <w:pStyle w:val="Compact"/>
        <w:numPr>
          <w:ilvl w:val="0"/>
          <w:numId w:val="3"/>
        </w:numPr>
      </w:pPr>
      <w:r>
        <w:t>Continuous data is best modeled through raster structures, while discrete features suit vector formats.</w:t>
      </w:r>
    </w:p>
    <w:p w14:paraId="4D67F1F3" w14:textId="77777777" w:rsidR="00BC5FCB" w:rsidRDefault="00000000">
      <w:pPr>
        <w:pStyle w:val="Compact"/>
        <w:numPr>
          <w:ilvl w:val="0"/>
          <w:numId w:val="3"/>
        </w:numPr>
      </w:pPr>
      <w:r>
        <w:t>Quadtrees stop subdividing regions when cells become homogeneous or contain one point.</w:t>
      </w:r>
    </w:p>
    <w:p w14:paraId="27B9E2BA" w14:textId="77777777" w:rsidR="00BC5FCB" w:rsidRDefault="00000000">
      <w:pPr>
        <w:pStyle w:val="Heading2"/>
      </w:pPr>
      <w:bookmarkStart w:id="3" w:name="module-3-social-network-analysis"/>
      <w:bookmarkEnd w:id="2"/>
      <w:r>
        <w:t>Module 3 – Social Network Analysis</w:t>
      </w:r>
    </w:p>
    <w:p w14:paraId="213BBF2E" w14:textId="77777777" w:rsidR="00BC5FCB" w:rsidRDefault="00000000">
      <w:pPr>
        <w:pStyle w:val="Compact"/>
        <w:numPr>
          <w:ilvl w:val="0"/>
          <w:numId w:val="4"/>
        </w:numPr>
      </w:pPr>
      <w:r>
        <w:t>Social Network Analysis studies relationships and interactions among entities using graph theory.</w:t>
      </w:r>
    </w:p>
    <w:p w14:paraId="0C2217BD" w14:textId="77777777" w:rsidR="00BC5FCB" w:rsidRDefault="00000000">
      <w:pPr>
        <w:pStyle w:val="Compact"/>
        <w:numPr>
          <w:ilvl w:val="0"/>
          <w:numId w:val="4"/>
        </w:numPr>
      </w:pPr>
      <w:r>
        <w:t>Nodes represent entities such as people, organizations, or systems.</w:t>
      </w:r>
    </w:p>
    <w:p w14:paraId="12F560D7" w14:textId="77777777" w:rsidR="00BC5FCB" w:rsidRDefault="00000000">
      <w:pPr>
        <w:pStyle w:val="Compact"/>
        <w:numPr>
          <w:ilvl w:val="0"/>
          <w:numId w:val="4"/>
        </w:numPr>
      </w:pPr>
      <w:r>
        <w:t>Edges represent relationships or interactions between nodes.</w:t>
      </w:r>
    </w:p>
    <w:p w14:paraId="6A90CDE7" w14:textId="77777777" w:rsidR="00BC5FCB" w:rsidRDefault="00000000">
      <w:pPr>
        <w:pStyle w:val="Compact"/>
        <w:numPr>
          <w:ilvl w:val="0"/>
          <w:numId w:val="4"/>
        </w:numPr>
      </w:pPr>
      <w:r>
        <w:t>Networks can be directed or undirected, and weighted or unweighted.</w:t>
      </w:r>
    </w:p>
    <w:p w14:paraId="503800CA" w14:textId="77777777" w:rsidR="00BC5FCB" w:rsidRDefault="00000000">
      <w:pPr>
        <w:pStyle w:val="Compact"/>
        <w:numPr>
          <w:ilvl w:val="0"/>
          <w:numId w:val="4"/>
        </w:numPr>
      </w:pPr>
      <w:r>
        <w:t>The degree of a node refers to the number of connections it has.</w:t>
      </w:r>
    </w:p>
    <w:p w14:paraId="0F83387A" w14:textId="77777777" w:rsidR="00BC5FCB" w:rsidRDefault="00000000">
      <w:pPr>
        <w:pStyle w:val="Compact"/>
        <w:numPr>
          <w:ilvl w:val="0"/>
          <w:numId w:val="4"/>
        </w:numPr>
      </w:pPr>
      <w:r>
        <w:t>Betweenness centrality identifies nodes that serve as bridges between communities.</w:t>
      </w:r>
    </w:p>
    <w:p w14:paraId="381A53CC" w14:textId="77777777" w:rsidR="00BC5FCB" w:rsidRDefault="00000000">
      <w:pPr>
        <w:pStyle w:val="Compact"/>
        <w:numPr>
          <w:ilvl w:val="0"/>
          <w:numId w:val="4"/>
        </w:numPr>
      </w:pPr>
      <w:r>
        <w:t>Edge betweenness centrality counts how many shortest paths pass through an edge.</w:t>
      </w:r>
    </w:p>
    <w:p w14:paraId="650D8AC7" w14:textId="77777777" w:rsidR="00BC5FCB" w:rsidRDefault="00000000">
      <w:pPr>
        <w:pStyle w:val="Compact"/>
        <w:numPr>
          <w:ilvl w:val="0"/>
          <w:numId w:val="4"/>
        </w:numPr>
      </w:pPr>
      <w:r>
        <w:t>Formula for vertex betweenness: C_B(v) = Σ (σ_st(v) / σ_st), where σ_st = number of shortest paths from s to t.</w:t>
      </w:r>
    </w:p>
    <w:p w14:paraId="5391F40B" w14:textId="77777777" w:rsidR="00BC5FCB" w:rsidRDefault="00000000">
      <w:pPr>
        <w:pStyle w:val="Compact"/>
        <w:numPr>
          <w:ilvl w:val="0"/>
          <w:numId w:val="4"/>
        </w:numPr>
      </w:pPr>
      <w:r>
        <w:t>Nodes or edges with high betweenness act as connectors between communities.</w:t>
      </w:r>
    </w:p>
    <w:p w14:paraId="214C3E96" w14:textId="77777777" w:rsidR="00BC5FCB" w:rsidRDefault="00000000">
      <w:pPr>
        <w:pStyle w:val="Compact"/>
        <w:numPr>
          <w:ilvl w:val="0"/>
          <w:numId w:val="4"/>
        </w:numPr>
      </w:pPr>
      <w:r>
        <w:t>Closeness centrality measures how close a node is to all others based on path lengths.</w:t>
      </w:r>
    </w:p>
    <w:p w14:paraId="0509CC40" w14:textId="77777777" w:rsidR="00BC5FCB" w:rsidRDefault="00000000">
      <w:pPr>
        <w:pStyle w:val="Compact"/>
        <w:numPr>
          <w:ilvl w:val="0"/>
          <w:numId w:val="4"/>
        </w:numPr>
      </w:pPr>
      <w:r>
        <w:t>Eigenvector centrality and PageRank assess influence of nodes based on their neighbors’ importance.</w:t>
      </w:r>
    </w:p>
    <w:p w14:paraId="63ED58DD" w14:textId="77777777" w:rsidR="00BC5FCB" w:rsidRDefault="00000000">
      <w:pPr>
        <w:pStyle w:val="Compact"/>
        <w:numPr>
          <w:ilvl w:val="0"/>
          <w:numId w:val="4"/>
        </w:numPr>
      </w:pPr>
      <w:r>
        <w:t>The clustering coefficient measures how closely connected a node’s neighbors are.</w:t>
      </w:r>
    </w:p>
    <w:p w14:paraId="2376F72B" w14:textId="77777777" w:rsidR="00BC5FCB" w:rsidRDefault="00000000">
      <w:pPr>
        <w:pStyle w:val="Compact"/>
        <w:numPr>
          <w:ilvl w:val="0"/>
          <w:numId w:val="4"/>
        </w:numPr>
      </w:pPr>
      <w:r>
        <w:t>Communities in a network consist of nodes more densely connected internally than externally.</w:t>
      </w:r>
    </w:p>
    <w:p w14:paraId="25F50124" w14:textId="77777777" w:rsidR="00BC5FCB" w:rsidRDefault="00000000">
      <w:pPr>
        <w:pStyle w:val="Compact"/>
        <w:numPr>
          <w:ilvl w:val="0"/>
          <w:numId w:val="4"/>
        </w:numPr>
      </w:pPr>
      <w:r>
        <w:t>Partitioning and spectral methods divide networks into distinct communities.</w:t>
      </w:r>
    </w:p>
    <w:p w14:paraId="433997B9" w14:textId="77777777" w:rsidR="00BC5FCB" w:rsidRDefault="00000000">
      <w:pPr>
        <w:pStyle w:val="Compact"/>
        <w:numPr>
          <w:ilvl w:val="0"/>
          <w:numId w:val="4"/>
        </w:numPr>
      </w:pPr>
      <w:r>
        <w:t>Clique percolation detects overlapping communities through shared dense subgraphs.</w:t>
      </w:r>
    </w:p>
    <w:p w14:paraId="137E5F4A" w14:textId="77777777" w:rsidR="00BC5FCB" w:rsidRDefault="00000000">
      <w:pPr>
        <w:pStyle w:val="Compact"/>
        <w:numPr>
          <w:ilvl w:val="0"/>
          <w:numId w:val="4"/>
        </w:numPr>
      </w:pPr>
      <w:r>
        <w:t>Girvan–Newman algorithm detects communities by removing edges with high betweenness centrality.</w:t>
      </w:r>
    </w:p>
    <w:p w14:paraId="721A4D81" w14:textId="77777777" w:rsidR="00BC5FCB" w:rsidRDefault="00000000">
      <w:pPr>
        <w:pStyle w:val="Compact"/>
        <w:numPr>
          <w:ilvl w:val="0"/>
          <w:numId w:val="4"/>
        </w:numPr>
      </w:pPr>
      <w:r>
        <w:t>Network density measures how many edges exist relative to the maximum possible connections.</w:t>
      </w:r>
    </w:p>
    <w:p w14:paraId="761C53D5" w14:textId="77777777" w:rsidR="00BC5FCB" w:rsidRDefault="00000000">
      <w:pPr>
        <w:pStyle w:val="Compact"/>
        <w:numPr>
          <w:ilvl w:val="0"/>
          <w:numId w:val="4"/>
        </w:numPr>
      </w:pPr>
      <w:r>
        <w:lastRenderedPageBreak/>
        <w:t>Clustering and community detection differ in that clustering uses similarity, while community detection uses connectivity.</w:t>
      </w:r>
    </w:p>
    <w:p w14:paraId="37C909E4" w14:textId="77777777" w:rsidR="00BC5FCB" w:rsidRDefault="00000000">
      <w:pPr>
        <w:pStyle w:val="Compact"/>
        <w:numPr>
          <w:ilvl w:val="0"/>
          <w:numId w:val="4"/>
        </w:numPr>
      </w:pPr>
      <w:r>
        <w:t>SNA can model social, biological, or technological interaction networks.</w:t>
      </w:r>
    </w:p>
    <w:p w14:paraId="368D3EE1" w14:textId="77777777" w:rsidR="00BC5FCB" w:rsidRDefault="00000000">
      <w:pPr>
        <w:pStyle w:val="Compact"/>
        <w:numPr>
          <w:ilvl w:val="0"/>
          <w:numId w:val="4"/>
        </w:numPr>
      </w:pPr>
      <w:r>
        <w:t>Community detection is useful for finding groups, influencers, and structural cohesion in networks.</w:t>
      </w:r>
    </w:p>
    <w:p w14:paraId="63B2096A" w14:textId="77777777" w:rsidR="00BC5FCB" w:rsidRDefault="00000000">
      <w:pPr>
        <w:pStyle w:val="Compact"/>
        <w:numPr>
          <w:ilvl w:val="0"/>
          <w:numId w:val="4"/>
        </w:numPr>
      </w:pPr>
      <w:r>
        <w:t>Dijkstra’s algorithm finds shortest paths and is not used for community detection.</w:t>
      </w:r>
    </w:p>
    <w:p w14:paraId="402012E1" w14:textId="77777777" w:rsidR="00BC5FCB" w:rsidRDefault="00000000">
      <w:pPr>
        <w:pStyle w:val="Compact"/>
        <w:numPr>
          <w:ilvl w:val="0"/>
          <w:numId w:val="4"/>
        </w:numPr>
      </w:pPr>
      <w:r>
        <w:t>High clustering coefficient values indicate tightly-knit groups in social networks.</w:t>
      </w:r>
    </w:p>
    <w:p w14:paraId="298126BE" w14:textId="77777777" w:rsidR="00BC5FCB" w:rsidRDefault="00000000">
      <w:pPr>
        <w:pStyle w:val="Compact"/>
        <w:numPr>
          <w:ilvl w:val="0"/>
          <w:numId w:val="4"/>
        </w:numPr>
      </w:pPr>
      <w:r>
        <w:t>Direct community detection aims to maximize modularity within network partitions.</w:t>
      </w:r>
    </w:p>
    <w:p w14:paraId="5AB81B2B" w14:textId="77777777" w:rsidR="00BC5FCB" w:rsidRDefault="00000000">
      <w:pPr>
        <w:pStyle w:val="Compact"/>
        <w:numPr>
          <w:ilvl w:val="0"/>
          <w:numId w:val="4"/>
        </w:numPr>
      </w:pPr>
      <w:r>
        <w:t>SNA supports analysis of graph metrics such as centrality, density, and modularity.</w:t>
      </w:r>
    </w:p>
    <w:p w14:paraId="63F719C9" w14:textId="77777777" w:rsidR="00BC5FCB" w:rsidRDefault="00000000">
      <w:pPr>
        <w:pStyle w:val="Compact"/>
        <w:numPr>
          <w:ilvl w:val="0"/>
          <w:numId w:val="4"/>
        </w:numPr>
      </w:pPr>
      <w:r>
        <w:t>Numerical practice topics: compute vertex and edge betweenness centrality, graph density, average degree, and modularity changes.</w:t>
      </w:r>
      <w:bookmarkEnd w:id="0"/>
      <w:bookmarkEnd w:id="3"/>
    </w:p>
    <w:sectPr w:rsidR="00BC5FC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BCEA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E259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02215605">
    <w:abstractNumId w:val="0"/>
  </w:num>
  <w:num w:numId="2" w16cid:durableId="79377286">
    <w:abstractNumId w:val="1"/>
  </w:num>
  <w:num w:numId="3" w16cid:durableId="1191529159">
    <w:abstractNumId w:val="1"/>
  </w:num>
  <w:num w:numId="4" w16cid:durableId="1503156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FCB"/>
    <w:rsid w:val="008D094F"/>
    <w:rsid w:val="00A63AD1"/>
    <w:rsid w:val="00BC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ED0CB"/>
  <w15:docId w15:val="{CC419433-5326-4EB2-80AF-C1527342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1075</Words>
  <Characters>6128</Characters>
  <Application>Microsoft Office Word</Application>
  <DocSecurity>0</DocSecurity>
  <Lines>51</Lines>
  <Paragraphs>14</Paragraphs>
  <ScaleCrop>false</ScaleCrop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Kaustubh Kulkarni</dc:creator>
  <cp:keywords/>
  <cp:lastModifiedBy>Kaustubh Kulkarni</cp:lastModifiedBy>
  <cp:revision>2</cp:revision>
  <dcterms:created xsi:type="dcterms:W3CDTF">2025-10-05T17:02:00Z</dcterms:created>
  <dcterms:modified xsi:type="dcterms:W3CDTF">2025-10-05T17:02:00Z</dcterms:modified>
</cp:coreProperties>
</file>