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0F1E3C"/>
          <w:sz w:val="36"/>
        </w:rPr>
        <w:t>Ordinal Neural Networks for Diabetic Retinopathy Staging: Enforcing Monotonic Rank Consistency for Safety-Critical Clinical Decision Support</w:t>
      </w:r>
    </w:p>
    <w:p>
      <w:pPr>
        <w:spacing w:before="80" w:after="80" w:line="276" w:lineRule="auto"/>
        <w:ind w:left="576" w:right="576"/>
      </w:pPr>
      <w:r>
        <w:rPr>
          <w:rFonts w:ascii="Times New Roman" w:hAnsi="Times New Roman"/>
          <w:b/>
          <w:i/>
          <w:color w:val="323232"/>
          <w:sz w:val="19"/>
        </w:rPr>
        <w:t>Aaryan Srivastava</w:t>
      </w:r>
      <w:r>
        <w:rPr>
          <w:rFonts w:ascii="Times New Roman" w:hAnsi="Times New Roman"/>
          <w:b w:val="0"/>
          <w:i/>
          <w:color w:val="323232"/>
          <w:sz w:val="19"/>
        </w:rPr>
        <w:t xml:space="preserve">, </w:t>
      </w:r>
      <w:r>
        <w:rPr>
          <w:rFonts w:ascii="Times New Roman" w:hAnsi="Times New Roman"/>
          <w:b/>
          <w:i/>
          <w:color w:val="323232"/>
          <w:sz w:val="19"/>
        </w:rPr>
        <w:t>Research Team Member 2</w:t>
      </w:r>
      <w:r>
        <w:rPr>
          <w:rFonts w:ascii="Times New Roman" w:hAnsi="Times New Roman"/>
          <w:b w:val="0"/>
          <w:i/>
          <w:color w:val="323232"/>
          <w:sz w:val="19"/>
        </w:rPr>
        <w:t xml:space="preserve">, </w:t>
      </w:r>
      <w:r>
        <w:rPr>
          <w:rFonts w:ascii="Times New Roman" w:hAnsi="Times New Roman"/>
          <w:b/>
          <w:i/>
          <w:color w:val="323232"/>
          <w:sz w:val="19"/>
        </w:rPr>
        <w:t>Research Team Member 3</w:t>
      </w:r>
      <w:r>
        <w:rPr>
          <w:rFonts w:ascii="Times New Roman" w:hAnsi="Times New Roman"/>
          <w:b w:val="0"/>
          <w:i/>
          <w:color w:val="323232"/>
          <w:sz w:val="19"/>
        </w:rPr>
        <w:t xml:space="preserve">, </w:t>
      </w:r>
      <w:r>
        <w:rPr>
          <w:rFonts w:ascii="Times New Roman" w:hAnsi="Times New Roman"/>
          <w:b/>
          <w:i/>
          <w:color w:val="323232"/>
          <w:sz w:val="19"/>
        </w:rPr>
        <w:t>Research Team Member 4</w:t>
      </w:r>
    </w:p>
    <w:p>
      <w:pPr>
        <w:spacing w:before="80" w:after="80" w:line="276" w:lineRule="auto"/>
        <w:ind w:left="576" w:right="576"/>
      </w:pPr>
      <w:r>
        <w:rPr>
          <w:rFonts w:ascii="Times New Roman" w:hAnsi="Times New Roman"/>
          <w:b w:val="0"/>
          <w:i/>
          <w:color w:val="323232"/>
          <w:sz w:val="19"/>
        </w:rPr>
        <w:t>Department of Computer Science and Engineering, National Institute of Technology</w:t>
      </w:r>
    </w:p>
    <w:p>
      <w:pPr>
        <w:spacing w:before="80" w:after="80" w:line="276" w:lineRule="auto"/>
        <w:ind w:left="576" w:right="576"/>
      </w:pPr>
      <w:r>
        <w:rPr>
          <w:rFonts w:ascii="Times New Roman" w:hAnsi="Times New Roman"/>
          <w:b w:val="0"/>
          <w:i/>
          <w:color w:val="323232"/>
          <w:sz w:val="19"/>
        </w:rPr>
        <w:t>Undergraduate Senior Research Project in Artificial Intelligence &amp; Medical Imaging</w:t>
      </w:r>
    </w:p>
    <w:p>
      <w:pPr>
        <w:spacing w:before="80" w:after="80" w:line="276" w:lineRule="auto"/>
        <w:ind w:left="576" w:right="576"/>
      </w:pPr>
      <w:r>
        <w:rPr>
          <w:rFonts w:ascii="Times New Roman" w:hAnsi="Times New Roman"/>
          <w:b w:val="0"/>
          <w:i/>
          <w:color w:val="323232"/>
          <w:sz w:val="19"/>
        </w:rPr>
        <w:t>Correspondence: aiesl.research@nit.ac.in</w:t>
      </w:r>
    </w:p>
    <w:p>
      <w:pPr>
        <w:spacing w:before="0" w:after="90" w:line="276" w:lineRule="auto"/>
        <w:jc w:val="both"/>
      </w:pPr>
      <w:r>
        <w:rPr>
          <w:rFonts w:ascii="Times New Roman" w:hAnsi="Times New Roman"/>
          <w:b w:val="0"/>
          <w:i w:val="0"/>
          <w:color w:val="1E1E1E"/>
          <w:sz w:val="20"/>
        </w:rPr>
        <w:t>---</w:t>
      </w:r>
    </w:p>
    <w:p>
      <w:pPr>
        <w:keepNext/>
        <w:spacing w:before="280" w:after="80"/>
        <w:jc w:val="center"/>
      </w:pPr>
      <w:r>
        <w:rPr>
          <w:rFonts w:ascii="Times New Roman" w:hAnsi="Times New Roman"/>
          <w:b/>
          <w:color w:val="141414"/>
          <w:sz w:val="22"/>
        </w:rPr>
        <w:t>ABSTRACT</w:t>
      </w:r>
    </w:p>
    <w:p>
      <w:pPr>
        <w:spacing w:before="0" w:after="90" w:line="276" w:lineRule="auto"/>
        <w:jc w:val="both"/>
      </w:pPr>
      <w:r>
        <w:rPr>
          <w:rFonts w:ascii="Times New Roman" w:hAnsi="Times New Roman"/>
          <w:b w:val="0"/>
          <w:i w:val="0"/>
          <w:color w:val="1E1E1E"/>
          <w:sz w:val="20"/>
        </w:rPr>
        <w:t xml:space="preserve">Diabetic Retinopathy (DR) remains a leading cause of preventable blindness in the working-age population worldwide, demanding automated screening tools to alleviate clinical backlogs. While deep learning architectures have demonstrated high diagnostic efficacy in binary DR detection, multi-stage grading (Grades 0 to 4 under the International Clinical Diabetic Retinopathy scale) poses severe challenges. Standard automated systems treat disease severity as nominal classification, deploying categorical cross-entropy over a softmax output layer. This formulation suffers from metric blindness: misclassifying Proliferative DR (Grade 4) as No DR (Grade 0) incurs an identical loss penalty to misclassifying it as Severe DR (Grade 3). Conversely, standard continuous regression imposes an artificial metric assumption of uniform intervals across discrete pathological stages. In this paper, we formulate automated DR staging under three comparative loss paradigms: (A) Softmax Baseline with categorical cross-entropy, (B) Consistent Rank Logits (CORAL) ordinal regression decomposing the 5-stage scale into $K-1$ rank-ordered binary classification subproblems sharing a unified feature representation, and (C) Continuous Regression with Smooth L1 loss. We evaluate all three variants using an identical EfficientNet-B0 backbone and locked global random seed ($42$) on the APTOS 2019 Blindness Detection benchmark, accelerated natively on an NVIDIA GeForce RTX 5050 Laptop GPU (sm_120 Blackwell microarchitecture) with CUDA 13.0 over 8 uniform training epochs. Furthermore, we explicitly frame this ordinal architecture as a safety-critical decision-support layer within an expert-system-style clinical triage workflow. Our empirical findings demonstrate that distance-aware loss formulation bounds clinical risk: Continuous Regression achieves a peak Quadratic Weighted Kappa (QWK) of </w:t>
      </w:r>
      <w:r>
        <w:rPr>
          <w:rFonts w:ascii="Times New Roman" w:hAnsi="Times New Roman"/>
          <w:b/>
          <w:i w:val="0"/>
          <w:color w:val="1E1E1E"/>
          <w:sz w:val="20"/>
        </w:rPr>
        <w:t>0.8788</w:t>
      </w:r>
      <w:r>
        <w:rPr>
          <w:rFonts w:ascii="Times New Roman" w:hAnsi="Times New Roman"/>
          <w:b w:val="0"/>
          <w:i w:val="0"/>
          <w:color w:val="1E1E1E"/>
          <w:sz w:val="20"/>
        </w:rPr>
        <w:t xml:space="preserve"> and suppresses severe multi-grade triage misclassifications ($|y - \hat{y}| \ge 2$) to just </w:t>
      </w:r>
      <w:r>
        <w:rPr>
          <w:rFonts w:ascii="Times New Roman" w:hAnsi="Times New Roman"/>
          <w:b/>
          <w:i w:val="0"/>
          <w:color w:val="1E1E1E"/>
          <w:sz w:val="20"/>
        </w:rPr>
        <w:t>$3.8\%$</w:t>
      </w:r>
      <w:r>
        <w:rPr>
          <w:rFonts w:ascii="Times New Roman" w:hAnsi="Times New Roman"/>
          <w:b w:val="0"/>
          <w:i w:val="0"/>
          <w:color w:val="1E1E1E"/>
          <w:sz w:val="20"/>
        </w:rPr>
        <w:t xml:space="preserve"> (compared to $5.6\%$ in Softmax and $26.4\%$ in CORAL), while Softmax baseline achieves an accuracy of </w:t>
      </w:r>
      <w:r>
        <w:rPr>
          <w:rFonts w:ascii="Times New Roman" w:hAnsi="Times New Roman"/>
          <w:b/>
          <w:i w:val="0"/>
          <w:color w:val="1E1E1E"/>
          <w:sz w:val="20"/>
        </w:rPr>
        <w:t>$80.18\%$</w:t>
      </w:r>
      <w:r>
        <w:rPr>
          <w:rFonts w:ascii="Times New Roman" w:hAnsi="Times New Roman"/>
          <w:b w:val="0"/>
          <w:i w:val="0"/>
          <w:color w:val="1E1E1E"/>
          <w:sz w:val="20"/>
        </w:rPr>
        <w:t xml:space="preserve"> and QWK of </w:t>
      </w:r>
      <w:r>
        <w:rPr>
          <w:rFonts w:ascii="Times New Roman" w:hAnsi="Times New Roman"/>
          <w:b/>
          <w:i w:val="0"/>
          <w:color w:val="1E1E1E"/>
          <w:sz w:val="20"/>
        </w:rPr>
        <w:t>$0.8724$</w:t>
      </w:r>
      <w:r>
        <w:rPr>
          <w:rFonts w:ascii="Times New Roman" w:hAnsi="Times New Roman"/>
          <w:b w:val="0"/>
          <w:i w:val="0"/>
          <w:color w:val="1E1E1E"/>
          <w:sz w:val="20"/>
        </w:rPr>
        <w:t>. These results highlight the critical necessity of loss-function alignment for deterministic clinical routing rules in expert screening pipelines.</w:t>
      </w:r>
    </w:p>
    <w:p>
      <w:pPr>
        <w:spacing w:before="80" w:after="80" w:line="276" w:lineRule="auto"/>
        <w:ind w:left="576" w:right="576"/>
      </w:pPr>
      <w:r>
        <w:rPr>
          <w:rFonts w:ascii="Times New Roman" w:hAnsi="Times New Roman"/>
          <w:b/>
          <w:i/>
          <w:color w:val="323232"/>
          <w:sz w:val="19"/>
        </w:rPr>
        <w:t>Keywords</w:t>
      </w:r>
      <w:r>
        <w:rPr>
          <w:rFonts w:ascii="Times New Roman" w:hAnsi="Times New Roman"/>
          <w:b w:val="0"/>
          <w:i/>
          <w:color w:val="323232"/>
          <w:sz w:val="19"/>
        </w:rPr>
        <w:t>—Diabetic Retinopathy, Ordinal Regression, Deep Learning, Rank Consistency, Clinical Decision Support, Expert Systems, Quadratic Weighted Kappa, EfficientNet-B0, GPU Acceleration.</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I. INTRODUCTION</w:t>
      </w:r>
    </w:p>
    <w:p>
      <w:pPr>
        <w:spacing w:before="0" w:after="90" w:line="276" w:lineRule="auto"/>
        <w:jc w:val="both"/>
      </w:pPr>
      <w:r>
        <w:rPr>
          <w:rFonts w:ascii="Times New Roman" w:hAnsi="Times New Roman"/>
          <w:b w:val="0"/>
          <w:i w:val="0"/>
          <w:color w:val="1E1E1E"/>
          <w:sz w:val="20"/>
        </w:rPr>
        <w:t>Diabetic Retinopathy (DR) is a secondary microvascular complication of chronic diabetes mellitus and represents the leading cause of acquired vision impairment and irreversible blindness among working-age adults globally [10]. Chronic hyperglycemia induces progressive vascular damage in the retinal microvasculature, initiating capillary basement membrane thickening, pericyte degeneration, and microvascular leakage. Over time, these pathological alterations manifest as clinical lesions detectable via fundus photography, including microaneurysms, intraretinal hemorrhages, hard exudates (lipid deposits), cotton-wool spots (nerve fiber layer micro-infarcts), venous beading, and, in advanced stages, neovascularization with vitreous hemorrhage and retinal detachment [10].</w:t>
      </w:r>
    </w:p>
    <w:p>
      <w:pPr>
        <w:spacing w:before="0" w:after="90" w:line="276" w:lineRule="auto"/>
        <w:jc w:val="both"/>
      </w:pPr>
      <w:r>
        <w:rPr>
          <w:rFonts w:ascii="Times New Roman" w:hAnsi="Times New Roman"/>
          <w:b w:val="0"/>
          <w:i w:val="0"/>
          <w:color w:val="1E1E1E"/>
          <w:sz w:val="20"/>
        </w:rPr>
        <w:t>To guide therapeutic interventions, ophthalmological practice adheres to standardized staging frameworks, primarily the International Clinical Diabetic Retinopathy (ICDR) scale [10]. Under this system, patients are stratified into five discrete, progressive severity tiers:</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Grade 0 (No DR):</w:t>
      </w:r>
      <w:r>
        <w:rPr>
          <w:rFonts w:ascii="Times New Roman" w:hAnsi="Times New Roman"/>
          <w:b w:val="0"/>
          <w:i w:val="0"/>
          <w:color w:val="1E1E1E"/>
          <w:sz w:val="20"/>
        </w:rPr>
        <w:t xml:space="preserve"> Absence of any detectable diabetic retinopathy lesions.</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Grade 1 (Mild DR):</w:t>
      </w:r>
      <w:r>
        <w:rPr>
          <w:rFonts w:ascii="Times New Roman" w:hAnsi="Times New Roman"/>
          <w:b w:val="0"/>
          <w:i w:val="0"/>
          <w:color w:val="1E1E1E"/>
          <w:sz w:val="20"/>
        </w:rPr>
        <w:t xml:space="preserve"> Presence of microaneurysms only.</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Grade 2 (Moderate DR):</w:t>
      </w:r>
      <w:r>
        <w:rPr>
          <w:rFonts w:ascii="Times New Roman" w:hAnsi="Times New Roman"/>
          <w:b w:val="0"/>
          <w:i w:val="0"/>
          <w:color w:val="1E1E1E"/>
          <w:sz w:val="20"/>
        </w:rPr>
        <w:t xml:space="preserve"> More than just microaneurysms, but less than severe DR (e.g., hemorrhages in 1–3 quadrants, exudates).</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Grade 3 (Severe DR):</w:t>
      </w:r>
      <w:r>
        <w:rPr>
          <w:rFonts w:ascii="Times New Roman" w:hAnsi="Times New Roman"/>
          <w:b w:val="0"/>
          <w:i w:val="0"/>
          <w:color w:val="1E1E1E"/>
          <w:sz w:val="20"/>
        </w:rPr>
        <w:t xml:space="preserve"> Severe intraretinal hemorrhages in all four quadrants, venous beading in two or more quadrants, or prominent microvascular abnormalities (IRMA) in one or more quadrants ("4-2-1 rule"), without overt neovascularization.</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Grade 4 (Proliferative DR - PDR):</w:t>
      </w:r>
      <w:r>
        <w:rPr>
          <w:rFonts w:ascii="Times New Roman" w:hAnsi="Times New Roman"/>
          <w:b w:val="0"/>
          <w:i w:val="0"/>
          <w:color w:val="1E1E1E"/>
          <w:sz w:val="20"/>
        </w:rPr>
        <w:t xml:space="preserve"> Definite neovascularization of the optic disc or elsewhere, preretinal or vitreous hemorrhage, or fibrovascular proliferation.</w:t>
      </w:r>
    </w:p>
    <w:p>
      <w:pPr>
        <w:spacing w:before="0" w:after="90" w:line="276" w:lineRule="auto"/>
        <w:jc w:val="both"/>
      </w:pPr>
      <w:r>
        <w:rPr>
          <w:rFonts w:ascii="Times New Roman" w:hAnsi="Times New Roman"/>
          <w:b w:val="0"/>
          <w:i w:val="0"/>
          <w:color w:val="1E1E1E"/>
          <w:sz w:val="20"/>
        </w:rPr>
        <w:t>Clinical management strategies are strictly contingent upon these stage boundaries. Patients exhibiting Grade 0 or Grade 1 disease typically require routine annual ophthalmological surveillance. Patients diagnosed with Grade 2 require closer monitoring at 6-month intervals. Conversely, Grade 3 and Grade 4 represent vision-threatening conditions mandating rapid or immediate intervention via panretinal laser photocoagulation, anti-vascular endothelial growth factor (anti-VEGF) intravitreal injections, or pars plana vitrectomy to prevent catastrophic vision loss [10]. Given that early diabetic retinopathy is entirely asymptomatic, systematic screening of all diabetic patients is vital. However, the global prevalence of diabetes—surpassing 530 million individuals—imposes an unsustainable diagnostic burden on specialized ophthalmologists, particularly in low- and middle-income regions where specialist-to-patient ratios are severely strained.</w:t>
      </w:r>
    </w:p>
    <w:p>
      <w:pPr>
        <w:spacing w:before="0" w:after="90" w:line="276" w:lineRule="auto"/>
        <w:jc w:val="both"/>
      </w:pPr>
      <w:r>
        <w:rPr>
          <w:rFonts w:ascii="Times New Roman" w:hAnsi="Times New Roman"/>
          <w:b w:val="0"/>
          <w:i w:val="0"/>
          <w:color w:val="1E1E1E"/>
          <w:sz w:val="20"/>
        </w:rPr>
        <w:t>Consequently, automated deep learning algorithms utilizing convolutional neural networks (CNNs) have emerged as the primary vehicle for high-throughput tele-ophthalmology screening. Despite rapid advancements, a persistent structural vulnerability exists in standard computer vision pipelines: automated grading is almost universally modeled as an ordinary multiclass nominal classification problem optimized with categorical cross-entropy loss over a softmax output layer [1], [2], [4]. The categorical cross-entropy loss function is mathematically blind to the natural ordering of disease severity. In standard one-hot encoding, every class vector is mutually orthogonal, and every non-target class is equidistant from the ground truth. Consequently, predicting Grade 0 for a patient with Proliferative DR (Grade 4) generates the exact same loss penalty as predicting Grade 3. In clinical practice, this symmetry of penalty is unacceptable: an off-by-one prediction between Grade 3 and Grade 4 represents a minor calibration discrepancy that results in the same clinical action (urgent specialist referral), whereas an off-by-four misclassification sends a patient facing imminent retinal detachment home for an annual follow-up, causing preventable blindness.</w:t>
      </w:r>
    </w:p>
    <w:p>
      <w:pPr>
        <w:spacing w:before="0" w:after="90" w:line="276" w:lineRule="auto"/>
        <w:jc w:val="both"/>
      </w:pPr>
      <w:r>
        <w:rPr>
          <w:rFonts w:ascii="Times New Roman" w:hAnsi="Times New Roman"/>
          <w:b w:val="0"/>
          <w:i w:val="0"/>
          <w:color w:val="1E1E1E"/>
          <w:sz w:val="20"/>
        </w:rPr>
        <w:t>Alternative attempts to formulate grading as a continuous scalar regression (e.g., Mean Squared Error or Smooth L1 loss) [3] enforce distance penalties, but introduce severe structural distortions. Continuous regression assumes that the discrete clinical grades reside on an interval scale with uniform distances between successive stages. In biological pathology, however, the transition from Grade 0 to Grade 1 (a single microaneurysm) is not quantitatively equivalent to the transition from Grade 3 to Grade 4 (active neovascular proliferation). Furthermore, continuous regression requires post-hoc, arbitrary discretization thresholds to convert continuous outputs back into clinical stages, leading to severe threshold instability near class boundaries.</w:t>
      </w:r>
    </w:p>
    <w:p>
      <w:pPr>
        <w:keepNext/>
        <w:spacing w:before="200" w:after="60"/>
      </w:pPr>
      <w:r>
        <w:rPr>
          <w:rFonts w:ascii="Times New Roman" w:hAnsi="Times New Roman"/>
          <w:b/>
          <w:i/>
          <w:color w:val="283246"/>
          <w:sz w:val="21"/>
        </w:rPr>
        <w:t>Framing as a Clinical Triage Decision-Support Layer in Expert Systems</w:t>
      </w:r>
    </w:p>
    <w:p>
      <w:pPr>
        <w:spacing w:before="0" w:after="90" w:line="276" w:lineRule="auto"/>
        <w:jc w:val="both"/>
      </w:pPr>
      <w:r>
        <w:rPr>
          <w:rFonts w:ascii="Times New Roman" w:hAnsi="Times New Roman"/>
          <w:b w:val="0"/>
          <w:i w:val="0"/>
          <w:color w:val="1E1E1E"/>
          <w:sz w:val="20"/>
        </w:rPr>
        <w:t>In real-world deployment, automated deep learning models do not operate as isolated, end-to-end diagnostic arbiters; rather, they serve as the perceptual perception layer within an expert-system-style clinical triage and clinical decision-support framework. In an expert system architecture, screening images pass through the perceptual neural network to generate stage estimates, which are subsequently routed through a deterministic, rule-based clinical engine. This rule engine encodes clinical practice guidelines established by medical boards, executing logic such as:</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$\text{RULE 1: IF } \text{Grade} \ge 3 \implies \text{Trigger Immediate Specialist Referral within 2 Weeks;}$</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$\text{RULE 2: IF } \text{Grade} = 2 \implies \text{Schedule 6-Month Review with Optical Coherence Tomography (OCT);}$</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$\text{RULE 3: IF } \text{Grade} \le 1 \implies \text{Authorize Primary Care Clearance with 12-Month Tele-Screening.}$</w:t>
      </w:r>
    </w:p>
    <w:p>
      <w:pPr>
        <w:spacing w:before="0" w:after="90" w:line="276" w:lineRule="auto"/>
        <w:jc w:val="both"/>
      </w:pPr>
      <w:r>
        <w:rPr>
          <w:rFonts w:ascii="Times New Roman" w:hAnsi="Times New Roman"/>
          <w:b w:val="0"/>
          <w:i w:val="0"/>
          <w:color w:val="1E1E1E"/>
          <w:sz w:val="20"/>
        </w:rPr>
        <w:t>Under this hierarchical architecture, a multi-grade triage failure—such as a Grade 4 patient misclassified as Grade 0 or Grade 1—causes an irrecoverable collapse of the expert system's rule-activation mechanism, downgrading an emergency referral into routine discharge. By systematically bounding prediction error distances to adjacent grades ($|y - \hat{y}| \le 1$), rank-consistent ordinal regression provides the mathematical safety envelope required by deterministic clinical expert systems. When an ordinal model errs, its residual uncertainty is constrained to neighboring diagnostic categories, ensuring that high-risk patients are routed into an escalated referral pathway rather than being mistakenly discharged from the clinical care cascade.</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II. RELATED WORK</w:t>
      </w:r>
    </w:p>
    <w:p>
      <w:pPr>
        <w:spacing w:before="0" w:after="90" w:line="276" w:lineRule="auto"/>
        <w:jc w:val="both"/>
      </w:pPr>
      <w:r>
        <w:rPr>
          <w:rFonts w:ascii="Times New Roman" w:hAnsi="Times New Roman"/>
          <w:b w:val="0"/>
          <w:i w:val="0"/>
          <w:color w:val="1E1E1E"/>
          <w:sz w:val="20"/>
        </w:rPr>
        <w:t>Automated Diabetic Retinopathy analysis has undergone extensive investigation across transfer learning, multi-task grading, custom architectures, data imbalance remedies, explainable AI, and multimodal foundation models. We review these developments through the lens of their mathematical loss formulations and acknowledge the specific gaps identified across literature.</w:t>
      </w:r>
    </w:p>
    <w:p>
      <w:pPr>
        <w:keepNext/>
        <w:spacing w:before="200" w:after="60"/>
      </w:pPr>
      <w:r>
        <w:rPr>
          <w:rFonts w:ascii="Times New Roman" w:hAnsi="Times New Roman"/>
          <w:b/>
          <w:i/>
          <w:color w:val="283246"/>
          <w:sz w:val="21"/>
        </w:rPr>
        <w:t>A. Deep Transfer Learning and Multiclass Baselines</w:t>
      </w:r>
    </w:p>
    <w:p>
      <w:pPr>
        <w:spacing w:before="0" w:after="90" w:line="276" w:lineRule="auto"/>
        <w:jc w:val="both"/>
      </w:pPr>
      <w:r>
        <w:rPr>
          <w:rFonts w:ascii="Times New Roman" w:hAnsi="Times New Roman"/>
          <w:b w:val="0"/>
          <w:i w:val="0"/>
          <w:color w:val="1E1E1E"/>
          <w:sz w:val="20"/>
        </w:rPr>
        <w:t>Khalifa et al. [1] investigated deep transfer learning architectures across AlexNet, VGG16, ResNet50, and InceptionV3 on the Kaggle Diabetic Retinopathy dataset. Their ResNet50 model achieved a reported binary classification accuracy of $97.9\%$ on a small subset of 1,000 fundus images. While validating the capacity of transfer learning backbones to extract discriminant microvascular features, their study retreated to a simplified binary classification (No DR vs. DR) and acknowledged the challenge of generalizability across camera sensors. More critically, their binary framing entirely bypasses the multi-stage grading problem, rendering the model incapable of informing clinical triage workflows.</w:t>
      </w:r>
    </w:p>
    <w:p>
      <w:pPr>
        <w:spacing w:before="0" w:after="90" w:line="276" w:lineRule="auto"/>
        <w:jc w:val="both"/>
      </w:pPr>
      <w:r>
        <w:rPr>
          <w:rFonts w:ascii="Times New Roman" w:hAnsi="Times New Roman"/>
          <w:b w:val="0"/>
          <w:i w:val="0"/>
          <w:color w:val="1E1E1E"/>
          <w:sz w:val="20"/>
        </w:rPr>
        <w:t>Shakibania et al. [2] developed a dual-branch deep learning framework evaluated on Messidor-2 and the DDR dataset, designed to separate lesion detection from stage grading. Their network achieved $84.09\%$ on binary detection, $76.51\%$ on 3-class classification, but suffered a sharp drop to $56.40\%$ accuracy on the 5-class grading task. The authors explicitly acknowledged that the primary failure mode was severe visual ambiguity and overlapping feature representations between adjacent clinical stages (specifically Mild vs. Moderate, and Moderate vs. Severe). Because Shakibania et al. deployed standard multiclass softmax cross-entropy, the network lacked any mechanism to constrain misclassifications to neighboring grades, resulting in severe multi-grade diagnostic scatter.</w:t>
      </w:r>
    </w:p>
    <w:p>
      <w:pPr>
        <w:keepNext/>
        <w:spacing w:before="200" w:after="60"/>
      </w:pPr>
      <w:r>
        <w:rPr>
          <w:rFonts w:ascii="Times New Roman" w:hAnsi="Times New Roman"/>
          <w:b/>
          <w:i/>
          <w:color w:val="283246"/>
          <w:sz w:val="21"/>
        </w:rPr>
        <w:t>B. Custom Architectures, Cyclic Pooling, and Augmentation Strategies</w:t>
      </w:r>
    </w:p>
    <w:p>
      <w:pPr>
        <w:spacing w:before="0" w:after="90" w:line="276" w:lineRule="auto"/>
        <w:jc w:val="both"/>
      </w:pPr>
      <w:r>
        <w:rPr>
          <w:rFonts w:ascii="Times New Roman" w:hAnsi="Times New Roman"/>
          <w:b w:val="0"/>
          <w:i w:val="0"/>
          <w:color w:val="1E1E1E"/>
          <w:sz w:val="20"/>
        </w:rPr>
        <w:t>Tymchenko, Marchenko, and Spodarets [3] proposed a custom deep convolutional neural network incorporating cyclic pooling, CutMix, and MixUp regularizations, trained on 35,126 retinal images from the EyePACS challenge. Their framework achieved a Quadratic Weighted Kappa (QWK) of $0.841$. Tymchenko et al. made the vital observation that Quadratic Weighted Kappa must serve as the primary evaluation metric rather than unweighted accuracy, as QWK penalizes classification errors quadratically based on grade distance. However, their architecture retained standard cross-entropy loss, relying solely on heavy image augmentation to smooth class transitions rather than enforcing rank consistency directly through the loss function.</w:t>
      </w:r>
    </w:p>
    <w:p>
      <w:pPr>
        <w:spacing w:before="0" w:after="90" w:line="276" w:lineRule="auto"/>
        <w:jc w:val="both"/>
      </w:pPr>
      <w:r>
        <w:rPr>
          <w:rFonts w:ascii="Times New Roman" w:hAnsi="Times New Roman"/>
          <w:b w:val="0"/>
          <w:i w:val="0"/>
          <w:color w:val="1E1E1E"/>
          <w:sz w:val="20"/>
        </w:rPr>
        <w:t>Addressing data imbalance, Mardianta, Arifianto, and Fatichah [4] combined Synthetic Minority Over-sampling Technique (SMOTE) with Contrast Limited Adaptive Histogram Equalization (CLAHE) on the Messidor-1 dataset, reaching $93.3\%$ accuracy with a CNN. While their results demonstrated that CLAHE significantly improves lesion contrast for subtle microaneurysms, their deployment of SMOTE operated in flattened feature space, which risks synthesizing non-physiological pixel configurations that do not correspond to authentic retinal anatomy. Furthermore, their investigation restricted evaluation to binary screening, leaving the 5-stage ordinal grading challenge unresolved.</w:t>
      </w:r>
    </w:p>
    <w:p>
      <w:pPr>
        <w:keepNext/>
        <w:spacing w:before="200" w:after="60"/>
      </w:pPr>
      <w:r>
        <w:rPr>
          <w:rFonts w:ascii="Times New Roman" w:hAnsi="Times New Roman"/>
          <w:b/>
          <w:i/>
          <w:color w:val="283246"/>
          <w:sz w:val="21"/>
        </w:rPr>
        <w:t>C. Explainable AI and Multimodal Vision-Language Models</w:t>
      </w:r>
    </w:p>
    <w:p>
      <w:pPr>
        <w:spacing w:before="0" w:after="90" w:line="276" w:lineRule="auto"/>
        <w:jc w:val="both"/>
      </w:pPr>
      <w:r>
        <w:rPr>
          <w:rFonts w:ascii="Times New Roman" w:hAnsi="Times New Roman"/>
          <w:b w:val="0"/>
          <w:i w:val="0"/>
          <w:color w:val="1E1E1E"/>
          <w:sz w:val="20"/>
        </w:rPr>
        <w:t>Recent efforts have prioritized model interpretability. Karthik, Pandiyaraju, and Mynampati [5] developed an Explainable AI (XAI) framework integrating ResNet50 with spatial and channel attention mechanisms coupled with a Fuzzy Inference System, reporting $95.8\%$ accuracy on EyePACS. While the fuzzy logic layer provided linguistic interpretability over lesion severity, the underlying deep network was trained with conventional nominal cross-entropy, failing to penalize distant misclassifications during backpropagation.</w:t>
      </w:r>
    </w:p>
    <w:p>
      <w:pPr>
        <w:spacing w:before="0" w:after="90" w:line="276" w:lineRule="auto"/>
        <w:jc w:val="both"/>
      </w:pPr>
      <w:r>
        <w:rPr>
          <w:rFonts w:ascii="Times New Roman" w:hAnsi="Times New Roman"/>
          <w:b w:val="0"/>
          <w:i w:val="0"/>
          <w:color w:val="1E1E1E"/>
          <w:sz w:val="20"/>
        </w:rPr>
        <w:t>Khokhar et al. [6] advanced interpretability by combining a CNN-Transformer ensemble (Swin-Transformer and ResNet) with Vision-Language Models (CheXzero, BiomedCLIP) on the APTOS 2019 dataset, achieving a QWK of $0.912$. The authors highlighted that while vision-language models generate rich clinical narratives, they suffer from high computational latency and an elevated false-positive rate on early-stage microaneurysms (Grade 1). Crucially, the backbone ensemble still utilized nominal classification, meaning that linguistic explanations could not compensate for underlying metric blindness in stage predictions.</w:t>
      </w:r>
    </w:p>
    <w:p>
      <w:pPr>
        <w:spacing w:before="0" w:after="90" w:line="276" w:lineRule="auto"/>
        <w:jc w:val="both"/>
      </w:pPr>
      <w:r>
        <w:rPr>
          <w:rFonts w:ascii="Times New Roman" w:hAnsi="Times New Roman"/>
          <w:b w:val="0"/>
          <w:i w:val="0"/>
          <w:color w:val="1E1E1E"/>
          <w:sz w:val="20"/>
        </w:rPr>
        <w:t>Manoj and Bhosale [7] evaluated deep segmentation architectures (UNet, SegNet) to segment microaneurysms, hemorrhages, and exudates on the DDR and IDRiD benchmarks, feeding segmented lesion masks into a VGG16 classifier to achieve $92.1\%$ accuracy and generate referral recommendations. While demonstrating that lesion quantification facilitates clinical triage, their pipeline depends on pixel-level ground truth segmentation masks, which are prohibitively expensive to annotate and unavailable in standard population screening datasets.</w:t>
      </w:r>
    </w:p>
    <w:p>
      <w:pPr>
        <w:keepNext/>
        <w:spacing w:before="200" w:after="60"/>
      </w:pPr>
      <w:r>
        <w:rPr>
          <w:rFonts w:ascii="Times New Roman" w:hAnsi="Times New Roman"/>
          <w:b/>
          <w:i/>
          <w:color w:val="283246"/>
          <w:sz w:val="21"/>
        </w:rPr>
        <w:t>D. Literature Gap and the Ordinal Formulation Angle</w:t>
      </w:r>
    </w:p>
    <w:p>
      <w:pPr>
        <w:spacing w:before="0" w:after="90" w:line="276" w:lineRule="auto"/>
        <w:jc w:val="both"/>
      </w:pPr>
      <w:r>
        <w:rPr>
          <w:rFonts w:ascii="Times New Roman" w:hAnsi="Times New Roman"/>
          <w:b w:val="0"/>
          <w:i w:val="0"/>
          <w:color w:val="1E1E1E"/>
          <w:sz w:val="20"/>
        </w:rPr>
        <w:t>A systematic analysis of these seven studies reveals a consistent methodological dilemma: prior works either reduce the clinical problem to binary classification [1], [4], suffer catastrophic accuracy degradation when attempting 5-class grading under nominal cross-entropy [2], [3], or add heavy explainability and segmentation overhead without addressing the core mathematical loss pathology [5], [6], [7]. None of these works systematically evaluate the mathematical formulation of ordinal regression loss to enforce rank consistency and penalize multi-grade triage failures. This paper directly addresses this gap by comparing standard nominal cross-entropy against rank-consistent ordinal regression (CORAL) and continuous regression under identical architectural and experimental conditions.</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III. DATASET AND PREPROCESSING</w:t>
      </w:r>
    </w:p>
    <w:p>
      <w:pPr>
        <w:keepNext/>
        <w:spacing w:before="200" w:after="60"/>
      </w:pPr>
      <w:r>
        <w:rPr>
          <w:rFonts w:ascii="Times New Roman" w:hAnsi="Times New Roman"/>
          <w:b/>
          <w:i/>
          <w:color w:val="283246"/>
          <w:sz w:val="21"/>
        </w:rPr>
        <w:t>A. The APTOS 2019 Blindness Detection Benchmark</w:t>
      </w:r>
    </w:p>
    <w:p>
      <w:pPr>
        <w:spacing w:before="0" w:after="90" w:line="276" w:lineRule="auto"/>
        <w:jc w:val="both"/>
      </w:pPr>
      <w:r>
        <w:rPr>
          <w:rFonts w:ascii="Times New Roman" w:hAnsi="Times New Roman"/>
          <w:b w:val="0"/>
          <w:i w:val="0"/>
          <w:color w:val="1E1E1E"/>
          <w:sz w:val="20"/>
        </w:rPr>
        <w:t>We conduct our empirical investigation on the widely recognized Asia Pacific Tele-Ophthalmology Society (APTOS) 2019 Blindness Detection benchmark dataset [12]. The dataset comprises 3,662 high-resolution retinal fundus photographs acquired across diverse clinical screening camps in India using multiple fundus camera models under varying illumination conditions and pupil dilation protocols. Each image was evaluated and verified by a panel of ophthalmologists according to the 5-point ICDR clinical severity scale:</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0 (No DR): 1,805 images ($49.29\%$)</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1 (Mild DR): 370 images ($10.10\%$)</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2 (Moderate DR): 999 images ($27.28\%$)</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3 (Severe DR): 193 images ($5.27\%$)</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4 (Proliferative DR): 295 images ($8.06\%$)</w:t>
      </w:r>
    </w:p>
    <w:p>
      <w:pPr>
        <w:spacing w:before="0" w:after="90" w:line="276" w:lineRule="auto"/>
        <w:jc w:val="both"/>
      </w:pPr>
      <w:r>
        <w:rPr>
          <w:rFonts w:ascii="Times New Roman" w:hAnsi="Times New Roman"/>
          <w:b w:val="0"/>
          <w:i w:val="0"/>
          <w:color w:val="1E1E1E"/>
          <w:sz w:val="20"/>
        </w:rPr>
        <w:t>The dataset exhibits severe natural class imbalance, characteristic of real-world epidemiological screening cohorts where healthy subjects dominate and severe pathological stages represent small fractions of the population.</w:t>
      </w:r>
    </w:p>
    <w:p>
      <w:pPr>
        <w:spacing w:before="160" w:after="60"/>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029200" cy="3017520"/>
                    </a:xfrm>
                    <a:prstGeom prst="rect"/>
                  </pic:spPr>
                </pic:pic>
              </a:graphicData>
            </a:graphic>
          </wp:inline>
        </w:drawing>
      </w:r>
    </w:p>
    <w:p>
      <w:pPr>
        <w:spacing w:before="0" w:after="200"/>
        <w:jc w:val="center"/>
      </w:pPr>
      <w:r>
        <w:rPr>
          <w:rFonts w:ascii="Times New Roman" w:hAnsi="Times New Roman"/>
          <w:i/>
          <w:sz w:val="18"/>
        </w:rPr>
        <w:t>Fig. Class Distribution of the APTOS 2019 Dataset</w:t>
      </w:r>
    </w:p>
    <w:p>
      <w:pPr>
        <w:spacing w:before="0" w:after="90" w:line="276" w:lineRule="auto"/>
        <w:jc w:val="both"/>
      </w:pPr>
      <w:r>
        <w:rPr>
          <w:rFonts w:ascii="Times New Roman" w:hAnsi="Times New Roman"/>
          <w:b w:val="0"/>
          <w:i/>
          <w:color w:val="1E1E1E"/>
          <w:sz w:val="20"/>
        </w:rPr>
        <w:t>Fig. 1. Class distribution across the 3,662 retinal fundus images in the APTOS 2019 dataset, illustrating the natural epidemiological class imbalance across the five ICDR clinical severity grades.</w:t>
      </w:r>
    </w:p>
    <w:p>
      <w:pPr>
        <w:keepNext/>
        <w:spacing w:before="200" w:after="60"/>
      </w:pPr>
      <w:r>
        <w:rPr>
          <w:rFonts w:ascii="Times New Roman" w:hAnsi="Times New Roman"/>
          <w:b/>
          <w:i/>
          <w:color w:val="283246"/>
          <w:sz w:val="21"/>
        </w:rPr>
        <w:t>B. Preprocessing Pipeline</w:t>
      </w:r>
    </w:p>
    <w:p>
      <w:pPr>
        <w:spacing w:before="0" w:after="90" w:line="276" w:lineRule="auto"/>
        <w:jc w:val="both"/>
      </w:pPr>
      <w:r>
        <w:rPr>
          <w:rFonts w:ascii="Times New Roman" w:hAnsi="Times New Roman"/>
          <w:b w:val="0"/>
          <w:i w:val="0"/>
          <w:color w:val="1E1E1E"/>
          <w:sz w:val="20"/>
        </w:rPr>
        <w:t>Raw retinal fundus photographs exhibit wide variations in aspect ratio, large non-informative black margins, uneven illumination, and low contrast between microvascular lesions and background choroidal pigmentation. To standardize inputs and enhance pathological visibility, we implement a multi-stage preprocessing pipeline:</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Circular Mask Boundary Detection and Tight Cropping:</w:t>
      </w:r>
      <w:r>
        <w:rPr>
          <w:rFonts w:ascii="Times New Roman" w:hAnsi="Times New Roman"/>
          <w:b w:val="0"/>
          <w:i w:val="0"/>
          <w:color w:val="1E1E1E"/>
          <w:sz w:val="20"/>
        </w:rPr>
        <w:t xml:space="preserve"> Raw fundus images contain curved sensor borders and peripheral darkness. We convert images to grayscale, threshold pixel intensities to isolate the functional retinal globe, compute the minimum enclosing bounding box around the circular fundus region, and crop tightly to eliminate inactive border pixels.</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Contrast Limited Adaptive Histogram Equalization (CLAHE):</w:t>
      </w:r>
      <w:r>
        <w:rPr>
          <w:rFonts w:ascii="Times New Roman" w:hAnsi="Times New Roman"/>
          <w:b w:val="0"/>
          <w:i w:val="0"/>
          <w:color w:val="1E1E1E"/>
          <w:sz w:val="20"/>
        </w:rPr>
        <w:t xml:space="preserve"> Lesions such as microaneurysms and subtle intraretinal hemorrhages frequently blend into the surrounding retinal tissue. CLAHE divides the image into contextual tiles ($8 \times 8$ grid), computes localized histograms, and redistributes contrast while applying a strict clip limit ($2.0$) to prevent the over-amplification of sensor noise in homogeneous background regions.</w:t>
      </w:r>
    </w:p>
    <w:p>
      <w:pPr>
        <w:spacing w:before="20" w:after="40" w:line="276" w:lineRule="auto"/>
        <w:ind w:left="432"/>
      </w:pPr>
      <w:r>
        <w:rPr>
          <w:rFonts w:ascii="Times New Roman" w:hAnsi="Times New Roman"/>
          <w:b/>
          <w:sz w:val="20"/>
        </w:rPr>
        <w:t xml:space="preserve">3. </w:t>
      </w:r>
      <w:r>
        <w:rPr>
          <w:rFonts w:ascii="Times New Roman" w:hAnsi="Times New Roman"/>
          <w:b/>
          <w:i w:val="0"/>
          <w:color w:val="1E1E1E"/>
          <w:sz w:val="20"/>
        </w:rPr>
        <w:t>Spatial Resampling:</w:t>
      </w:r>
      <w:r>
        <w:rPr>
          <w:rFonts w:ascii="Times New Roman" w:hAnsi="Times New Roman"/>
          <w:b w:val="0"/>
          <w:i w:val="0"/>
          <w:color w:val="1E1E1E"/>
          <w:sz w:val="20"/>
        </w:rPr>
        <w:t xml:space="preserve"> All cropped and contrast-enhanced fundus images are resized to a uniform spatial resolution of $224 \times 224$ pixels using bilinear interpolation.</w:t>
      </w:r>
    </w:p>
    <w:p>
      <w:pPr>
        <w:spacing w:before="20" w:after="40" w:line="276" w:lineRule="auto"/>
        <w:ind w:left="432"/>
      </w:pPr>
      <w:r>
        <w:rPr>
          <w:rFonts w:ascii="Times New Roman" w:hAnsi="Times New Roman"/>
          <w:b/>
          <w:sz w:val="20"/>
        </w:rPr>
        <w:t xml:space="preserve">4. </w:t>
      </w:r>
      <w:r>
        <w:rPr>
          <w:rFonts w:ascii="Times New Roman" w:hAnsi="Times New Roman"/>
          <w:b/>
          <w:i w:val="0"/>
          <w:color w:val="1E1E1E"/>
          <w:sz w:val="20"/>
        </w:rPr>
        <w:t>Channel Normalization:</w:t>
      </w:r>
      <w:r>
        <w:rPr>
          <w:rFonts w:ascii="Times New Roman" w:hAnsi="Times New Roman"/>
          <w:b w:val="0"/>
          <w:i w:val="0"/>
          <w:color w:val="1E1E1E"/>
          <w:sz w:val="20"/>
        </w:rPr>
        <w:t xml:space="preserve"> Preprocessed RGB pixel values are normalized to $[0, 1]$ and standardized using ImageNet mean ($\mu = [0.485, 0.456, 0.406]$) and standard deviation ($\sigma = [0.229, 0.224, 0.225]$) vectors.</w:t>
      </w:r>
    </w:p>
    <w:p>
      <w:pPr>
        <w:spacing w:before="0" w:after="90" w:line="276" w:lineRule="auto"/>
        <w:jc w:val="both"/>
      </w:pPr>
      <w:r>
        <w:rPr>
          <w:rFonts w:ascii="Times New Roman" w:hAnsi="Times New Roman"/>
          <w:b w:val="0"/>
          <w:i w:val="0"/>
          <w:color w:val="1E1E1E"/>
          <w:sz w:val="20"/>
        </w:rPr>
        <w:t xml:space="preserve">All 3,662 images were pre-processed and cached to disk in </w:t>
      </w:r>
      <w:r>
        <w:rPr>
          <w:rFonts w:ascii="Times New Roman" w:hAnsi="Times New Roman"/>
          <w:b w:val="0"/>
          <w:i w:val="0"/>
          <w:color w:val="1E1E1E"/>
          <w:sz w:val="20"/>
        </w:rPr>
        <w:t>./data/aptos2019/preprocessed_224/</w:t>
      </w:r>
      <w:r>
        <w:rPr>
          <w:rFonts w:ascii="Times New Roman" w:hAnsi="Times New Roman"/>
          <w:b w:val="0"/>
          <w:i w:val="0"/>
          <w:color w:val="1E1E1E"/>
          <w:sz w:val="20"/>
        </w:rPr>
        <w:t xml:space="preserve"> to ensure deterministic, zero-latency I/O during training. Representative samples across each grade are depicted in Figure 2.</w:t>
      </w:r>
    </w:p>
    <w:p>
      <w:pPr>
        <w:spacing w:before="160" w:after="60"/>
        <w:jc w:val="center"/>
      </w:pPr>
      <w:r>
        <w:drawing>
          <wp:inline xmlns:a="http://schemas.openxmlformats.org/drawingml/2006/main" xmlns:pic="http://schemas.openxmlformats.org/drawingml/2006/picture">
            <wp:extent cx="5029200" cy="5747657"/>
            <wp:docPr id="2" name="Picture 2"/>
            <wp:cNvGraphicFramePr>
              <a:graphicFrameLocks noChangeAspect="1"/>
            </wp:cNvGraphicFramePr>
            <a:graphic>
              <a:graphicData uri="http://schemas.openxmlformats.org/drawingml/2006/picture">
                <pic:pic>
                  <pic:nvPicPr>
                    <pic:cNvPr id="0" name="sample_images_per_class.png"/>
                    <pic:cNvPicPr/>
                  </pic:nvPicPr>
                  <pic:blipFill>
                    <a:blip r:embed="rId10"/>
                    <a:stretch>
                      <a:fillRect/>
                    </a:stretch>
                  </pic:blipFill>
                  <pic:spPr>
                    <a:xfrm>
                      <a:off x="0" y="0"/>
                      <a:ext cx="5029200" cy="5747657"/>
                    </a:xfrm>
                    <a:prstGeom prst="rect"/>
                  </pic:spPr>
                </pic:pic>
              </a:graphicData>
            </a:graphic>
          </wp:inline>
        </w:drawing>
      </w:r>
    </w:p>
    <w:p>
      <w:pPr>
        <w:spacing w:before="0" w:after="200"/>
        <w:jc w:val="center"/>
      </w:pPr>
      <w:r>
        <w:rPr>
          <w:rFonts w:ascii="Times New Roman" w:hAnsi="Times New Roman"/>
          <w:i/>
          <w:sz w:val="18"/>
        </w:rPr>
        <w:t>Fig. Sample Preprocessed Images Per Clinical Grade</w:t>
      </w:r>
    </w:p>
    <w:p>
      <w:pPr>
        <w:spacing w:before="0" w:after="90" w:line="276" w:lineRule="auto"/>
        <w:jc w:val="both"/>
      </w:pPr>
      <w:r>
        <w:rPr>
          <w:rFonts w:ascii="Times New Roman" w:hAnsi="Times New Roman"/>
          <w:b w:val="0"/>
          <w:i/>
          <w:color w:val="1E1E1E"/>
          <w:sz w:val="20"/>
        </w:rPr>
        <w:t>Fig. 2. Representative preprocessed fundus images across the five ICDR grades (No DR, Mild, Moderate, Severe, and Proliferative DR) following circular cropping and CLAHE enhancement.</w:t>
      </w:r>
    </w:p>
    <w:p>
      <w:pPr>
        <w:keepNext/>
        <w:spacing w:before="200" w:after="60"/>
      </w:pPr>
      <w:r>
        <w:rPr>
          <w:rFonts w:ascii="Times New Roman" w:hAnsi="Times New Roman"/>
          <w:b/>
          <w:i/>
          <w:color w:val="283246"/>
          <w:sz w:val="21"/>
        </w:rPr>
        <w:t>C. Stratified Data Partitioning and Augmentation</w:t>
      </w:r>
    </w:p>
    <w:p>
      <w:pPr>
        <w:spacing w:before="0" w:after="90" w:line="276" w:lineRule="auto"/>
        <w:jc w:val="both"/>
      </w:pPr>
      <w:r>
        <w:rPr>
          <w:rFonts w:ascii="Times New Roman" w:hAnsi="Times New Roman"/>
          <w:b w:val="0"/>
          <w:i w:val="0"/>
          <w:color w:val="1E1E1E"/>
          <w:sz w:val="20"/>
        </w:rPr>
        <w:t>To evaluate generalization with clinical rigor, the 3,662 images were split into stratified training ($70\%$), validation ($15\%$), and holdout test ($15\%$) subsets, strictly preserving the class distribution across all partitions. The resulting split contains:</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Training Set:</w:t>
      </w:r>
      <w:r>
        <w:rPr>
          <w:rFonts w:ascii="Times New Roman" w:hAnsi="Times New Roman"/>
          <w:b w:val="0"/>
          <w:i w:val="0"/>
          <w:color w:val="1E1E1E"/>
          <w:sz w:val="20"/>
        </w:rPr>
        <w:t xml:space="preserve"> 2,563 images (Class 0: 1,263; Class 1: 259; Class 2: 700; Class 3: 135; Class 4: 206)</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Validation Set:</w:t>
      </w:r>
      <w:r>
        <w:rPr>
          <w:rFonts w:ascii="Times New Roman" w:hAnsi="Times New Roman"/>
          <w:b w:val="0"/>
          <w:i w:val="0"/>
          <w:color w:val="1E1E1E"/>
          <w:sz w:val="20"/>
        </w:rPr>
        <w:t xml:space="preserve"> 549 images (Class 0: 271; Class 1: 55; Class 2: 150; Class 3: 29; Class 4: 44)</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Holdout Test Set:</w:t>
      </w:r>
      <w:r>
        <w:rPr>
          <w:rFonts w:ascii="Times New Roman" w:hAnsi="Times New Roman"/>
          <w:b w:val="0"/>
          <w:i w:val="0"/>
          <w:color w:val="1E1E1E"/>
          <w:sz w:val="20"/>
        </w:rPr>
        <w:t xml:space="preserve"> 550 images (Class 0: 271; Class 1: 56; Class 2: 149; Class 3: 29; Class 4: 45)</w:t>
      </w:r>
    </w:p>
    <w:p>
      <w:pPr>
        <w:spacing w:before="0" w:after="90" w:line="276" w:lineRule="auto"/>
        <w:jc w:val="both"/>
      </w:pPr>
      <w:r>
        <w:rPr>
          <w:rFonts w:ascii="Times New Roman" w:hAnsi="Times New Roman"/>
          <w:b w:val="0"/>
          <w:i w:val="0"/>
          <w:color w:val="1E1E1E"/>
          <w:sz w:val="20"/>
        </w:rPr>
        <w:t>Data augmentation was applied exclusively to the training partition during training, comprising random horizontal flips ($p = 0.5$), random vertical flips ($p = 0.5$), random rotations within $[-15^\circ, +15^\circ]$, and subtle color jittering (brightness and contrast adjusted by $\pm 10\%$). Validation and test sets received no augmentation.</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IV. METHODOLOGY AND MATHEMATICAL FORMULATION</w:t>
      </w:r>
    </w:p>
    <w:p>
      <w:pPr>
        <w:spacing w:before="0" w:after="90" w:line="276" w:lineRule="auto"/>
        <w:jc w:val="both"/>
      </w:pPr>
      <w:r>
        <w:rPr>
          <w:rFonts w:ascii="Times New Roman" w:hAnsi="Times New Roman"/>
          <w:b w:val="0"/>
          <w:i w:val="0"/>
          <w:color w:val="1E1E1E"/>
          <w:sz w:val="20"/>
        </w:rPr>
        <w:t>To evaluate the impact of loss formulation in isolation, we enforce an identical feature extraction backbone across all three experimental variants.</w:t>
      </w:r>
    </w:p>
    <w:p>
      <w:pPr>
        <w:keepNext/>
        <w:spacing w:before="200" w:after="60"/>
      </w:pPr>
      <w:r>
        <w:rPr>
          <w:rFonts w:ascii="Times New Roman" w:hAnsi="Times New Roman"/>
          <w:b/>
          <w:i/>
          <w:color w:val="283246"/>
          <w:sz w:val="21"/>
        </w:rPr>
        <w:t>A. Feature Extraction Backbone</w:t>
      </w:r>
    </w:p>
    <w:p>
      <w:pPr>
        <w:spacing w:before="0" w:after="90" w:line="276" w:lineRule="auto"/>
        <w:jc w:val="both"/>
      </w:pPr>
      <w:r>
        <w:rPr>
          <w:rFonts w:ascii="Times New Roman" w:hAnsi="Times New Roman"/>
          <w:b w:val="0"/>
          <w:i w:val="0"/>
          <w:color w:val="1E1E1E"/>
          <w:sz w:val="20"/>
        </w:rPr>
        <w:t>We utilize the ResNet-18 architecture [11] initialized with ImageNet-1K pretrained weights. The network processes an input image $\mathbf{x} \in \mathbb{R}^{3 \times 224 \times 224}$ through four residual stages composed of basic residual blocks with $3 \times 3$ convolutions, batch normalization, and skip connections. Global average pooling applied to the final convolutional feature maps collapses spatial dimensions into a $d$-dimensional embedding vector $\phi(\mathbf{x}) \in \mathbb{R}^{512}$. This latent embedding is subsequently mapped to output predictions via variant-specific output heads and loss functions.</w:t>
      </w:r>
    </w:p>
    <w:p>
      <w:pPr>
        <w:keepNext/>
        <w:spacing w:before="200" w:after="60"/>
      </w:pPr>
      <w:r>
        <w:rPr>
          <w:rFonts w:ascii="Times New Roman" w:hAnsi="Times New Roman"/>
          <w:b/>
          <w:i/>
          <w:color w:val="283246"/>
          <w:sz w:val="21"/>
        </w:rPr>
        <w:t>B. Variant A: Softmax Nominal Baseline</w:t>
      </w:r>
    </w:p>
    <w:p>
      <w:pPr>
        <w:spacing w:before="0" w:after="90" w:line="276" w:lineRule="auto"/>
        <w:jc w:val="both"/>
      </w:pPr>
      <w:r>
        <w:rPr>
          <w:rFonts w:ascii="Times New Roman" w:hAnsi="Times New Roman"/>
          <w:b w:val="0"/>
          <w:i w:val="0"/>
          <w:color w:val="1E1E1E"/>
          <w:sz w:val="20"/>
        </w:rPr>
        <w:t>The nominal classification baseline treats the 5 clinical stages as mutually exclusive, independent categories. The latent feature vector $\phi(\mathbf{x})$ is projected through a fully connected linear layer $\mathbf{W}_A \in \mathbb{R}^{5 \times 512}$ with bias $\mathbf{b}_A \in \mathbb{R}^5$ to yield raw logits $\mathbf{z} = [z_0, z_1, z_2, z_3, z_4]^T$. Class probabilities are computed via the standard softmax function:</w:t>
      </w:r>
    </w:p>
    <w:p>
      <w:pPr>
        <w:spacing w:before="0" w:after="90" w:line="276" w:lineRule="auto"/>
        <w:jc w:val="both"/>
      </w:pPr>
      <w:r>
        <w:rPr>
          <w:rFonts w:ascii="Times New Roman" w:hAnsi="Times New Roman"/>
          <w:b w:val="0"/>
          <w:i w:val="0"/>
          <w:color w:val="1E1E1E"/>
          <w:sz w:val="20"/>
        </w:rPr>
        <w:t>$$\hat{p}_k = \frac{\exp(z_k)}{\sum_{j=0}^{K-1} \exp(z_j)}, \quad k \in \{0, 1, 2, 3, 4\}$$</w:t>
      </w:r>
    </w:p>
    <w:p>
      <w:pPr>
        <w:spacing w:before="0" w:after="90" w:line="276" w:lineRule="auto"/>
        <w:jc w:val="both"/>
      </w:pPr>
      <w:r>
        <w:rPr>
          <w:rFonts w:ascii="Times New Roman" w:hAnsi="Times New Roman"/>
          <w:b w:val="0"/>
          <w:i w:val="0"/>
          <w:color w:val="1E1E1E"/>
          <w:sz w:val="20"/>
        </w:rPr>
        <w:t>The network is optimized using categorical cross-entropy loss:</w:t>
      </w:r>
    </w:p>
    <w:p>
      <w:pPr>
        <w:spacing w:before="0" w:after="90" w:line="276" w:lineRule="auto"/>
        <w:jc w:val="both"/>
      </w:pPr>
      <w:r>
        <w:rPr>
          <w:rFonts w:ascii="Times New Roman" w:hAnsi="Times New Roman"/>
          <w:b w:val="0"/>
          <w:i w:val="0"/>
          <w:color w:val="1E1E1E"/>
          <w:sz w:val="20"/>
        </w:rPr>
        <w:t>$$\mathcal{L}_{CE}(\mathbf{y}, \hat{\mathbf{p}}) = -\sum_{k=0}^{K-1} y_k \log \hat{p}_k$$</w:t>
      </w:r>
    </w:p>
    <w:p>
      <w:pPr>
        <w:spacing w:before="0" w:after="90" w:line="276" w:lineRule="auto"/>
        <w:jc w:val="both"/>
      </w:pPr>
      <w:r>
        <w:rPr>
          <w:rFonts w:ascii="Times New Roman" w:hAnsi="Times New Roman"/>
          <w:b w:val="0"/>
          <w:i w:val="0"/>
          <w:color w:val="1E1E1E"/>
          <w:sz w:val="20"/>
        </w:rPr>
        <w:t>where $\mathbf{y} \in \{0, 1\}^K$ is the one-hot ground-truth vector.</w:t>
      </w:r>
    </w:p>
    <w:p>
      <w:pPr>
        <w:spacing w:before="0" w:after="90" w:line="276" w:lineRule="auto"/>
        <w:jc w:val="both"/>
      </w:pPr>
      <w:r>
        <w:rPr>
          <w:rFonts w:ascii="Times New Roman" w:hAnsi="Times New Roman"/>
          <w:b/>
          <w:i w:val="0"/>
          <w:color w:val="1E1E1E"/>
          <w:sz w:val="20"/>
        </w:rPr>
        <w:t>Mathematical Proof of Nominal Loss Blindness:</w:t>
      </w:r>
    </w:p>
    <w:p>
      <w:pPr>
        <w:spacing w:before="0" w:after="90" w:line="276" w:lineRule="auto"/>
        <w:jc w:val="both"/>
      </w:pPr>
      <w:r>
        <w:rPr>
          <w:rFonts w:ascii="Times New Roman" w:hAnsi="Times New Roman"/>
          <w:b w:val="0"/>
          <w:i w:val="0"/>
          <w:color w:val="1E1E1E"/>
          <w:sz w:val="20"/>
        </w:rPr>
        <w:t>Consider a ground-truth patient with Proliferative DR ($y = 4$, $\mathbf{y} = [0, 0, 0, 0, 1]^T$). The loss reduces to $\mathcal{L}_{CE} = -\log \hat{p}_4$. Suppose Model 1 predicts distribution $\mathbf{p}^{(1)} = [0.80, 0.05, 0.05, 0.05, 0.05]^T$ (placing mass on Grade 0, an off-by-four error). Suppose Model 2 predicts distribution $\mathbf{p}^{(2)} = [0.05, 0.05, 0.05, 0.80, 0.05]^T$ (placing mass on Grade 3, an off-by-one error). For both models, $\hat{p}_4 = 0.05$, yielding:</w:t>
      </w:r>
    </w:p>
    <w:p>
      <w:pPr>
        <w:spacing w:before="0" w:after="90" w:line="276" w:lineRule="auto"/>
        <w:jc w:val="both"/>
      </w:pPr>
      <w:r>
        <w:rPr>
          <w:rFonts w:ascii="Times New Roman" w:hAnsi="Times New Roman"/>
          <w:b w:val="0"/>
          <w:i w:val="0"/>
          <w:color w:val="1E1E1E"/>
          <w:sz w:val="20"/>
        </w:rPr>
        <w:t>$$\mathcal{L}_{CE}^{(1)} = -\log(0.05) = 2.9957 = \mathcal{L}_{CE}^{(2)}$$</w:t>
      </w:r>
    </w:p>
    <w:p>
      <w:pPr>
        <w:spacing w:before="0" w:after="90" w:line="276" w:lineRule="auto"/>
        <w:jc w:val="both"/>
      </w:pPr>
      <w:r>
        <w:rPr>
          <w:rFonts w:ascii="Times New Roman" w:hAnsi="Times New Roman"/>
          <w:b w:val="0"/>
          <w:i w:val="0"/>
          <w:color w:val="1E1E1E"/>
          <w:sz w:val="20"/>
        </w:rPr>
        <w:t>The gradient propagated back through the network $\frac{\partial \mathcal{L}_{CE}}{\partial z_k} = \hat{p}_k - y_k$ treats all non-target errors symmetrically. The network receives zero mathematical incentive to prefer an adjacent misclassification over an extreme, catastrophic misclassification.</w:t>
      </w:r>
    </w:p>
    <w:p>
      <w:pPr>
        <w:keepNext/>
        <w:spacing w:before="200" w:after="60"/>
      </w:pPr>
      <w:r>
        <w:rPr>
          <w:rFonts w:ascii="Times New Roman" w:hAnsi="Times New Roman"/>
          <w:b/>
          <w:i/>
          <w:color w:val="283246"/>
          <w:sz w:val="21"/>
        </w:rPr>
        <w:t>C. Variant B: Consistent Rank Logits (CORAL) Ordinal Regression</w:t>
      </w:r>
    </w:p>
    <w:p>
      <w:pPr>
        <w:spacing w:before="0" w:after="90" w:line="276" w:lineRule="auto"/>
        <w:jc w:val="both"/>
      </w:pPr>
      <w:r>
        <w:rPr>
          <w:rFonts w:ascii="Times New Roman" w:hAnsi="Times New Roman"/>
          <w:b w:val="0"/>
          <w:i w:val="0"/>
          <w:color w:val="1E1E1E"/>
          <w:sz w:val="20"/>
        </w:rPr>
        <w:t>To resolve metric blindness while preserving discrete classification outputs, we implement the Consistent Rank Logits (CORAL) framework [8]. Under CORAL, an ordinal classification task with $K = 5$ ordered grades is reformulated into $K - 1 = 4$ binary classification subproblems. For each sample with true label $y \in \{0, 1, 2, 3, 4\}$, we construct a binary indicator vector $\mathbf{r} = [r_0, r_1, r_2, r_3]^T$ where each element indicates whether the severity grade exceeds rank $k$:</w:t>
      </w:r>
    </w:p>
    <w:p>
      <w:pPr>
        <w:spacing w:before="0" w:after="90" w:line="276" w:lineRule="auto"/>
        <w:jc w:val="both"/>
      </w:pPr>
      <w:r>
        <w:rPr>
          <w:rFonts w:ascii="Times New Roman" w:hAnsi="Times New Roman"/>
          <w:b w:val="0"/>
          <w:i w:val="0"/>
          <w:color w:val="1E1E1E"/>
          <w:sz w:val="20"/>
        </w:rPr>
        <w:t>$$r_k = \begin{cases} 1 &amp; \text{if } y &gt; k \\ 0 &amp; \text{otherwise} \end{cases}, \quad k \in \{0, 1, 2, 3\}$$</w:t>
      </w:r>
    </w:p>
    <w:p>
      <w:pPr>
        <w:spacing w:before="0" w:after="90" w:line="276" w:lineRule="auto"/>
        <w:jc w:val="both"/>
      </w:pPr>
      <w:r>
        <w:rPr>
          <w:rFonts w:ascii="Times New Roman" w:hAnsi="Times New Roman"/>
          <w:b w:val="0"/>
          <w:i w:val="0"/>
          <w:color w:val="1E1E1E"/>
          <w:sz w:val="20"/>
        </w:rPr>
        <w:t>Under this rank encoding:</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0 (No DR): $\mathbf{r} = [0, 0, 0, 0]^T$</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1 (Mild): $\mathbf{r} = [1, 0, 0, 0]^T$</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2 (Moderate): $\mathbf{r} = [1, 1, 0, 0]^T$</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3 (Severe): $\mathbf{r} = [1, 1, 1, 0]^T$</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Grade 4 (Proliferative): $\mathbf{r} = [1, 1, 1, 1]^T$</w:t>
      </w:r>
    </w:p>
    <w:p>
      <w:pPr>
        <w:spacing w:before="0" w:after="90" w:line="276" w:lineRule="auto"/>
        <w:jc w:val="both"/>
      </w:pPr>
      <w:r>
        <w:rPr>
          <w:rFonts w:ascii="Times New Roman" w:hAnsi="Times New Roman"/>
          <w:b w:val="0"/>
          <w:i w:val="0"/>
          <w:color w:val="1E1E1E"/>
          <w:sz w:val="20"/>
        </w:rPr>
        <w:t>To guarantee rank consistency and prevent the classifier from generating contradictory binary predictions (e.g., predicting $y &gt; 2$ while predicting $y \le 1$), CORAL restricts the hypothesis space by enforcing a shared projection vector across all binary tasks with task-specific bias thresholds:</w:t>
      </w:r>
    </w:p>
    <w:p>
      <w:pPr>
        <w:spacing w:before="0" w:after="90" w:line="276" w:lineRule="auto"/>
        <w:jc w:val="both"/>
      </w:pPr>
      <w:r>
        <w:rPr>
          <w:rFonts w:ascii="Times New Roman" w:hAnsi="Times New Roman"/>
          <w:b w:val="0"/>
          <w:i w:val="0"/>
          <w:color w:val="1E1E1E"/>
          <w:sz w:val="20"/>
        </w:rPr>
        <w:t>$$g_k(\mathbf{x}) = \mathbf{w}^T \phi(\mathbf{x}) + b_k, \quad k \in \{0, 1, 2, 3\}$$</w:t>
      </w:r>
    </w:p>
    <w:p>
      <w:pPr>
        <w:spacing w:before="0" w:after="90" w:line="276" w:lineRule="auto"/>
        <w:jc w:val="both"/>
      </w:pPr>
      <w:r>
        <w:rPr>
          <w:rFonts w:ascii="Times New Roman" w:hAnsi="Times New Roman"/>
          <w:b w:val="0"/>
          <w:i w:val="0"/>
          <w:color w:val="1E1E1E"/>
          <w:sz w:val="20"/>
        </w:rPr>
        <w:t>where $\mathbf{w} \in \mathbb{R}^{512}$ is a weight vector shared across all $K-1$ tasks, and $\mathbf{b} = [b_0, b_1, b_2, b_3]^T \in \mathbb{R}^4$ are independent bias parameters. The predicted probability that the disease severity exceeds threshold $k$ is given by the sigmoid function:</w:t>
      </w:r>
    </w:p>
    <w:p>
      <w:pPr>
        <w:spacing w:before="0" w:after="90" w:line="276" w:lineRule="auto"/>
        <w:jc w:val="both"/>
      </w:pPr>
      <w:r>
        <w:rPr>
          <w:rFonts w:ascii="Times New Roman" w:hAnsi="Times New Roman"/>
          <w:b w:val="0"/>
          <w:i w:val="0"/>
          <w:color w:val="1E1E1E"/>
          <w:sz w:val="20"/>
        </w:rPr>
        <w:t>$$\hat{P}(y &gt; k \mid \mathbf{x}) = \sigma(g_k(\mathbf{x})) = \frac{1}{1 + \exp(-(\mathbf{w}^T \phi(\mathbf{x}) + b_k))}$$</w:t>
      </w:r>
    </w:p>
    <w:p>
      <w:pPr>
        <w:spacing w:before="0" w:after="90" w:line="276" w:lineRule="auto"/>
        <w:jc w:val="both"/>
      </w:pPr>
      <w:r>
        <w:rPr>
          <w:rFonts w:ascii="Times New Roman" w:hAnsi="Times New Roman"/>
          <w:b w:val="0"/>
          <w:i w:val="0"/>
          <w:color w:val="1E1E1E"/>
          <w:sz w:val="20"/>
        </w:rPr>
        <w:t>The network is trained to minimize the sum of binary cross-entropy losses across all $K - 1$ binary tasks:</w:t>
      </w:r>
    </w:p>
    <w:p>
      <w:pPr>
        <w:spacing w:before="0" w:after="90" w:line="276" w:lineRule="auto"/>
        <w:jc w:val="both"/>
      </w:pPr>
      <w:r>
        <w:rPr>
          <w:rFonts w:ascii="Times New Roman" w:hAnsi="Times New Roman"/>
          <w:b w:val="0"/>
          <w:i w:val="0"/>
          <w:color w:val="1E1E1E"/>
          <w:sz w:val="20"/>
        </w:rPr>
        <w:t>$$\mathcal{L}_{CORAL}(\mathbf{r}, \mathbf{g}) = -\sum_{k=0}^{K-2} \left[ r_k \log \sigma(g_k(\mathbf{x})) + (1 - r_k) \log (1 - \sigma(g_k(\mathbf{x}))) \right]$$</w:t>
      </w:r>
    </w:p>
    <w:p>
      <w:pPr>
        <w:spacing w:before="0" w:after="90" w:line="276" w:lineRule="auto"/>
        <w:jc w:val="both"/>
      </w:pPr>
      <w:r>
        <w:rPr>
          <w:rFonts w:ascii="Times New Roman" w:hAnsi="Times New Roman"/>
          <w:b/>
          <w:i w:val="0"/>
          <w:color w:val="1E1E1E"/>
          <w:sz w:val="20"/>
        </w:rPr>
        <w:t>Monotonicity and Inference:</w:t>
      </w:r>
    </w:p>
    <w:p>
      <w:pPr>
        <w:spacing w:before="0" w:after="90" w:line="276" w:lineRule="auto"/>
        <w:jc w:val="both"/>
      </w:pPr>
      <w:r>
        <w:rPr>
          <w:rFonts w:ascii="Times New Roman" w:hAnsi="Times New Roman"/>
          <w:b w:val="0"/>
          <w:i w:val="0"/>
          <w:color w:val="1E1E1E"/>
          <w:sz w:val="20"/>
        </w:rPr>
        <w:t>Because the weight vector $\mathbf{w}$ is identical across all binary tasks, the hyperplanes separating successive classes are parallel in latent feature space. The ordering of thresholds is governed entirely by the bias parameters $b_0 \ge b_1 \ge b_2 \ge b_3$. At inference time, discrete stage predictions are recovered simply by summing the binary threshold decisions:</w:t>
      </w:r>
    </w:p>
    <w:p>
      <w:pPr>
        <w:spacing w:before="0" w:after="90" w:line="276" w:lineRule="auto"/>
        <w:jc w:val="both"/>
      </w:pPr>
      <w:r>
        <w:rPr>
          <w:rFonts w:ascii="Times New Roman" w:hAnsi="Times New Roman"/>
          <w:b w:val="0"/>
          <w:i w:val="0"/>
          <w:color w:val="1E1E1E"/>
          <w:sz w:val="20"/>
        </w:rPr>
        <w:t>$$\hat{y} = \sum_{k=0}^{K-2} \mathbb{I}(\sigma(g_k(\mathbf{x})) &gt; 0.5)$$</w:t>
      </w:r>
    </w:p>
    <w:p>
      <w:pPr>
        <w:spacing w:before="0" w:after="90" w:line="276" w:lineRule="auto"/>
        <w:jc w:val="both"/>
      </w:pPr>
      <w:r>
        <w:rPr>
          <w:rFonts w:ascii="Times New Roman" w:hAnsi="Times New Roman"/>
          <w:b/>
          <w:i w:val="0"/>
          <w:color w:val="1E1E1E"/>
          <w:sz w:val="20"/>
        </w:rPr>
        <w:t>Mathematical Penalty on Multi-Grade Errors:</w:t>
      </w:r>
    </w:p>
    <w:p>
      <w:pPr>
        <w:spacing w:before="0" w:after="90" w:line="276" w:lineRule="auto"/>
        <w:jc w:val="both"/>
      </w:pPr>
      <w:r>
        <w:rPr>
          <w:rFonts w:ascii="Times New Roman" w:hAnsi="Times New Roman"/>
          <w:b w:val="0"/>
          <w:i w:val="0"/>
          <w:color w:val="1E1E1E"/>
          <w:sz w:val="20"/>
        </w:rPr>
        <w:t>If a patient has Grade 4 ($[1, 1, 1, 1]$), predicting Grade 3 ($[1, 1, 1, 0]$) incurs an error on exactly one binary task ($k = 3$). Predicting Grade 0 ($[0, 0, 0, 0]$) incurs errors across all four binary tasks ($k \in \{0, 1, 2, 3\}$), accumulating four times the loss penalty. Thus, CORAL embeds distance awareness directly into backpropagation.</w:t>
      </w:r>
    </w:p>
    <w:p>
      <w:pPr>
        <w:keepNext/>
        <w:spacing w:before="200" w:after="60"/>
      </w:pPr>
      <w:r>
        <w:rPr>
          <w:rFonts w:ascii="Times New Roman" w:hAnsi="Times New Roman"/>
          <w:b/>
          <w:i/>
          <w:color w:val="283246"/>
          <w:sz w:val="21"/>
        </w:rPr>
        <w:t>D. Variant C: Continuous Scalar Regression</w:t>
      </w:r>
    </w:p>
    <w:p>
      <w:pPr>
        <w:spacing w:before="0" w:after="90" w:line="276" w:lineRule="auto"/>
        <w:jc w:val="both"/>
      </w:pPr>
      <w:r>
        <w:rPr>
          <w:rFonts w:ascii="Times New Roman" w:hAnsi="Times New Roman"/>
          <w:b w:val="0"/>
          <w:i w:val="0"/>
          <w:color w:val="1E1E1E"/>
          <w:sz w:val="20"/>
        </w:rPr>
        <w:t>Variant C frames DR grading as a continuous function approximation problem. The feature vector $\phi(\mathbf{x})$ is projected onto a single continuous scalar output $\hat{s} \in \mathbb{R}$:</w:t>
      </w:r>
    </w:p>
    <w:p>
      <w:pPr>
        <w:spacing w:before="0" w:after="90" w:line="276" w:lineRule="auto"/>
        <w:jc w:val="both"/>
      </w:pPr>
      <w:r>
        <w:rPr>
          <w:rFonts w:ascii="Times New Roman" w:hAnsi="Times New Roman"/>
          <w:b w:val="0"/>
          <w:i w:val="0"/>
          <w:color w:val="1E1E1E"/>
          <w:sz w:val="20"/>
        </w:rPr>
        <w:t>$$\hat{s} = \mathbf{w}_C^T \phi(\mathbf{x}) + b_C$$</w:t>
      </w:r>
    </w:p>
    <w:p>
      <w:pPr>
        <w:spacing w:before="0" w:after="90" w:line="276" w:lineRule="auto"/>
        <w:jc w:val="both"/>
      </w:pPr>
      <w:r>
        <w:rPr>
          <w:rFonts w:ascii="Times New Roman" w:hAnsi="Times New Roman"/>
          <w:b w:val="0"/>
          <w:i w:val="0"/>
          <w:color w:val="1E1E1E"/>
          <w:sz w:val="20"/>
        </w:rPr>
        <w:t>To prevent gradient explosion from outlier retinal artifacts while maintaining quadratic sensitivity for small errors, the model is optimized using Smooth L1 loss:</w:t>
      </w:r>
    </w:p>
    <w:p>
      <w:pPr>
        <w:spacing w:before="0" w:after="90" w:line="276" w:lineRule="auto"/>
        <w:jc w:val="both"/>
      </w:pPr>
      <w:r>
        <w:rPr>
          <w:rFonts w:ascii="Times New Roman" w:hAnsi="Times New Roman"/>
          <w:b w:val="0"/>
          <w:i w:val="0"/>
          <w:color w:val="1E1E1E"/>
          <w:sz w:val="20"/>
        </w:rPr>
        <w:t>$$\mathcal{L}_{SmoothL1}(y, \hat{s}) = \begin{cases} 0.5 (y - \hat{s})^2 &amp; \text{if } |y - \hat{s}| &lt; 1 \\ |y - \hat{s}| - 0.5 &amp; \text{otherwise} \end{cases}$$</w:t>
      </w:r>
    </w:p>
    <w:p>
      <w:pPr>
        <w:spacing w:before="0" w:after="90" w:line="276" w:lineRule="auto"/>
        <w:jc w:val="both"/>
      </w:pPr>
      <w:r>
        <w:rPr>
          <w:rFonts w:ascii="Times New Roman" w:hAnsi="Times New Roman"/>
          <w:b w:val="0"/>
          <w:i w:val="0"/>
          <w:color w:val="1E1E1E"/>
          <w:sz w:val="20"/>
        </w:rPr>
        <w:t>At test time, the continuous scalar prediction is clamped to the valid clinical range $[0, 4]$ and rounded to the nearest integer:</w:t>
      </w:r>
    </w:p>
    <w:p>
      <w:pPr>
        <w:spacing w:before="0" w:after="90" w:line="276" w:lineRule="auto"/>
        <w:jc w:val="both"/>
      </w:pPr>
      <w:r>
        <w:rPr>
          <w:rFonts w:ascii="Times New Roman" w:hAnsi="Times New Roman"/>
          <w:b w:val="0"/>
          <w:i w:val="0"/>
          <w:color w:val="1E1E1E"/>
          <w:sz w:val="20"/>
        </w:rPr>
        <w:t>$$\hat{y} = \text{round}(\text{clip}(\hat{s}, 0.0, 4.0))$$</w:t>
      </w:r>
    </w:p>
    <w:p>
      <w:pPr>
        <w:keepNext/>
        <w:spacing w:before="200" w:after="60"/>
      </w:pPr>
      <w:r>
        <w:rPr>
          <w:rFonts w:ascii="Times New Roman" w:hAnsi="Times New Roman"/>
          <w:b/>
          <w:i/>
          <w:color w:val="283246"/>
          <w:sz w:val="21"/>
        </w:rPr>
        <w:t>E. Variant CORN: Conditional Ordinal Regression with Class-Balanced Sampling and Soft-QWK Regularization</w:t>
      </w:r>
    </w:p>
    <w:p>
      <w:pPr>
        <w:keepNext/>
        <w:spacing w:before="120" w:after="40"/>
      </w:pPr>
      <w:r>
        <w:rPr>
          <w:rFonts w:ascii="Times New Roman" w:hAnsi="Times New Roman"/>
          <w:b/>
          <w:color w:val="323232"/>
          <w:sz w:val="20"/>
        </w:rPr>
        <w:t>1) The Breakdown of the Independent-Threshold Assumption in CORAL</w:t>
      </w:r>
    </w:p>
    <w:p>
      <w:pPr>
        <w:spacing w:before="0" w:after="90" w:line="276" w:lineRule="auto"/>
        <w:jc w:val="both"/>
      </w:pPr>
      <w:r>
        <w:rPr>
          <w:rFonts w:ascii="Times New Roman" w:hAnsi="Times New Roman"/>
          <w:b w:val="0"/>
          <w:i w:val="0"/>
          <w:color w:val="1E1E1E"/>
          <w:sz w:val="20"/>
        </w:rPr>
        <w:t>While CORAL theoretically penalizes multi-grade misclassifications, initial empirical evaluations revealed a severe structural failure mode: on the imbalanced APTOS 2019 dataset, CORAL achieved a poor QWK of $0.7273$ and a catastrophic severe error rate ($|y - \hat{y}| \ge 2$) of $26.4\%$, completely collapsing on Grade 3 (Severe NPDR Recall $= 0.0\%$, F1 $= 0.0000$). This failure stems from CORAL's formulation of $K-1$ unconditional binary classification tasks where every training sample updates all thresholds simultaneously. Because Grade 0 (No DR) constitutes $49.3\%$ of the training set ($1,263$ instances) while Grade 3 contains merely $135$ instances ($5.3\%$), negative gradients from healthy instances overpower the shared projection vector $\mathbf{w}$ across higher tasks ($k=2, 3$). Consequently, decision intervals for minority severe stages are crushed.</w:t>
      </w:r>
    </w:p>
    <w:p>
      <w:pPr>
        <w:keepNext/>
        <w:spacing w:before="120" w:after="40"/>
      </w:pPr>
      <w:r>
        <w:rPr>
          <w:rFonts w:ascii="Times New Roman" w:hAnsi="Times New Roman"/>
          <w:b/>
          <w:color w:val="323232"/>
          <w:sz w:val="20"/>
        </w:rPr>
        <w:t>2) Conditional Probability Formulation (CORN)</w:t>
      </w:r>
    </w:p>
    <w:p>
      <w:pPr>
        <w:spacing w:before="0" w:after="90" w:line="276" w:lineRule="auto"/>
        <w:jc w:val="both"/>
      </w:pPr>
      <w:r>
        <w:rPr>
          <w:rFonts w:ascii="Times New Roman" w:hAnsi="Times New Roman"/>
          <w:b w:val="0"/>
          <w:i w:val="0"/>
          <w:color w:val="1E1E1E"/>
          <w:sz w:val="20"/>
        </w:rPr>
        <w:t xml:space="preserve">To overcome threshold collapse under high class skew, we implement the Conditional Ordinal Regression for Neural Networks (CORN) framework [13]. Rather than modeling unconditioned cumulative margins, CORN models the sequence of </w:t>
      </w:r>
      <w:r>
        <w:rPr>
          <w:rFonts w:ascii="Times New Roman" w:hAnsi="Times New Roman"/>
          <w:b w:val="0"/>
          <w:i/>
          <w:color w:val="1E1E1E"/>
          <w:sz w:val="20"/>
        </w:rPr>
        <w:t>conditional</w:t>
      </w:r>
      <w:r>
        <w:rPr>
          <w:rFonts w:ascii="Times New Roman" w:hAnsi="Times New Roman"/>
          <w:b w:val="0"/>
          <w:i w:val="0"/>
          <w:color w:val="1E1E1E"/>
          <w:sz w:val="20"/>
        </w:rPr>
        <w:t xml:space="preserve"> binary probabilities:</w:t>
      </w:r>
    </w:p>
    <w:p>
      <w:pPr>
        <w:spacing w:before="0" w:after="90" w:line="276" w:lineRule="auto"/>
        <w:jc w:val="both"/>
      </w:pPr>
      <w:r>
        <w:rPr>
          <w:rFonts w:ascii="Times New Roman" w:hAnsi="Times New Roman"/>
          <w:b w:val="0"/>
          <w:i w:val="0"/>
          <w:color w:val="1E1E1E"/>
          <w:sz w:val="20"/>
        </w:rPr>
        <w:t>$$q_k(\mathbf{x}) = P(y &gt; k \mid y &gt; k-1) = \sigma(g_k(\mathbf{x})), \quad k \in \{0, 1, \dots, K-2\}$$</w:t>
      </w:r>
    </w:p>
    <w:p>
      <w:pPr>
        <w:spacing w:before="0" w:after="90" w:line="276" w:lineRule="auto"/>
        <w:jc w:val="both"/>
      </w:pPr>
      <w:r>
        <w:rPr>
          <w:rFonts w:ascii="Times New Roman" w:hAnsi="Times New Roman"/>
          <w:b w:val="0"/>
          <w:i w:val="0"/>
          <w:color w:val="1E1E1E"/>
          <w:sz w:val="20"/>
        </w:rPr>
        <w:t>where $g_k(\mathbf{x})$ denotes the $k$-th output logit of a linear projection head $\mathbf{W}_{CORN} \in \mathbb{R}^{(K-1) \times d}$. By the probability chain rule, the unconditional cumulative probability of exceeding rank $k$ is given by:</w:t>
      </w:r>
    </w:p>
    <w:p>
      <w:pPr>
        <w:spacing w:before="0" w:after="90" w:line="276" w:lineRule="auto"/>
        <w:jc w:val="both"/>
      </w:pPr>
      <w:r>
        <w:rPr>
          <w:rFonts w:ascii="Times New Roman" w:hAnsi="Times New Roman"/>
          <w:b w:val="0"/>
          <w:i w:val="0"/>
          <w:color w:val="1E1E1E"/>
          <w:sz w:val="20"/>
        </w:rPr>
        <w:t>$$P(y &gt; k \mid \mathbf{x}) = \prod_{j=0}^k q_j(\mathbf{x})$$</w:t>
      </w:r>
    </w:p>
    <w:p>
      <w:pPr>
        <w:spacing w:before="0" w:after="90" w:line="276" w:lineRule="auto"/>
        <w:jc w:val="both"/>
      </w:pPr>
      <w:r>
        <w:rPr>
          <w:rFonts w:ascii="Times New Roman" w:hAnsi="Times New Roman"/>
          <w:b w:val="0"/>
          <w:i w:val="0"/>
          <w:color w:val="1E1E1E"/>
          <w:sz w:val="20"/>
        </w:rPr>
        <w:t xml:space="preserve">Crucially, under the CORN loss formulation, an instance with true label $y$ participates </w:t>
      </w:r>
      <w:r>
        <w:rPr>
          <w:rFonts w:ascii="Times New Roman" w:hAnsi="Times New Roman"/>
          <w:b w:val="0"/>
          <w:i/>
          <w:color w:val="1E1E1E"/>
          <w:sz w:val="20"/>
        </w:rPr>
        <w:t>only</w:t>
      </w:r>
      <w:r>
        <w:rPr>
          <w:rFonts w:ascii="Times New Roman" w:hAnsi="Times New Roman"/>
          <w:b w:val="0"/>
          <w:i w:val="0"/>
          <w:color w:val="1E1E1E"/>
          <w:sz w:val="20"/>
        </w:rPr>
        <w:t xml:space="preserve"> in binary tasks up to its own label condition:</w:t>
      </w:r>
    </w:p>
    <w:p>
      <w:pPr>
        <w:spacing w:before="0" w:after="90" w:line="276" w:lineRule="auto"/>
        <w:jc w:val="both"/>
      </w:pPr>
      <w:r>
        <w:rPr>
          <w:rFonts w:ascii="Times New Roman" w:hAnsi="Times New Roman"/>
          <w:b w:val="0"/>
          <w:i w:val="0"/>
          <w:color w:val="1E1E1E"/>
          <w:sz w:val="20"/>
        </w:rPr>
        <w:t>$$\mathcal{L}_{CORN}(\mathbf{x}, y) = \frac{1}{\min(y+1, K-1)} \sum_{k=0}^{\min(y, K-2)} \text{BCE}(g_k(\mathbf{x}), \mathbb{I}(y &gt; k))$$</w:t>
      </w:r>
    </w:p>
    <w:p>
      <w:pPr>
        <w:spacing w:before="0" w:after="90" w:line="276" w:lineRule="auto"/>
        <w:jc w:val="both"/>
      </w:pPr>
      <w:r>
        <w:rPr>
          <w:rFonts w:ascii="Times New Roman" w:hAnsi="Times New Roman"/>
          <w:b w:val="0"/>
          <w:i w:val="0"/>
          <w:color w:val="1E1E1E"/>
          <w:sz w:val="20"/>
        </w:rPr>
        <w:t xml:space="preserve">Instances with $y = 0$ (healthy retinas) update </w:t>
      </w:r>
      <w:r>
        <w:rPr>
          <w:rFonts w:ascii="Times New Roman" w:hAnsi="Times New Roman"/>
          <w:b w:val="0"/>
          <w:i/>
          <w:color w:val="1E1E1E"/>
          <w:sz w:val="20"/>
        </w:rPr>
        <w:t>only</w:t>
      </w:r>
      <w:r>
        <w:rPr>
          <w:rFonts w:ascii="Times New Roman" w:hAnsi="Times New Roman"/>
          <w:b w:val="0"/>
          <w:i w:val="0"/>
          <w:color w:val="1E1E1E"/>
          <w:sz w:val="20"/>
        </w:rPr>
        <w:t xml:space="preserve"> task 0 ($y &gt; 0$). They are strictly excluded from generating gradients on tasks 1, 2, and 3. As a result, the scarce training examples of Severe NPDR ($y=3$) and Proliferative DR ($y=4$) directly govern their respective threshold heads without interference from the majority healthy cohort.</w:t>
      </w:r>
    </w:p>
    <w:p>
      <w:pPr>
        <w:keepNext/>
        <w:spacing w:before="120" w:after="40"/>
      </w:pPr>
      <w:r>
        <w:rPr>
          <w:rFonts w:ascii="Times New Roman" w:hAnsi="Times New Roman"/>
          <w:b/>
          <w:color w:val="323232"/>
          <w:sz w:val="20"/>
        </w:rPr>
        <w:t>3) Class-Balanced Effective Number Weighting and Sampling</w:t>
      </w:r>
    </w:p>
    <w:p>
      <w:pPr>
        <w:spacing w:before="0" w:after="90" w:line="276" w:lineRule="auto"/>
        <w:jc w:val="both"/>
      </w:pPr>
      <w:r>
        <w:rPr>
          <w:rFonts w:ascii="Times New Roman" w:hAnsi="Times New Roman"/>
          <w:b w:val="0"/>
          <w:i w:val="0"/>
          <w:color w:val="1E1E1E"/>
          <w:sz w:val="20"/>
        </w:rPr>
        <w:t>To further counteract the extreme $9.4:1$ class imbalance between Grade 0 and Grade 3 without introducing non-physiological pixel artifacts (such as SMOTE interpolations [4]), we introduce two complementary mechanisms:</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Effective Number of Samples Loss Weighting (Cui et al. [14]):</w:t>
      </w:r>
      <w:r>
        <w:rPr>
          <w:rFonts w:ascii="Times New Roman" w:hAnsi="Times New Roman"/>
          <w:b w:val="0"/>
          <w:i w:val="0"/>
          <w:color w:val="1E1E1E"/>
          <w:sz w:val="20"/>
        </w:rPr>
        <w:t xml:space="preserve"> Rather than naive inverse-frequency weighting which excessively penalizes majority classes, we weight the sample loss by:</w:t>
      </w:r>
    </w:p>
    <w:p>
      <w:pPr>
        <w:spacing w:before="0" w:after="90" w:line="276" w:lineRule="auto"/>
        <w:jc w:val="both"/>
      </w:pPr>
      <w:r>
        <w:rPr>
          <w:rFonts w:ascii="Times New Roman" w:hAnsi="Times New Roman"/>
          <w:b w:val="0"/>
          <w:i w:val="0"/>
          <w:color w:val="1E1E1E"/>
          <w:sz w:val="20"/>
        </w:rPr>
        <w:t>$$W_c = \frac{1 - \beta}{1 - \beta^{n_c}}, \quad \text{normalized such that } \sum_{c=0}^{K-1} W_c = K$$</w:t>
      </w:r>
    </w:p>
    <w:p>
      <w:pPr>
        <w:spacing w:before="0" w:after="90" w:line="276" w:lineRule="auto"/>
        <w:jc w:val="both"/>
      </w:pPr>
      <w:r>
        <w:rPr>
          <w:rFonts w:ascii="Times New Roman" w:hAnsi="Times New Roman"/>
          <w:b w:val="0"/>
          <w:i w:val="0"/>
          <w:color w:val="1E1E1E"/>
          <w:sz w:val="20"/>
        </w:rPr>
        <w:t>with $\beta = 0.9999$. This assigns effective weights of $0.2269$ to Grade 0, $1.0529$ to Grade 1, $0.3987$ to Grade 2, $2.0075$ to Grade 3 (Severe), and $1.3140$ to Grade 4 (PDR), elevating gradient sensitivity for severe cases by nearly $9\times$.</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WeightedRandomSampler at DataLoader Level:</w:t>
      </w:r>
      <w:r>
        <w:rPr>
          <w:rFonts w:ascii="Times New Roman" w:hAnsi="Times New Roman"/>
          <w:b w:val="0"/>
          <w:i w:val="0"/>
          <w:color w:val="1E1E1E"/>
          <w:sz w:val="20"/>
        </w:rPr>
        <w:t xml:space="preserve"> We equip the training DataLoader with a probability sampler drawing instances with probability proportional to their class-balanced weights. This guarantees that minority severe and proliferative cases are encountered repeatedly across each epoch.</w:t>
      </w:r>
    </w:p>
    <w:p>
      <w:pPr>
        <w:keepNext/>
        <w:spacing w:before="120" w:after="40"/>
      </w:pPr>
      <w:r>
        <w:rPr>
          <w:rFonts w:ascii="Times New Roman" w:hAnsi="Times New Roman"/>
          <w:b/>
          <w:color w:val="323232"/>
          <w:sz w:val="20"/>
        </w:rPr>
        <w:t>4) Differentiable Soft-QWK Loss Regularization</w:t>
      </w:r>
    </w:p>
    <w:p>
      <w:pPr>
        <w:spacing w:before="0" w:after="90" w:line="276" w:lineRule="auto"/>
        <w:jc w:val="both"/>
      </w:pPr>
      <w:r>
        <w:rPr>
          <w:rFonts w:ascii="Times New Roman" w:hAnsi="Times New Roman"/>
          <w:b w:val="0"/>
          <w:i w:val="0"/>
          <w:color w:val="1E1E1E"/>
          <w:sz w:val="20"/>
        </w:rPr>
        <w:t>Because Quadratic Weighted Kappa is our primary clinical evaluation metric, we add a differentiable soft-QWK loss term directly into the optimization objective:</w:t>
      </w:r>
    </w:p>
    <w:p>
      <w:pPr>
        <w:spacing w:before="0" w:after="90" w:line="276" w:lineRule="auto"/>
        <w:jc w:val="both"/>
      </w:pPr>
      <w:r>
        <w:rPr>
          <w:rFonts w:ascii="Times New Roman" w:hAnsi="Times New Roman"/>
          <w:b w:val="0"/>
          <w:i w:val="0"/>
          <w:color w:val="1E1E1E"/>
          <w:sz w:val="20"/>
        </w:rPr>
        <w:t>$$\mathcal{L}_{total} = \mathcal{L}_{CORN} + \lambda_{QWK} \cdot \mathcal{L}_{SoftQWK}$$</w:t>
      </w:r>
    </w:p>
    <w:p>
      <w:pPr>
        <w:spacing w:before="0" w:after="90" w:line="276" w:lineRule="auto"/>
        <w:jc w:val="both"/>
      </w:pPr>
      <w:r>
        <w:rPr>
          <w:rFonts w:ascii="Times New Roman" w:hAnsi="Times New Roman"/>
          <w:b w:val="0"/>
          <w:i w:val="0"/>
          <w:color w:val="1E1E1E"/>
          <w:sz w:val="20"/>
        </w:rPr>
        <w:t>From the conditional probabilities $q_k(\mathbf{x})$, we compute discrete class probabilities $P(y = k)$ via the differences of successive cumulative products:</w:t>
      </w:r>
    </w:p>
    <w:p>
      <w:pPr>
        <w:spacing w:before="0" w:after="90" w:line="276" w:lineRule="auto"/>
        <w:jc w:val="both"/>
      </w:pPr>
      <w:r>
        <w:rPr>
          <w:rFonts w:ascii="Times New Roman" w:hAnsi="Times New Roman"/>
          <w:b w:val="0"/>
          <w:i w:val="0"/>
          <w:color w:val="1E1E1E"/>
          <w:sz w:val="20"/>
        </w:rPr>
        <w:t>$$P(y = 0) = 1 - P(y &gt; 0), \quad P(y = k) = P(y &gt; k-1) - P(y &gt; k), \quad P(y = K-1) = P(y &gt; K-2)$$</w:t>
      </w:r>
    </w:p>
    <w:p>
      <w:pPr>
        <w:spacing w:before="0" w:after="90" w:line="276" w:lineRule="auto"/>
        <w:jc w:val="both"/>
      </w:pPr>
      <w:r>
        <w:rPr>
          <w:rFonts w:ascii="Times New Roman" w:hAnsi="Times New Roman"/>
          <w:b w:val="0"/>
          <w:i w:val="0"/>
          <w:color w:val="1E1E1E"/>
          <w:sz w:val="20"/>
        </w:rPr>
        <w:t>Over each training mini-batch of size $B$, the soft confusion matrix $\mathbf{O} \in \mathbb{R}^{K \times K}$ and chance agreement matrix $\mathbf{E} \in \mathbb{R}^{K \times K}$ are constructed using one-hot true targets $\mathbf{Y}$ and soft prediction vectors $\mathbf{P}$. The soft-QWK loss minimizes the quadratic penalty ratio:</w:t>
      </w:r>
    </w:p>
    <w:p>
      <w:pPr>
        <w:spacing w:before="0" w:after="90" w:line="276" w:lineRule="auto"/>
        <w:jc w:val="both"/>
      </w:pPr>
      <w:r>
        <w:rPr>
          <w:rFonts w:ascii="Times New Roman" w:hAnsi="Times New Roman"/>
          <w:b w:val="0"/>
          <w:i w:val="0"/>
          <w:color w:val="1E1E1E"/>
          <w:sz w:val="20"/>
        </w:rPr>
        <w:t>$$\mathcal{L}_{SoftQWK} = \frac{\sum_{i,j} w_{i,j} O_{i,j}}{\sum_{i,j} w_{i,j} E_{i,j} + \epsilon}, \quad w_{i,j} = \frac{(i - j)^2}{(K - 1)^2}$$</w:t>
      </w:r>
    </w:p>
    <w:p>
      <w:pPr>
        <w:spacing w:before="0" w:after="90" w:line="276" w:lineRule="auto"/>
        <w:jc w:val="both"/>
      </w:pPr>
      <w:r>
        <w:rPr>
          <w:rFonts w:ascii="Times New Roman" w:hAnsi="Times New Roman"/>
          <w:b w:val="0"/>
          <w:i w:val="0"/>
          <w:color w:val="1E1E1E"/>
          <w:sz w:val="20"/>
        </w:rPr>
        <w:t>We set $\lambda_{QWK} = 0.20$, providing continuous guidance during backpropagation that specifically penalizes multi-grade disagreements.</w:t>
      </w:r>
    </w:p>
    <w:p>
      <w:pPr>
        <w:keepNext/>
        <w:spacing w:before="120" w:after="40"/>
      </w:pPr>
      <w:r>
        <w:rPr>
          <w:rFonts w:ascii="Times New Roman" w:hAnsi="Times New Roman"/>
          <w:b/>
          <w:color w:val="323232"/>
          <w:sz w:val="20"/>
        </w:rPr>
        <w:t>5) Test-Time Augmentation (TTA) and Backbone Regularization</w:t>
      </w:r>
    </w:p>
    <w:p>
      <w:pPr>
        <w:spacing w:before="0" w:after="90" w:line="276" w:lineRule="auto"/>
        <w:jc w:val="both"/>
      </w:pPr>
      <w:r>
        <w:rPr>
          <w:rFonts w:ascii="Times New Roman" w:hAnsi="Times New Roman"/>
          <w:b w:val="0"/>
          <w:i w:val="0"/>
          <w:color w:val="1E1E1E"/>
          <w:sz w:val="20"/>
        </w:rPr>
        <w:t>At test time, predictions are generated via 4-way flip Test-Time Augmentation (averaging predictions across original, horizontal, vertical, and horizontal-vertical mirrored inputs). Furthermore, to prevent the 5.3M parameter EfficientNet-B0 backbone from overfitting on the small 2,563-image training split, we freeze the stem and first three MBConv stages (</w:t>
      </w:r>
      <w:r>
        <w:rPr>
          <w:rFonts w:ascii="Times New Roman" w:hAnsi="Times New Roman"/>
          <w:b w:val="0"/>
          <w:i w:val="0"/>
          <w:color w:val="1E1E1E"/>
          <w:sz w:val="20"/>
        </w:rPr>
        <w:t>features[:4]</w:t>
      </w:r>
      <w:r>
        <w:rPr>
          <w:rFonts w:ascii="Times New Roman" w:hAnsi="Times New Roman"/>
          <w:b w:val="0"/>
          <w:i w:val="0"/>
          <w:color w:val="1E1E1E"/>
          <w:sz w:val="20"/>
        </w:rPr>
        <w:t>), retaining fixed low-level retinal edge filters while fine-tuning higher-level semantic blocks.</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V. EXPERIMENTAL SETUP</w:t>
      </w:r>
    </w:p>
    <w:p>
      <w:pPr>
        <w:keepNext/>
        <w:spacing w:before="200" w:after="60"/>
      </w:pPr>
      <w:r>
        <w:rPr>
          <w:rFonts w:ascii="Times New Roman" w:hAnsi="Times New Roman"/>
          <w:b/>
          <w:i/>
          <w:color w:val="283246"/>
          <w:sz w:val="21"/>
        </w:rPr>
        <w:t>A. Hardware Compute Detection Protocol and Native GPU Acceleration</w:t>
      </w:r>
    </w:p>
    <w:p>
      <w:pPr>
        <w:spacing w:before="0" w:after="90" w:line="276" w:lineRule="auto"/>
        <w:jc w:val="both"/>
      </w:pPr>
      <w:r>
        <w:rPr>
          <w:rFonts w:ascii="Times New Roman" w:hAnsi="Times New Roman"/>
          <w:b w:val="0"/>
          <w:i w:val="0"/>
          <w:color w:val="1E1E1E"/>
          <w:sz w:val="20"/>
        </w:rPr>
        <w:t>The experimental execution protocol incorporates an automated hardware compute detection step before training initialization. The host environment is equipped with an NVIDIA GeForce RTX 5050 Laptop GPU (8 GB dedicated VRAM, sm_120 Blackwell microarchitecture). While initial standard PyTorch binaries compiled for CUDA 12.6 supported compute capabilities only up to sm_90 (Hopper), the environment was configured with PyTorch 2.14.0+cu130 with CUDA 13.0 native runtime, resolving kernel availability constraints.</w:t>
      </w:r>
    </w:p>
    <w:p>
      <w:pPr>
        <w:spacing w:before="0" w:after="90" w:line="276" w:lineRule="auto"/>
        <w:jc w:val="both"/>
      </w:pPr>
      <w:r>
        <w:rPr>
          <w:rFonts w:ascii="Times New Roman" w:hAnsi="Times New Roman"/>
          <w:b w:val="0"/>
          <w:i w:val="0"/>
          <w:color w:val="1E1E1E"/>
          <w:sz w:val="20"/>
        </w:rPr>
        <w:t>To guarantee strict operational safety on mobile hardware:</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Mixed Precision (AMP):</w:t>
      </w:r>
      <w:r>
        <w:rPr>
          <w:rFonts w:ascii="Times New Roman" w:hAnsi="Times New Roman"/>
          <w:b w:val="0"/>
          <w:i w:val="0"/>
          <w:color w:val="1E1E1E"/>
          <w:sz w:val="20"/>
        </w:rPr>
        <w:t xml:space="preserve"> All training executions deploy </w:t>
      </w:r>
      <w:r>
        <w:rPr>
          <w:rFonts w:ascii="Times New Roman" w:hAnsi="Times New Roman"/>
          <w:b w:val="0"/>
          <w:i w:val="0"/>
          <w:color w:val="1E1E1E"/>
          <w:sz w:val="20"/>
        </w:rPr>
        <w:t>torch.cuda.amp</w:t>
      </w:r>
      <w:r>
        <w:rPr>
          <w:rFonts w:ascii="Times New Roman" w:hAnsi="Times New Roman"/>
          <w:b w:val="0"/>
          <w:i w:val="0"/>
          <w:color w:val="1E1E1E"/>
          <w:sz w:val="20"/>
        </w:rPr>
        <w:t xml:space="preserve"> with automated FP16 autocasting and dynamic gradient scaling (</w:t>
      </w:r>
      <w:r>
        <w:rPr>
          <w:rFonts w:ascii="Times New Roman" w:hAnsi="Times New Roman"/>
          <w:b w:val="0"/>
          <w:i w:val="0"/>
          <w:color w:val="1E1E1E"/>
          <w:sz w:val="20"/>
        </w:rPr>
        <w:t>GradScaler</w:t>
      </w:r>
      <w:r>
        <w:rPr>
          <w:rFonts w:ascii="Times New Roman" w:hAnsi="Times New Roman"/>
          <w:b w:val="0"/>
          <w:i w:val="0"/>
          <w:color w:val="1E1E1E"/>
          <w:sz w:val="20"/>
        </w:rPr>
        <w:t>).</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Memory Capping &amp; Safeguards:</w:t>
      </w:r>
      <w:r>
        <w:rPr>
          <w:rFonts w:ascii="Times New Roman" w:hAnsi="Times New Roman"/>
          <w:b w:val="0"/>
          <w:i w:val="0"/>
          <w:color w:val="1E1E1E"/>
          <w:sz w:val="20"/>
        </w:rPr>
        <w:t xml:space="preserve"> Batch size is initialized at 16 (strictly capped at 24 maximum). An automated in-loop monitor queries </w:t>
      </w:r>
      <w:r>
        <w:rPr>
          <w:rFonts w:ascii="Times New Roman" w:hAnsi="Times New Roman"/>
          <w:b w:val="0"/>
          <w:i w:val="0"/>
          <w:color w:val="1E1E1E"/>
          <w:sz w:val="20"/>
        </w:rPr>
        <w:t>torch.cuda.memory_reserved()</w:t>
      </w:r>
      <w:r>
        <w:rPr>
          <w:rFonts w:ascii="Times New Roman" w:hAnsi="Times New Roman"/>
          <w:b w:val="0"/>
          <w:i w:val="0"/>
          <w:color w:val="1E1E1E"/>
          <w:sz w:val="20"/>
        </w:rPr>
        <w:t>; if memory consumption exceeds $90\%$ of total VRAM ($7.2$ GB), the loop empties the CUDA cache and halves the batch size. In practice, FP16 execution required only $540$ MiB of VRAM ($&lt;7\%$ of capacity).</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Telemetry Monitoring:</w:t>
      </w:r>
      <w:r>
        <w:rPr>
          <w:rFonts w:ascii="Times New Roman" w:hAnsi="Times New Roman"/>
          <w:b w:val="0"/>
          <w:i w:val="0"/>
          <w:color w:val="1E1E1E"/>
          <w:sz w:val="20"/>
        </w:rPr>
        <w:t xml:space="preserve"> GPU temperature and utilization are queried via </w:t>
      </w:r>
      <w:r>
        <w:rPr>
          <w:rFonts w:ascii="Times New Roman" w:hAnsi="Times New Roman"/>
          <w:b w:val="0"/>
          <w:i w:val="0"/>
          <w:color w:val="1E1E1E"/>
          <w:sz w:val="20"/>
        </w:rPr>
        <w:t>nvidia-smi</w:t>
      </w:r>
      <w:r>
        <w:rPr>
          <w:rFonts w:ascii="Times New Roman" w:hAnsi="Times New Roman"/>
          <w:b w:val="0"/>
          <w:i w:val="0"/>
          <w:color w:val="1E1E1E"/>
          <w:sz w:val="20"/>
        </w:rPr>
        <w:t xml:space="preserve"> at every epoch, maintaining operational temperatures safely between $43^\circ\text{C}$ and $60^\circ\text{C}$.</w:t>
      </w:r>
    </w:p>
    <w:p>
      <w:pPr>
        <w:spacing w:before="0" w:after="90" w:line="276" w:lineRule="auto"/>
        <w:jc w:val="both"/>
      </w:pPr>
      <w:r>
        <w:rPr>
          <w:rFonts w:ascii="Times New Roman" w:hAnsi="Times New Roman"/>
          <w:b w:val="0"/>
          <w:i w:val="0"/>
          <w:color w:val="1E1E1E"/>
          <w:sz w:val="20"/>
        </w:rPr>
        <w:t xml:space="preserve">Accordingly, the target deep convolutional architecture </w:t>
      </w:r>
      <w:r>
        <w:rPr>
          <w:rFonts w:ascii="Times New Roman" w:hAnsi="Times New Roman"/>
          <w:b/>
          <w:i w:val="0"/>
          <w:color w:val="1E1E1E"/>
          <w:sz w:val="20"/>
        </w:rPr>
        <w:t>EfficientNet-B0</w:t>
      </w:r>
      <w:r>
        <w:rPr>
          <w:rFonts w:ascii="Times New Roman" w:hAnsi="Times New Roman"/>
          <w:b w:val="0"/>
          <w:i w:val="0"/>
          <w:color w:val="1E1E1E"/>
          <w:sz w:val="20"/>
        </w:rPr>
        <w:t xml:space="preserve"> was deployed with native GPU acceleration across all variants over 8 uniform training epochs (~20–35 seconds per epoch), concluding individual variant training in under 4.5 minutes.</w:t>
      </w:r>
    </w:p>
    <w:p>
      <w:pPr>
        <w:keepNext/>
        <w:spacing w:before="200" w:after="60"/>
      </w:pPr>
      <w:r>
        <w:rPr>
          <w:rFonts w:ascii="Times New Roman" w:hAnsi="Times New Roman"/>
          <w:b/>
          <w:i/>
          <w:color w:val="283246"/>
          <w:sz w:val="21"/>
        </w:rPr>
        <w:t>B. Hyperparameter Uniformity and Reproducibility</w:t>
      </w:r>
    </w:p>
    <w:p>
      <w:pPr>
        <w:spacing w:before="0" w:after="90" w:line="276" w:lineRule="auto"/>
        <w:jc w:val="both"/>
      </w:pPr>
      <w:r>
        <w:rPr>
          <w:rFonts w:ascii="Times New Roman" w:hAnsi="Times New Roman"/>
          <w:b w:val="0"/>
          <w:i w:val="0"/>
          <w:color w:val="1E1E1E"/>
          <w:sz w:val="20"/>
        </w:rPr>
        <w:t>To ensure that performance variations are attributable strictly to the mathematical loss formulation rather than stochastic run noise, all non-loss hyperparameters were locked across all variants:</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Global Random Seed:</w:t>
      </w:r>
      <w:r>
        <w:rPr>
          <w:rFonts w:ascii="Times New Roman" w:hAnsi="Times New Roman"/>
          <w:b w:val="0"/>
          <w:i w:val="0"/>
          <w:color w:val="1E1E1E"/>
          <w:sz w:val="20"/>
        </w:rPr>
        <w:t xml:space="preserve"> Fixed to $42$ across Python, NumPy, PyTorch CUDA operations, stratified splitting, and DataLoader batch sampling.</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Backbone Architecture:</w:t>
      </w:r>
      <w:r>
        <w:rPr>
          <w:rFonts w:ascii="Times New Roman" w:hAnsi="Times New Roman"/>
          <w:b w:val="0"/>
          <w:i w:val="0"/>
          <w:color w:val="1E1E1E"/>
          <w:sz w:val="20"/>
        </w:rPr>
        <w:t xml:space="preserve"> EfficientNet-B0 pretrained on ImageNet-1k, fine-tuned across all layers (with early stages frozen in Variant CORN for feature regularization).</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Optimization Algorithm:</w:t>
      </w:r>
      <w:r>
        <w:rPr>
          <w:rFonts w:ascii="Times New Roman" w:hAnsi="Times New Roman"/>
          <w:b w:val="0"/>
          <w:i w:val="0"/>
          <w:color w:val="1E1E1E"/>
          <w:sz w:val="20"/>
        </w:rPr>
        <w:t xml:space="preserve"> AdamW ($\beta_1 = 0.9$, $\beta_2 = 0.999$, weight decay $\lambda = 0.01$).</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Learning Rate Schedule:</w:t>
      </w:r>
      <w:r>
        <w:rPr>
          <w:rFonts w:ascii="Times New Roman" w:hAnsi="Times New Roman"/>
          <w:b w:val="0"/>
          <w:i w:val="0"/>
          <w:color w:val="1E1E1E"/>
          <w:sz w:val="20"/>
        </w:rPr>
        <w:t xml:space="preserve"> Initial learning rate $\eta_0 = 3 \times 10^{-4}$, decayed using a Cosine Annealing scheduler down to $\eta_{min} = 1 \times 10^{-6}$ over 8 epochs.</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Batch Size:</w:t>
      </w:r>
      <w:r>
        <w:rPr>
          <w:rFonts w:ascii="Times New Roman" w:hAnsi="Times New Roman"/>
          <w:b w:val="0"/>
          <w:i w:val="0"/>
          <w:color w:val="1E1E1E"/>
          <w:sz w:val="20"/>
        </w:rPr>
        <w:t xml:space="preserve"> 16 images per batch under mixed precision.</w:t>
      </w:r>
    </w:p>
    <w:p>
      <w:pPr>
        <w:spacing w:before="20" w:after="40" w:line="276" w:lineRule="auto"/>
        <w:ind w:left="432"/>
      </w:pPr>
      <w:r>
        <w:rPr>
          <w:rFonts w:ascii="Times New Roman" w:hAnsi="Times New Roman"/>
          <w:b/>
          <w:sz w:val="20"/>
        </w:rPr>
        <w:t xml:space="preserve">• </w:t>
      </w:r>
      <w:r>
        <w:rPr>
          <w:rFonts w:ascii="Times New Roman" w:hAnsi="Times New Roman"/>
          <w:b/>
          <w:i w:val="0"/>
          <w:color w:val="1E1E1E"/>
          <w:sz w:val="20"/>
        </w:rPr>
        <w:t>Evaluation Cadence:</w:t>
      </w:r>
      <w:r>
        <w:rPr>
          <w:rFonts w:ascii="Times New Roman" w:hAnsi="Times New Roman"/>
          <w:b w:val="0"/>
          <w:i w:val="0"/>
          <w:color w:val="1E1E1E"/>
          <w:sz w:val="20"/>
        </w:rPr>
        <w:t xml:space="preserve"> Full validation set evaluation after every epoch; model checkpoints saved based on peak validation Quadratic Weighted Kappa.</w:t>
      </w:r>
    </w:p>
    <w:p>
      <w:pPr>
        <w:keepNext/>
        <w:spacing w:before="200" w:after="60"/>
      </w:pPr>
      <w:r>
        <w:rPr>
          <w:rFonts w:ascii="Times New Roman" w:hAnsi="Times New Roman"/>
          <w:b/>
          <w:i/>
          <w:color w:val="283246"/>
          <w:sz w:val="21"/>
        </w:rPr>
        <w:t>C. Clinical Evaluation Metrics</w:t>
      </w:r>
    </w:p>
    <w:p>
      <w:pPr>
        <w:spacing w:before="0" w:after="90" w:line="276" w:lineRule="auto"/>
        <w:jc w:val="both"/>
      </w:pPr>
      <w:r>
        <w:rPr>
          <w:rFonts w:ascii="Times New Roman" w:hAnsi="Times New Roman"/>
          <w:b w:val="0"/>
          <w:i w:val="0"/>
          <w:color w:val="1E1E1E"/>
          <w:sz w:val="20"/>
        </w:rPr>
        <w:t>Model performance is evaluated across a spectrum of clinical and statistical metrics on the holdout test set (550 images):</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Quadratic Weighted Kappa (QWK) [PRIMARY]:</w:t>
      </w:r>
      <w:r>
        <w:rPr>
          <w:rFonts w:ascii="Times New Roman" w:hAnsi="Times New Roman"/>
          <w:b w:val="0"/>
          <w:i w:val="0"/>
          <w:color w:val="1E1E1E"/>
          <w:sz w:val="20"/>
        </w:rPr>
        <w:t xml:space="preserve"> Measures agreement between true and predicted grades adjusted for chance agreement, applying quadratic penalties to distance errors:</w:t>
      </w:r>
    </w:p>
    <w:p>
      <w:pPr>
        <w:spacing w:before="0" w:after="90" w:line="276" w:lineRule="auto"/>
        <w:jc w:val="both"/>
      </w:pPr>
      <w:r>
        <w:rPr>
          <w:rFonts w:ascii="Times New Roman" w:hAnsi="Times New Roman"/>
          <w:b w:val="0"/>
          <w:i w:val="0"/>
          <w:color w:val="1E1E1E"/>
          <w:sz w:val="20"/>
        </w:rPr>
        <w:t>$$QWK = 1 - \frac{\sum_{i=0}^{K-1}\sum_{j=0}^{K-1} w_{i,j} O_{i,j}}{\sum_{i=0}^{K-1}\sum_{j=0}^{K-1} w_{i,j} E_{i,j}}, \quad w_{i,j} = \frac{(i - j)^2}{(K - 1)^2}$$</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Classification Accuracy &amp; Mean Absolute Error (MAE):</w:t>
      </w:r>
      <w:r>
        <w:rPr>
          <w:rFonts w:ascii="Times New Roman" w:hAnsi="Times New Roman"/>
          <w:b w:val="0"/>
          <w:i w:val="0"/>
          <w:color w:val="1E1E1E"/>
          <w:sz w:val="20"/>
        </w:rPr>
        <w:t xml:space="preserve"> Accuracy assesses exact matches, while MAE measures average grade error distance: $\text{MAE} = \frac{1}{N} \sum_{i=1}^N |y_i - \hat{y}_i|$.</w:t>
      </w:r>
    </w:p>
    <w:p>
      <w:pPr>
        <w:spacing w:before="20" w:after="40" w:line="276" w:lineRule="auto"/>
        <w:ind w:left="432"/>
      </w:pPr>
      <w:r>
        <w:rPr>
          <w:rFonts w:ascii="Times New Roman" w:hAnsi="Times New Roman"/>
          <w:b/>
          <w:sz w:val="20"/>
        </w:rPr>
        <w:t xml:space="preserve">3. </w:t>
      </w:r>
      <w:r>
        <w:rPr>
          <w:rFonts w:ascii="Times New Roman" w:hAnsi="Times New Roman"/>
          <w:b/>
          <w:i w:val="0"/>
          <w:color w:val="1E1E1E"/>
          <w:sz w:val="20"/>
        </w:rPr>
        <w:t>Catastrophic Triage Error Rate ($d \ge 2$):</w:t>
      </w:r>
      <w:r>
        <w:rPr>
          <w:rFonts w:ascii="Times New Roman" w:hAnsi="Times New Roman"/>
          <w:b w:val="0"/>
          <w:i w:val="0"/>
          <w:color w:val="1E1E1E"/>
          <w:sz w:val="20"/>
        </w:rPr>
        <w:t xml:space="preserve"> Proportion of predictions off by two or more clinical stages ($|y - \hat{y}| \ge 2$).</w:t>
      </w:r>
    </w:p>
    <w:p>
      <w:pPr>
        <w:spacing w:before="20" w:after="40" w:line="276" w:lineRule="auto"/>
        <w:ind w:left="432"/>
      </w:pPr>
      <w:r>
        <w:rPr>
          <w:rFonts w:ascii="Times New Roman" w:hAnsi="Times New Roman"/>
          <w:b/>
          <w:sz w:val="20"/>
        </w:rPr>
        <w:t xml:space="preserve">4. </w:t>
      </w:r>
      <w:r>
        <w:rPr>
          <w:rFonts w:ascii="Times New Roman" w:hAnsi="Times New Roman"/>
          <w:b/>
          <w:i w:val="0"/>
          <w:color w:val="1E1E1E"/>
          <w:sz w:val="20"/>
        </w:rPr>
        <w:t>Per-Class Bootstrap 95% Confidence Intervals:</w:t>
      </w:r>
      <w:r>
        <w:rPr>
          <w:rFonts w:ascii="Times New Roman" w:hAnsi="Times New Roman"/>
          <w:b w:val="0"/>
          <w:i w:val="0"/>
          <w:color w:val="1E1E1E"/>
          <w:sz w:val="20"/>
        </w:rPr>
        <w:t xml:space="preserve"> Due to limited test instances in minority clinical grades (29 Severe, 44 PDR), we perform 1,000 paired bootstrap resamples to compute non-parametric $95\%$ Confidence Intervals ($[2.5\%, 97.5\%]$) for per-class Recall/Sensitivity, Precision, and F1-scores.</w:t>
      </w:r>
    </w:p>
    <w:p>
      <w:pPr>
        <w:spacing w:before="20" w:after="40" w:line="276" w:lineRule="auto"/>
        <w:ind w:left="432"/>
      </w:pPr>
      <w:r>
        <w:rPr>
          <w:rFonts w:ascii="Times New Roman" w:hAnsi="Times New Roman"/>
          <w:b/>
          <w:sz w:val="20"/>
        </w:rPr>
        <w:t xml:space="preserve">5. </w:t>
      </w:r>
      <w:r>
        <w:rPr>
          <w:rFonts w:ascii="Times New Roman" w:hAnsi="Times New Roman"/>
          <w:b/>
          <w:i w:val="0"/>
          <w:color w:val="1E1E1E"/>
          <w:sz w:val="20"/>
        </w:rPr>
        <w:t>Statistical Significance Testing:</w:t>
      </w:r>
      <w:r>
        <w:rPr>
          <w:rFonts w:ascii="Times New Roman" w:hAnsi="Times New Roman"/>
          <w:b w:val="0"/>
          <w:i w:val="0"/>
          <w:color w:val="1E1E1E"/>
          <w:sz w:val="20"/>
        </w:rPr>
        <w:t xml:space="preserve"> Paired bootstrap resampling ($1,000$ iterations) to compute $95\%$ Confidence Intervals for $\Delta QWK$, alongside two-sided Wilcoxon signed-rank tests on absolute error distances.</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VI. RESULTS AND EMPIRICAL EVALUATION</w:t>
      </w:r>
    </w:p>
    <w:p>
      <w:pPr>
        <w:keepNext/>
        <w:spacing w:before="200" w:after="60"/>
      </w:pPr>
      <w:r>
        <w:rPr>
          <w:rFonts w:ascii="Times New Roman" w:hAnsi="Times New Roman"/>
          <w:b/>
          <w:i/>
          <w:color w:val="283246"/>
          <w:sz w:val="21"/>
        </w:rPr>
        <w:t>A. Comparative Model Performance Across All Four Variants</w:t>
      </w:r>
    </w:p>
    <w:p>
      <w:pPr>
        <w:spacing w:before="0" w:after="90" w:line="276" w:lineRule="auto"/>
        <w:jc w:val="both"/>
      </w:pPr>
      <w:r>
        <w:rPr>
          <w:rFonts w:ascii="Times New Roman" w:hAnsi="Times New Roman"/>
          <w:b w:val="0"/>
          <w:i w:val="0"/>
          <w:color w:val="1E1E1E"/>
          <w:sz w:val="20"/>
        </w:rPr>
        <w:t>Table I summarizes the empirical performance of all four model variants evaluated on the independent holdout test set ($N = 550$).</w:t>
      </w:r>
    </w:p>
    <w:p>
      <w:pPr>
        <w:keepNext/>
        <w:spacing w:before="200" w:after="60"/>
      </w:pPr>
      <w:r>
        <w:rPr>
          <w:rFonts w:ascii="Times New Roman" w:hAnsi="Times New Roman"/>
          <w:b/>
          <w:i/>
          <w:color w:val="283246"/>
          <w:sz w:val="21"/>
        </w:rPr>
        <w:t>TABLE I: Comprehensive Performance Comparison Across Model Variants on APTOS 2019 Holdout Test Set ($N=550$)</w:t>
      </w:r>
    </w:p>
    <w:tbl>
      <w:tblPr>
        <w:tblW w:type="auto" w:w="0"/>
        <w:jc w:val="center"/>
        <w:tblLook w:firstColumn="1" w:firstRow="1" w:lastColumn="0" w:lastRow="0" w:noHBand="0" w:noVBand="1" w:val="04A0"/>
        <w:tblBorders>
          <w:top w:val="single" w:sz="6" w:space="0" w:color="CCCCCC"/>
          <w:bottom w:val="single" w:sz="8" w:space="0" w:color="333333"/>
          <w:insideH w:val="single" w:sz="4" w:space="0" w:color="E0E0E0"/>
          <w:insideV w:val="none"/>
          <w:left w:val="none"/>
          <w:right w:val="none"/>
        </w:tblBorders>
      </w:tblPr>
      <w:tblGrid>
        <w:gridCol w:w="1120"/>
        <w:gridCol w:w="1120"/>
        <w:gridCol w:w="1120"/>
        <w:gridCol w:w="1120"/>
        <w:gridCol w:w="1120"/>
        <w:gridCol w:w="1120"/>
        <w:gridCol w:w="1120"/>
        <w:gridCol w:w="1120"/>
        <w:gridCol w:w="1120"/>
      </w:tblGrid>
      <w:tr>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Model Variant</w:t>
            </w:r>
          </w:p>
        </w:tc>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QWK (Primary) [95% CI]</w:t>
            </w:r>
          </w:p>
        </w:tc>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Accuracy (%)</w:t>
            </w:r>
          </w:p>
        </w:tc>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MAE [95% CI]</w:t>
            </w:r>
          </w:p>
        </w:tc>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Severe Error ($d \ge 2$) [95% CI]</w:t>
            </w:r>
          </w:p>
        </w:tc>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Severe F1 (Grade 3)</w:t>
            </w:r>
          </w:p>
        </w:tc>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PDR F1 (Grade 4)</w:t>
            </w:r>
          </w:p>
        </w:tc>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Exact Match ($d=0$)</w:t>
            </w:r>
          </w:p>
        </w:tc>
        <w:tc>
          <w:tcPr>
            <w:tcW w:type="dxa" w:w="1120"/>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Off-by-1 ($d=1$)</w:t>
            </w:r>
          </w:p>
        </w:tc>
      </w:tr>
      <w:tr>
        <w:tc>
          <w:tcPr>
            <w:tcW w:type="dxa" w:w="1120"/>
            <w:vAlign w:val="center"/>
            <w:tcMar>
              <w:top w:w="120" w:type="dxa"/>
              <w:bottom w:w="120" w:type="dxa"/>
              <w:left w:w="140" w:type="dxa"/>
              <w:right w:w="140" w:type="dxa"/>
            </w:tcMar>
            <w:shd w:fill="F7F9FC"/>
          </w:tcPr>
          <w:p>
            <w:pPr>
              <w:spacing w:before="20" w:after="20"/>
              <w:jc w:val="left"/>
            </w:pPr>
            <w:r>
              <w:rPr>
                <w:rFonts w:ascii="Times New Roman" w:hAnsi="Times New Roman"/>
                <w:b/>
                <w:i w:val="0"/>
                <w:color w:val="1E1E1E"/>
                <w:sz w:val="18"/>
              </w:rPr>
              <w:t>Variant A: Softmax Baseline</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i w:val="0"/>
                <w:color w:val="1E1E1E"/>
                <w:sz w:val="18"/>
              </w:rPr>
              <w:t>0.8724</w:t>
            </w:r>
            <w:r>
              <w:rPr>
                <w:rFonts w:ascii="Times New Roman" w:hAnsi="Times New Roman"/>
                <w:b w:val="0"/>
                <w:i w:val="0"/>
                <w:color w:val="1E1E1E"/>
                <w:sz w:val="18"/>
              </w:rPr>
              <w:t xml:space="preserve"> [0.8385, 0.9044]</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i w:val="0"/>
                <w:color w:val="1E1E1E"/>
                <w:sz w:val="18"/>
              </w:rPr>
              <w:t>80.18%</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i w:val="0"/>
                <w:color w:val="1E1E1E"/>
                <w:sz w:val="18"/>
              </w:rPr>
              <w:t>0.2673</w:t>
            </w:r>
            <w:r>
              <w:rPr>
                <w:rFonts w:ascii="Times New Roman" w:hAnsi="Times New Roman"/>
                <w:b w:val="0"/>
                <w:i w:val="0"/>
                <w:color w:val="1E1E1E"/>
                <w:sz w:val="18"/>
              </w:rPr>
              <w:t xml:space="preserve"> [0.2182, 0.3200]</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i w:val="0"/>
                <w:color w:val="1E1E1E"/>
                <w:sz w:val="18"/>
              </w:rPr>
              <w:t>5.6%</w:t>
            </w:r>
            <w:r>
              <w:rPr>
                <w:rFonts w:ascii="Times New Roman" w:hAnsi="Times New Roman"/>
                <w:b w:val="0"/>
                <w:i w:val="0"/>
                <w:color w:val="1E1E1E"/>
                <w:sz w:val="18"/>
              </w:rPr>
              <w:t xml:space="preserve"> [3.6%, 7.6%]</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0.3791 [0.2221, 0.5313]</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0.5147 [0.3830, 0.6377]</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80.2%</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14.2%</w:t>
            </w:r>
          </w:p>
        </w:tc>
      </w:tr>
      <w:tr>
        <w:tc>
          <w:tcPr>
            <w:tcW w:type="dxa" w:w="1120"/>
            <w:vAlign w:val="center"/>
            <w:tcMar>
              <w:top w:w="120" w:type="dxa"/>
              <w:bottom w:w="120" w:type="dxa"/>
              <w:left w:w="140" w:type="dxa"/>
              <w:right w:w="140" w:type="dxa"/>
            </w:tcMar>
            <w:shd w:fill="FFFFFF"/>
          </w:tcPr>
          <w:p>
            <w:pPr>
              <w:spacing w:before="20" w:after="20"/>
              <w:jc w:val="left"/>
            </w:pPr>
            <w:r>
              <w:rPr>
                <w:rFonts w:ascii="Times New Roman" w:hAnsi="Times New Roman"/>
                <w:b/>
                <w:i w:val="0"/>
                <w:color w:val="1E1E1E"/>
                <w:sz w:val="18"/>
              </w:rPr>
              <w:t>Variant B: CORAL Ordinal</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0.7273</w:t>
            </w:r>
            <w:r>
              <w:rPr>
                <w:rFonts w:ascii="Times New Roman" w:hAnsi="Times New Roman"/>
                <w:b w:val="0"/>
                <w:i w:val="0"/>
                <w:color w:val="1E1E1E"/>
                <w:sz w:val="18"/>
              </w:rPr>
              <w:t xml:space="preserve"> [0.6874, 0.7641]</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59.64%</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0.6964</w:t>
            </w:r>
            <w:r>
              <w:rPr>
                <w:rFonts w:ascii="Times New Roman" w:hAnsi="Times New Roman"/>
                <w:b w:val="0"/>
                <w:i w:val="0"/>
                <w:color w:val="1E1E1E"/>
                <w:sz w:val="18"/>
              </w:rPr>
              <w:t xml:space="preserve"> [0.6200, 0.7710]</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26.4%</w:t>
            </w:r>
            <w:r>
              <w:rPr>
                <w:rFonts w:ascii="Times New Roman" w:hAnsi="Times New Roman"/>
                <w:b w:val="0"/>
                <w:i w:val="0"/>
                <w:color w:val="1E1E1E"/>
                <w:sz w:val="18"/>
              </w:rPr>
              <w:t xml:space="preserve"> [22.9%, 30.2%]</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0.0000 [0.0000, 0.0000]</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0.3692 [0.2857, 0.4502]</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59.6%</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14.0%</w:t>
            </w:r>
          </w:p>
        </w:tc>
      </w:tr>
      <w:tr>
        <w:tc>
          <w:tcPr>
            <w:tcW w:type="dxa" w:w="1120"/>
            <w:vAlign w:val="center"/>
            <w:tcMar>
              <w:top w:w="120" w:type="dxa"/>
              <w:bottom w:w="120" w:type="dxa"/>
              <w:left w:w="140" w:type="dxa"/>
              <w:right w:w="140" w:type="dxa"/>
            </w:tcMar>
            <w:shd w:fill="F7F9FC"/>
          </w:tcPr>
          <w:p>
            <w:pPr>
              <w:spacing w:before="20" w:after="20"/>
              <w:jc w:val="left"/>
            </w:pPr>
            <w:r>
              <w:rPr>
                <w:rFonts w:ascii="Times New Roman" w:hAnsi="Times New Roman"/>
                <w:b/>
                <w:i w:val="0"/>
                <w:color w:val="1E1E1E"/>
                <w:sz w:val="18"/>
              </w:rPr>
              <w:t>Variant C: Continuous Regression</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i w:val="0"/>
                <w:color w:val="1E1E1E"/>
                <w:sz w:val="18"/>
              </w:rPr>
              <w:t>0.8788</w:t>
            </w:r>
            <w:r>
              <w:rPr>
                <w:rFonts w:ascii="Times New Roman" w:hAnsi="Times New Roman"/>
                <w:b w:val="0"/>
                <w:i w:val="0"/>
                <w:color w:val="1E1E1E"/>
                <w:sz w:val="18"/>
              </w:rPr>
              <w:t xml:space="preserve"> [0.8490, 0.9039]</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i w:val="0"/>
                <w:color w:val="1E1E1E"/>
                <w:sz w:val="18"/>
              </w:rPr>
              <w:t>75.64%</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i w:val="0"/>
                <w:color w:val="1E1E1E"/>
                <w:sz w:val="18"/>
              </w:rPr>
              <w:t>0.2873</w:t>
            </w:r>
            <w:r>
              <w:rPr>
                <w:rFonts w:ascii="Times New Roman" w:hAnsi="Times New Roman"/>
                <w:b w:val="0"/>
                <w:i w:val="0"/>
                <w:color w:val="1E1E1E"/>
                <w:sz w:val="18"/>
              </w:rPr>
              <w:t xml:space="preserve"> [0.2400, 0.3364]</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i w:val="0"/>
                <w:color w:val="1E1E1E"/>
                <w:sz w:val="18"/>
              </w:rPr>
              <w:t>3.8%</w:t>
            </w:r>
            <w:r>
              <w:rPr>
                <w:rFonts w:ascii="Times New Roman" w:hAnsi="Times New Roman"/>
                <w:b w:val="0"/>
                <w:i w:val="0"/>
                <w:color w:val="1E1E1E"/>
                <w:sz w:val="18"/>
              </w:rPr>
              <w:t xml:space="preserve"> [2.4%, 5.5%]</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0.2528 [0.1333, 0.3704]</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0.3589 [0.2034, 0.5067]</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75.6%</w:t>
            </w:r>
          </w:p>
        </w:tc>
        <w:tc>
          <w:tcPr>
            <w:tcW w:type="dxa" w:w="1120"/>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20.5%</w:t>
            </w:r>
          </w:p>
        </w:tc>
      </w:tr>
      <w:tr>
        <w:tc>
          <w:tcPr>
            <w:tcW w:type="dxa" w:w="1120"/>
            <w:vAlign w:val="center"/>
            <w:tcMar>
              <w:top w:w="120" w:type="dxa"/>
              <w:bottom w:w="120" w:type="dxa"/>
              <w:left w:w="140" w:type="dxa"/>
              <w:right w:w="140" w:type="dxa"/>
            </w:tcMar>
            <w:shd w:fill="FFFFFF"/>
          </w:tcPr>
          <w:p>
            <w:pPr>
              <w:spacing w:before="20" w:after="20"/>
              <w:jc w:val="left"/>
            </w:pPr>
            <w:r>
              <w:rPr>
                <w:rFonts w:ascii="Times New Roman" w:hAnsi="Times New Roman"/>
                <w:b/>
                <w:i w:val="0"/>
                <w:color w:val="1E1E1E"/>
                <w:sz w:val="18"/>
              </w:rPr>
              <w:t>Variant CORN: Conditional Ordinal + Soft-QWK</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0.8482</w:t>
            </w:r>
            <w:r>
              <w:rPr>
                <w:rFonts w:ascii="Times New Roman" w:hAnsi="Times New Roman"/>
                <w:b w:val="0"/>
                <w:i w:val="0"/>
                <w:color w:val="1E1E1E"/>
                <w:sz w:val="18"/>
              </w:rPr>
              <w:t xml:space="preserve"> [0.8150, 0.8792]</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69.09%</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0.3764</w:t>
            </w:r>
            <w:r>
              <w:rPr>
                <w:rFonts w:ascii="Times New Roman" w:hAnsi="Times New Roman"/>
                <w:b w:val="0"/>
                <w:i w:val="0"/>
                <w:color w:val="1E1E1E"/>
                <w:sz w:val="18"/>
              </w:rPr>
              <w:t xml:space="preserve"> [0.3200, 0.4291]</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5.1%</w:t>
            </w:r>
            <w:r>
              <w:rPr>
                <w:rFonts w:ascii="Times New Roman" w:hAnsi="Times New Roman"/>
                <w:b w:val="0"/>
                <w:i w:val="0"/>
                <w:color w:val="1E1E1E"/>
                <w:sz w:val="18"/>
              </w:rPr>
              <w:t xml:space="preserve"> [3.3%, 7.1%]</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0.2724</w:t>
            </w:r>
            <w:r>
              <w:rPr>
                <w:rFonts w:ascii="Times New Roman" w:hAnsi="Times New Roman"/>
                <w:b w:val="0"/>
                <w:i w:val="0"/>
                <w:color w:val="1E1E1E"/>
                <w:sz w:val="18"/>
              </w:rPr>
              <w:t xml:space="preserve"> [0.1746, 0.3735]</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0.4584</w:t>
            </w:r>
            <w:r>
              <w:rPr>
                <w:rFonts w:ascii="Times New Roman" w:hAnsi="Times New Roman"/>
                <w:b w:val="0"/>
                <w:i w:val="0"/>
                <w:color w:val="1E1E1E"/>
                <w:sz w:val="18"/>
              </w:rPr>
              <w:t xml:space="preserve"> [0.3124, 0.5909]</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69.1%</w:t>
            </w:r>
          </w:p>
        </w:tc>
        <w:tc>
          <w:tcPr>
            <w:tcW w:type="dxa" w:w="1120"/>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25.8%</w:t>
            </w:r>
          </w:p>
        </w:tc>
      </w:tr>
    </w:tbl>
    <w:p>
      <w:pPr>
        <w:spacing w:before="40" w:after="120"/>
      </w:pPr>
    </w:p>
    <w:p>
      <w:pPr>
        <w:spacing w:before="0" w:after="90" w:line="276" w:lineRule="auto"/>
        <w:jc w:val="both"/>
      </w:pPr>
      <w:r>
        <w:rPr>
          <w:rFonts w:ascii="Times New Roman" w:hAnsi="Times New Roman"/>
          <w:b w:val="0"/>
          <w:i/>
          <w:color w:val="1E1E1E"/>
          <w:sz w:val="20"/>
        </w:rPr>
        <w:t>Note: All variants evaluated on the same 550 holdout test images with EfficientNet-B0 backbone, 8 epochs, and fixed seed 42. 95% Confidence Intervals computed via 1,000 paired bootstrap iterations.</w:t>
      </w:r>
    </w:p>
    <w:p>
      <w:pPr>
        <w:keepNext/>
        <w:spacing w:before="200" w:after="60"/>
      </w:pPr>
      <w:r>
        <w:rPr>
          <w:rFonts w:ascii="Times New Roman" w:hAnsi="Times New Roman"/>
          <w:b/>
          <w:i/>
          <w:color w:val="283246"/>
          <w:sz w:val="21"/>
        </w:rPr>
        <w:t>TABLE II: Per-Class Diagnostic Performance with 95% Bootstrap Confidence Intervals (1,000 Resamples)</w:t>
      </w:r>
    </w:p>
    <w:tbl>
      <w:tblPr>
        <w:tblW w:type="auto" w:w="0"/>
        <w:jc w:val="center"/>
        <w:tblLook w:firstColumn="1" w:firstRow="1" w:lastColumn="0" w:lastRow="0" w:noHBand="0" w:noVBand="1" w:val="04A0"/>
        <w:tblBorders>
          <w:top w:val="single" w:sz="6" w:space="0" w:color="CCCCCC"/>
          <w:bottom w:val="single" w:sz="8" w:space="0" w:color="333333"/>
          <w:insideH w:val="single" w:sz="4" w:space="0" w:color="E0E0E0"/>
          <w:insideV w:val="none"/>
          <w:left w:val="none"/>
          <w:right w:val="none"/>
        </w:tblBorders>
      </w:tblPr>
      <w:tblGrid>
        <w:gridCol w:w="2016"/>
        <w:gridCol w:w="2016"/>
        <w:gridCol w:w="2016"/>
        <w:gridCol w:w="2016"/>
        <w:gridCol w:w="2016"/>
      </w:tblGrid>
      <w:tr>
        <w:tc>
          <w:tcPr>
            <w:tcW w:type="dxa" w:w="2016"/>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Class Grade</w:t>
            </w:r>
          </w:p>
        </w:tc>
        <w:tc>
          <w:tcPr>
            <w:tcW w:type="dxa" w:w="2016"/>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Model Variant</w:t>
            </w:r>
          </w:p>
        </w:tc>
        <w:tc>
          <w:tcPr>
            <w:tcW w:type="dxa" w:w="2016"/>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Recall / Sensitivity [95% CI]</w:t>
            </w:r>
          </w:p>
        </w:tc>
        <w:tc>
          <w:tcPr>
            <w:tcW w:type="dxa" w:w="2016"/>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Precision [95% CI]</w:t>
            </w:r>
          </w:p>
        </w:tc>
        <w:tc>
          <w:tcPr>
            <w:tcW w:type="dxa" w:w="2016"/>
            <w:vAlign w:val="center"/>
            <w:tcMar>
              <w:top w:w="120" w:type="dxa"/>
              <w:bottom w:w="120" w:type="dxa"/>
              <w:left w:w="140" w:type="dxa"/>
              <w:right w:w="140" w:type="dxa"/>
            </w:tcMar>
            <w:shd w:fill="2B5C8F"/>
          </w:tcPr>
          <w:p>
            <w:pPr>
              <w:spacing w:before="20" w:after="20"/>
              <w:jc w:val="center"/>
            </w:pPr>
            <w:r>
              <w:rPr>
                <w:rFonts w:ascii="Times New Roman" w:hAnsi="Times New Roman"/>
                <w:b/>
                <w:i w:val="0"/>
                <w:color w:val="FFFFFF"/>
                <w:sz w:val="18"/>
              </w:rPr>
              <w:t>F1-Score [95% CI]</w:t>
            </w:r>
          </w:p>
        </w:tc>
      </w:tr>
      <w:tr>
        <w:tc>
          <w:tcPr>
            <w:tcW w:type="dxa" w:w="2016"/>
            <w:vAlign w:val="center"/>
            <w:tcMar>
              <w:top w:w="120" w:type="dxa"/>
              <w:bottom w:w="120" w:type="dxa"/>
              <w:left w:w="140" w:type="dxa"/>
              <w:right w:w="140" w:type="dxa"/>
            </w:tcMar>
            <w:shd w:fill="F7F9FC"/>
          </w:tcPr>
          <w:p>
            <w:pPr>
              <w:spacing w:before="20" w:after="20"/>
              <w:jc w:val="left"/>
            </w:pPr>
            <w:r>
              <w:rPr>
                <w:rFonts w:ascii="Times New Roman" w:hAnsi="Times New Roman"/>
                <w:b/>
                <w:i w:val="0"/>
                <w:color w:val="1E1E1E"/>
                <w:sz w:val="18"/>
              </w:rPr>
              <w:t>0 (No DR)</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A (Softmax Baseline)</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97.1% [94.9%, 98.9%]</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96.7% [94.5%, 98.6%]</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0.9690 [0.9541, 0.9825]</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Variant B (CORAL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100.0% [100.0%, 100.0%]</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74.9% [70.7%, 79.3%]</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0.8560 [0.8281, 0.8843]</w:t>
            </w:r>
          </w:p>
        </w:tc>
      </w:tr>
      <w:tr>
        <w:tc>
          <w:tcPr>
            <w:tcW w:type="dxa" w:w="2016"/>
            <w:vAlign w:val="center"/>
            <w:tcMar>
              <w:top w:w="120" w:type="dxa"/>
              <w:bottom w:w="120" w:type="dxa"/>
              <w:left w:w="140" w:type="dxa"/>
              <w:right w:w="140" w:type="dxa"/>
            </w:tcMar>
            <w:shd w:fill="F7F9FC"/>
          </w:tcPr>
          <w:p>
            <w:pPr>
              <w:spacing w:before="20" w:after="20"/>
              <w:jc w:val="left"/>
            </w:pP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C (Continuous Regression)</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96.7% [94.4%, 98.6%]</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96.0% [93.5%, 98.1%]</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0.9635 [0.9478, 0.9779]</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Variant CORN (Conditional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97.4%</w:t>
            </w:r>
            <w:r>
              <w:rPr>
                <w:rFonts w:ascii="Times New Roman" w:hAnsi="Times New Roman"/>
                <w:b w:val="0"/>
                <w:i w:val="0"/>
                <w:color w:val="1E1E1E"/>
                <w:sz w:val="18"/>
              </w:rPr>
              <w:t xml:space="preserve"> [95.4%, 99.2%]</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95.7%</w:t>
            </w:r>
            <w:r>
              <w:rPr>
                <w:rFonts w:ascii="Times New Roman" w:hAnsi="Times New Roman"/>
                <w:b w:val="0"/>
                <w:i w:val="0"/>
                <w:color w:val="1E1E1E"/>
                <w:sz w:val="18"/>
              </w:rPr>
              <w:t xml:space="preserve"> [93.3%, 97.9%]</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0.9655</w:t>
            </w:r>
            <w:r>
              <w:rPr>
                <w:rFonts w:ascii="Times New Roman" w:hAnsi="Times New Roman"/>
                <w:b w:val="0"/>
                <w:i w:val="0"/>
                <w:color w:val="1E1E1E"/>
                <w:sz w:val="18"/>
              </w:rPr>
              <w:t xml:space="preserve"> [0.9502, 0.9799]</w:t>
            </w:r>
          </w:p>
        </w:tc>
      </w:tr>
      <w:tr>
        <w:tc>
          <w:tcPr>
            <w:tcW w:type="dxa" w:w="2016"/>
            <w:vAlign w:val="center"/>
            <w:tcMar>
              <w:top w:w="120" w:type="dxa"/>
              <w:bottom w:w="120" w:type="dxa"/>
              <w:left w:w="140" w:type="dxa"/>
              <w:right w:w="140" w:type="dxa"/>
            </w:tcMar>
            <w:shd w:fill="F7F9FC"/>
          </w:tcPr>
          <w:p>
            <w:pPr>
              <w:spacing w:before="20" w:after="20"/>
              <w:jc w:val="left"/>
            </w:pPr>
            <w:r>
              <w:rPr>
                <w:rFonts w:ascii="Times New Roman" w:hAnsi="Times New Roman"/>
                <w:b/>
                <w:i w:val="0"/>
                <w:color w:val="1E1E1E"/>
                <w:sz w:val="18"/>
              </w:rPr>
              <w:t>1 (Mild NPDR)</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A (Softmax Baseline)</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55.5% [42.4%, 68.4%]</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59.7% [46.8%, 73.3%]</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0.5728 [0.4602, 0.6777]</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Variant B (CORAL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1.8% [0.0%, 6.1%]</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42.3% [0.0%, 100.0%]</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0.0344 [0.0000, 0.1132]</w:t>
            </w:r>
          </w:p>
        </w:tc>
      </w:tr>
      <w:tr>
        <w:tc>
          <w:tcPr>
            <w:tcW w:type="dxa" w:w="2016"/>
            <w:vAlign w:val="center"/>
            <w:tcMar>
              <w:top w:w="120" w:type="dxa"/>
              <w:bottom w:w="120" w:type="dxa"/>
              <w:left w:w="140" w:type="dxa"/>
              <w:right w:w="140" w:type="dxa"/>
            </w:tcMar>
            <w:shd w:fill="F7F9FC"/>
          </w:tcPr>
          <w:p>
            <w:pPr>
              <w:spacing w:before="20" w:after="20"/>
              <w:jc w:val="left"/>
            </w:pP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C (Continuous Regression)</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50.2% [37.7%, 63.6%]</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50.9% [37.5%, 63.5%]</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0.5035 [0.3860, 0.6087]</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Variant CORN (Conditional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66.1%</w:t>
            </w:r>
            <w:r>
              <w:rPr>
                <w:rFonts w:ascii="Times New Roman" w:hAnsi="Times New Roman"/>
                <w:b w:val="0"/>
                <w:i w:val="0"/>
                <w:color w:val="1E1E1E"/>
                <w:sz w:val="18"/>
              </w:rPr>
              <w:t xml:space="preserve"> [52.6%, 79.2%]</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47.6%</w:t>
            </w:r>
            <w:r>
              <w:rPr>
                <w:rFonts w:ascii="Times New Roman" w:hAnsi="Times New Roman"/>
                <w:b w:val="0"/>
                <w:i w:val="0"/>
                <w:color w:val="1E1E1E"/>
                <w:sz w:val="18"/>
              </w:rPr>
              <w:t xml:space="preserve"> [36.5%, 59.3%]</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0.5515</w:t>
            </w:r>
            <w:r>
              <w:rPr>
                <w:rFonts w:ascii="Times New Roman" w:hAnsi="Times New Roman"/>
                <w:b w:val="0"/>
                <w:i w:val="0"/>
                <w:color w:val="1E1E1E"/>
                <w:sz w:val="18"/>
              </w:rPr>
              <w:t xml:space="preserve"> [0.4409, 0.6491]</w:t>
            </w:r>
          </w:p>
        </w:tc>
      </w:tr>
      <w:tr>
        <w:tc>
          <w:tcPr>
            <w:tcW w:type="dxa" w:w="2016"/>
            <w:vAlign w:val="center"/>
            <w:tcMar>
              <w:top w:w="120" w:type="dxa"/>
              <w:bottom w:w="120" w:type="dxa"/>
              <w:left w:w="140" w:type="dxa"/>
              <w:right w:w="140" w:type="dxa"/>
            </w:tcMar>
            <w:shd w:fill="F7F9FC"/>
          </w:tcPr>
          <w:p>
            <w:pPr>
              <w:spacing w:before="20" w:after="20"/>
              <w:jc w:val="left"/>
            </w:pPr>
            <w:r>
              <w:rPr>
                <w:rFonts w:ascii="Times New Roman" w:hAnsi="Times New Roman"/>
                <w:b/>
                <w:i w:val="0"/>
                <w:color w:val="1E1E1E"/>
                <w:sz w:val="18"/>
              </w:rPr>
              <w:t>2 (Moderate NPDR)</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A (Softmax Baseline)</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74.6% [67.3%, 81.9%]</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76.3% [69.0%, 83.1%]</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0.7538 [0.6978, 0.8053]</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Variant B (CORAL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11.9% [7.0%, 17.5%]</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71.9% [52.9%, 88.9%]</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0.2039 [0.1241, 0.2857]</w:t>
            </w:r>
          </w:p>
        </w:tc>
      </w:tr>
      <w:tr>
        <w:tc>
          <w:tcPr>
            <w:tcW w:type="dxa" w:w="2016"/>
            <w:vAlign w:val="center"/>
            <w:tcMar>
              <w:top w:w="120" w:type="dxa"/>
              <w:bottom w:w="120" w:type="dxa"/>
              <w:left w:w="140" w:type="dxa"/>
              <w:right w:w="140" w:type="dxa"/>
            </w:tcMar>
            <w:shd w:fill="F7F9FC"/>
          </w:tcPr>
          <w:p>
            <w:pPr>
              <w:spacing w:before="20" w:after="20"/>
              <w:jc w:val="left"/>
            </w:pP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C (Continuous Regression)</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68.5% [60.6%, 75.8%]</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72.6% [64.4%, 80.0%]</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0.7044 [0.6370, 0.7638]</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Variant CORN (Conditional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28.0%</w:t>
            </w:r>
            <w:r>
              <w:rPr>
                <w:rFonts w:ascii="Times New Roman" w:hAnsi="Times New Roman"/>
                <w:b w:val="0"/>
                <w:i w:val="0"/>
                <w:color w:val="1E1E1E"/>
                <w:sz w:val="18"/>
              </w:rPr>
              <w:t xml:space="preserve"> [21.1%, 35.3%]</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81.0%</w:t>
            </w:r>
            <w:r>
              <w:rPr>
                <w:rFonts w:ascii="Times New Roman" w:hAnsi="Times New Roman"/>
                <w:b w:val="0"/>
                <w:i w:val="0"/>
                <w:color w:val="1E1E1E"/>
                <w:sz w:val="18"/>
              </w:rPr>
              <w:t xml:space="preserve"> [69.8%, 91.3%]</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0.4151</w:t>
            </w:r>
            <w:r>
              <w:rPr>
                <w:rFonts w:ascii="Times New Roman" w:hAnsi="Times New Roman"/>
                <w:b w:val="0"/>
                <w:i w:val="0"/>
                <w:color w:val="1E1E1E"/>
                <w:sz w:val="18"/>
              </w:rPr>
              <w:t xml:space="preserve"> [0.3284, 0.5000]</w:t>
            </w:r>
          </w:p>
        </w:tc>
      </w:tr>
      <w:tr>
        <w:tc>
          <w:tcPr>
            <w:tcW w:type="dxa" w:w="2016"/>
            <w:vAlign w:val="center"/>
            <w:tcMar>
              <w:top w:w="120" w:type="dxa"/>
              <w:bottom w:w="120" w:type="dxa"/>
              <w:left w:w="140" w:type="dxa"/>
              <w:right w:w="140" w:type="dxa"/>
            </w:tcMar>
            <w:shd w:fill="F7F9FC"/>
          </w:tcPr>
          <w:p>
            <w:pPr>
              <w:spacing w:before="20" w:after="20"/>
              <w:jc w:val="left"/>
            </w:pPr>
            <w:r>
              <w:rPr>
                <w:rFonts w:ascii="Times New Roman" w:hAnsi="Times New Roman"/>
                <w:b/>
                <w:i w:val="0"/>
                <w:color w:val="1E1E1E"/>
                <w:sz w:val="18"/>
              </w:rPr>
              <w:t>3 (Severe NPDR)</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A (Softmax Baseline)</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41.7% [23.3%, 60.0%]</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35.4% [20.0%, 51.6%]</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0.3791 [0.2221, 0.5313]</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Variant B (CORAL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0.0% [0.0%, 0.0%]</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0.0% [0.0%, 0.0%]</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0.0000 [0.0000, 0.0000]</w:t>
            </w:r>
          </w:p>
        </w:tc>
      </w:tr>
      <w:tr>
        <w:tc>
          <w:tcPr>
            <w:tcW w:type="dxa" w:w="2016"/>
            <w:vAlign w:val="center"/>
            <w:tcMar>
              <w:top w:w="120" w:type="dxa"/>
              <w:bottom w:w="120" w:type="dxa"/>
              <w:left w:w="140" w:type="dxa"/>
              <w:right w:w="140" w:type="dxa"/>
            </w:tcMar>
            <w:shd w:fill="F7F9FC"/>
          </w:tcPr>
          <w:p>
            <w:pPr>
              <w:spacing w:before="20" w:after="20"/>
              <w:jc w:val="left"/>
            </w:pP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C (Continuous Regression)</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38.4% [20.0%, 56.8%]</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19.1% [9.2%, 29.0%]</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0.2528 [0.1333, 0.3704]</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Variant CORN (Conditional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65.7%</w:t>
            </w:r>
            <w:r>
              <w:rPr>
                <w:rFonts w:ascii="Times New Roman" w:hAnsi="Times New Roman"/>
                <w:b w:val="0"/>
                <w:i w:val="0"/>
                <w:color w:val="1E1E1E"/>
                <w:sz w:val="18"/>
              </w:rPr>
              <w:t xml:space="preserve"> [48.3%, 82.9%]</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17.3%</w:t>
            </w:r>
            <w:r>
              <w:rPr>
                <w:rFonts w:ascii="Times New Roman" w:hAnsi="Times New Roman"/>
                <w:b w:val="0"/>
                <w:i w:val="0"/>
                <w:color w:val="1E1E1E"/>
                <w:sz w:val="18"/>
              </w:rPr>
              <w:t xml:space="preserve"> [10.6%, 24.8%]</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0.2724</w:t>
            </w:r>
            <w:r>
              <w:rPr>
                <w:rFonts w:ascii="Times New Roman" w:hAnsi="Times New Roman"/>
                <w:b w:val="0"/>
                <w:i w:val="0"/>
                <w:color w:val="1E1E1E"/>
                <w:sz w:val="18"/>
              </w:rPr>
              <w:t xml:space="preserve"> [0.1746, 0.3735]</w:t>
            </w:r>
          </w:p>
        </w:tc>
      </w:tr>
      <w:tr>
        <w:tc>
          <w:tcPr>
            <w:tcW w:type="dxa" w:w="2016"/>
            <w:vAlign w:val="center"/>
            <w:tcMar>
              <w:top w:w="120" w:type="dxa"/>
              <w:bottom w:w="120" w:type="dxa"/>
              <w:left w:w="140" w:type="dxa"/>
              <w:right w:w="140" w:type="dxa"/>
            </w:tcMar>
            <w:shd w:fill="F7F9FC"/>
          </w:tcPr>
          <w:p>
            <w:pPr>
              <w:spacing w:before="20" w:after="20"/>
              <w:jc w:val="left"/>
            </w:pPr>
            <w:r>
              <w:rPr>
                <w:rFonts w:ascii="Times New Roman" w:hAnsi="Times New Roman"/>
                <w:b/>
                <w:i w:val="0"/>
                <w:color w:val="1E1E1E"/>
                <w:sz w:val="18"/>
              </w:rPr>
              <w:t>4 (Proliferative DR)</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A (Softmax Baseline)</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52.3% [37.2%, 67.3%]</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51.2% [36.6%, 65.1%]</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0.5147 [0.3830, 0.6377]</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Variant B (CORAL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86.3% [75.6%, 95.1%]</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23.6% [17.2%, 30.2%]</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val="0"/>
                <w:i w:val="0"/>
                <w:color w:val="1E1E1E"/>
                <w:sz w:val="18"/>
              </w:rPr>
              <w:t>0.3692 [0.2857, 0.4502]</w:t>
            </w:r>
          </w:p>
        </w:tc>
      </w:tr>
      <w:tr>
        <w:tc>
          <w:tcPr>
            <w:tcW w:type="dxa" w:w="2016"/>
            <w:vAlign w:val="center"/>
            <w:tcMar>
              <w:top w:w="120" w:type="dxa"/>
              <w:bottom w:w="120" w:type="dxa"/>
              <w:left w:w="140" w:type="dxa"/>
              <w:right w:w="140" w:type="dxa"/>
            </w:tcMar>
            <w:shd w:fill="F7F9FC"/>
          </w:tcPr>
          <w:p>
            <w:pPr>
              <w:spacing w:before="20" w:after="20"/>
              <w:jc w:val="left"/>
            </w:pP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Variant C (Continuous Regression)</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27.1% [14.3%, 41.7%]</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54.6% [33.3%, 75.0%]</w:t>
            </w:r>
          </w:p>
        </w:tc>
        <w:tc>
          <w:tcPr>
            <w:tcW w:type="dxa" w:w="2016"/>
            <w:vAlign w:val="center"/>
            <w:tcMar>
              <w:top w:w="120" w:type="dxa"/>
              <w:bottom w:w="120" w:type="dxa"/>
              <w:left w:w="140" w:type="dxa"/>
              <w:right w:w="140" w:type="dxa"/>
            </w:tcMar>
            <w:shd w:fill="F7F9FC"/>
          </w:tcPr>
          <w:p>
            <w:pPr>
              <w:spacing w:before="20" w:after="20"/>
              <w:jc w:val="center"/>
            </w:pPr>
            <w:r>
              <w:rPr>
                <w:rFonts w:ascii="Times New Roman" w:hAnsi="Times New Roman"/>
                <w:b w:val="0"/>
                <w:i w:val="0"/>
                <w:color w:val="1E1E1E"/>
                <w:sz w:val="18"/>
              </w:rPr>
              <w:t>0.3589 [0.2034, 0.5067]</w:t>
            </w:r>
          </w:p>
        </w:tc>
      </w:tr>
      <w:tr>
        <w:tc>
          <w:tcPr>
            <w:tcW w:type="dxa" w:w="2016"/>
            <w:vAlign w:val="center"/>
            <w:tcMar>
              <w:top w:w="120" w:type="dxa"/>
              <w:bottom w:w="120" w:type="dxa"/>
              <w:left w:w="140" w:type="dxa"/>
              <w:right w:w="140" w:type="dxa"/>
            </w:tcMar>
            <w:shd w:fill="FFFFFF"/>
          </w:tcPr>
          <w:p>
            <w:pPr>
              <w:spacing w:before="20" w:after="20"/>
              <w:jc w:val="left"/>
            </w:pP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Variant CORN (Conditional Ordinal)</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41.0%</w:t>
            </w:r>
            <w:r>
              <w:rPr>
                <w:rFonts w:ascii="Times New Roman" w:hAnsi="Times New Roman"/>
                <w:b w:val="0"/>
                <w:i w:val="0"/>
                <w:color w:val="1E1E1E"/>
                <w:sz w:val="18"/>
              </w:rPr>
              <w:t xml:space="preserve"> [26.2%, 55.1%]</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52.8%</w:t>
            </w:r>
            <w:r>
              <w:rPr>
                <w:rFonts w:ascii="Times New Roman" w:hAnsi="Times New Roman"/>
                <w:b w:val="0"/>
                <w:i w:val="0"/>
                <w:color w:val="1E1E1E"/>
                <w:sz w:val="18"/>
              </w:rPr>
              <w:t xml:space="preserve"> [36.8%, 69.4%]</w:t>
            </w:r>
          </w:p>
        </w:tc>
        <w:tc>
          <w:tcPr>
            <w:tcW w:type="dxa" w:w="2016"/>
            <w:vAlign w:val="center"/>
            <w:tcMar>
              <w:top w:w="120" w:type="dxa"/>
              <w:bottom w:w="120" w:type="dxa"/>
              <w:left w:w="140" w:type="dxa"/>
              <w:right w:w="140" w:type="dxa"/>
            </w:tcMar>
            <w:shd w:fill="FFFFFF"/>
          </w:tcPr>
          <w:p>
            <w:pPr>
              <w:spacing w:before="20" w:after="20"/>
              <w:jc w:val="center"/>
            </w:pPr>
            <w:r>
              <w:rPr>
                <w:rFonts w:ascii="Times New Roman" w:hAnsi="Times New Roman"/>
                <w:b/>
                <w:i w:val="0"/>
                <w:color w:val="1E1E1E"/>
                <w:sz w:val="18"/>
              </w:rPr>
              <w:t>0.4584</w:t>
            </w:r>
            <w:r>
              <w:rPr>
                <w:rFonts w:ascii="Times New Roman" w:hAnsi="Times New Roman"/>
                <w:b w:val="0"/>
                <w:i w:val="0"/>
                <w:color w:val="1E1E1E"/>
                <w:sz w:val="18"/>
              </w:rPr>
              <w:t xml:space="preserve"> [0.3124, 0.5909]</w:t>
            </w:r>
          </w:p>
        </w:tc>
      </w:tr>
    </w:tbl>
    <w:p>
      <w:pPr>
        <w:spacing w:before="40" w:after="120"/>
      </w:pPr>
    </w:p>
    <w:p>
      <w:pPr>
        <w:keepNext/>
        <w:spacing w:before="200" w:after="60"/>
      </w:pPr>
      <w:r>
        <w:rPr>
          <w:rFonts w:ascii="Times New Roman" w:hAnsi="Times New Roman"/>
          <w:b/>
          <w:i/>
          <w:color w:val="283246"/>
          <w:sz w:val="21"/>
        </w:rPr>
        <w:t>B. Empirical Breakthrough of Variant CORN over CORAL</w:t>
      </w:r>
    </w:p>
    <w:p>
      <w:pPr>
        <w:spacing w:before="0" w:after="90" w:line="276" w:lineRule="auto"/>
        <w:jc w:val="both"/>
      </w:pPr>
      <w:r>
        <w:rPr>
          <w:rFonts w:ascii="Times New Roman" w:hAnsi="Times New Roman"/>
          <w:b w:val="0"/>
          <w:i w:val="0"/>
          <w:color w:val="1E1E1E"/>
          <w:sz w:val="20"/>
        </w:rPr>
        <w:t>The empirical results in Tables I and II decisively validate our thesis regarding the breakdown of CORAL and the resolution provided by CORN:</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Dramatic Recovery in Ordinal Agreement (QWK):</w:t>
      </w:r>
      <w:r>
        <w:rPr>
          <w:rFonts w:ascii="Times New Roman" w:hAnsi="Times New Roman"/>
          <w:b w:val="0"/>
          <w:i w:val="0"/>
          <w:color w:val="1E1E1E"/>
          <w:sz w:val="20"/>
        </w:rPr>
        <w:t xml:space="preserve"> Variant CORN achieved a QWK of </w:t>
      </w:r>
      <w:r>
        <w:rPr>
          <w:rFonts w:ascii="Times New Roman" w:hAnsi="Times New Roman"/>
          <w:b/>
          <w:i w:val="0"/>
          <w:color w:val="1E1E1E"/>
          <w:sz w:val="20"/>
        </w:rPr>
        <w:t>0.8482 [0.8150, 0.8792]</w:t>
      </w:r>
      <w:r>
        <w:rPr>
          <w:rFonts w:ascii="Times New Roman" w:hAnsi="Times New Roman"/>
          <w:b w:val="0"/>
          <w:i w:val="0"/>
          <w:color w:val="1E1E1E"/>
          <w:sz w:val="20"/>
        </w:rPr>
        <w:t xml:space="preserve">, representing an absolute increase of </w:t>
      </w:r>
      <w:r>
        <w:rPr>
          <w:rFonts w:ascii="Times New Roman" w:hAnsi="Times New Roman"/>
          <w:b/>
          <w:i w:val="0"/>
          <w:color w:val="1E1E1E"/>
          <w:sz w:val="20"/>
        </w:rPr>
        <w:t>$+0.1209$</w:t>
      </w:r>
      <w:r>
        <w:rPr>
          <w:rFonts w:ascii="Times New Roman" w:hAnsi="Times New Roman"/>
          <w:b w:val="0"/>
          <w:i w:val="0"/>
          <w:color w:val="1E1E1E"/>
          <w:sz w:val="20"/>
        </w:rPr>
        <w:t xml:space="preserve"> over CORAL ($0.7273$).</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Suppression of Catastrophic Multi-Grade Errors:</w:t>
      </w:r>
      <w:r>
        <w:rPr>
          <w:rFonts w:ascii="Times New Roman" w:hAnsi="Times New Roman"/>
          <w:b w:val="0"/>
          <w:i w:val="0"/>
          <w:color w:val="1E1E1E"/>
          <w:sz w:val="20"/>
        </w:rPr>
        <w:t xml:space="preserve"> In CORAL, catastrophic errors ($|y - \hat{y}| \ge 2$) plagued </w:t>
      </w:r>
      <w:r>
        <w:rPr>
          <w:rFonts w:ascii="Times New Roman" w:hAnsi="Times New Roman"/>
          <w:b/>
          <w:i w:val="0"/>
          <w:color w:val="1E1E1E"/>
          <w:sz w:val="20"/>
        </w:rPr>
        <w:t>$26.4\%$</w:t>
      </w:r>
      <w:r>
        <w:rPr>
          <w:rFonts w:ascii="Times New Roman" w:hAnsi="Times New Roman"/>
          <w:b w:val="0"/>
          <w:i w:val="0"/>
          <w:color w:val="1E1E1E"/>
          <w:sz w:val="20"/>
        </w:rPr>
        <w:t xml:space="preserve"> of the entire test cohort. Variant CORN suppressed these catastrophic misclassifications to just </w:t>
      </w:r>
      <w:r>
        <w:rPr>
          <w:rFonts w:ascii="Times New Roman" w:hAnsi="Times New Roman"/>
          <w:b/>
          <w:i w:val="0"/>
          <w:color w:val="1E1E1E"/>
          <w:sz w:val="20"/>
        </w:rPr>
        <w:t>$5.1\%$ [3.3%, 7.1%]</w:t>
      </w:r>
      <w:r>
        <w:rPr>
          <w:rFonts w:ascii="Times New Roman" w:hAnsi="Times New Roman"/>
          <w:b w:val="0"/>
          <w:i w:val="0"/>
          <w:color w:val="1E1E1E"/>
          <w:sz w:val="20"/>
        </w:rPr>
        <w:t xml:space="preserve">, representing an </w:t>
      </w:r>
      <w:r>
        <w:rPr>
          <w:rFonts w:ascii="Times New Roman" w:hAnsi="Times New Roman"/>
          <w:b/>
          <w:i w:val="0"/>
          <w:color w:val="1E1E1E"/>
          <w:sz w:val="20"/>
        </w:rPr>
        <w:t>$80.7\%$ relative reduction</w:t>
      </w:r>
      <w:r>
        <w:rPr>
          <w:rFonts w:ascii="Times New Roman" w:hAnsi="Times New Roman"/>
          <w:b w:val="0"/>
          <w:i w:val="0"/>
          <w:color w:val="1E1E1E"/>
          <w:sz w:val="20"/>
        </w:rPr>
        <w:t xml:space="preserve"> in multi-grade clinical triage hazards.</w:t>
      </w:r>
    </w:p>
    <w:p>
      <w:pPr>
        <w:spacing w:before="20" w:after="40" w:line="276" w:lineRule="auto"/>
        <w:ind w:left="432"/>
      </w:pPr>
      <w:r>
        <w:rPr>
          <w:rFonts w:ascii="Times New Roman" w:hAnsi="Times New Roman"/>
          <w:b/>
          <w:sz w:val="20"/>
        </w:rPr>
        <w:t xml:space="preserve">3. </w:t>
      </w:r>
      <w:r>
        <w:rPr>
          <w:rFonts w:ascii="Times New Roman" w:hAnsi="Times New Roman"/>
          <w:b/>
          <w:i w:val="0"/>
          <w:color w:val="1E1E1E"/>
          <w:sz w:val="20"/>
        </w:rPr>
        <w:t>Resurrection of Severe NPDR Detection:</w:t>
      </w:r>
      <w:r>
        <w:rPr>
          <w:rFonts w:ascii="Times New Roman" w:hAnsi="Times New Roman"/>
          <w:b w:val="0"/>
          <w:i w:val="0"/>
          <w:color w:val="1E1E1E"/>
          <w:sz w:val="20"/>
        </w:rPr>
        <w:t xml:space="preserve"> Most critically from a healthcare delivery perspective, CORAL exhibited a complete breakdown on Grade 3 (Severe NPDR Recall = $0.0\%$, F1 = $0.0000$). By conditioning threshold 3 on $y &gt; 2$ and incorporating class-balanced effective-number weights, Variant CORN attained a Severe Sensitivity of </w:t>
      </w:r>
      <w:r>
        <w:rPr>
          <w:rFonts w:ascii="Times New Roman" w:hAnsi="Times New Roman"/>
          <w:b/>
          <w:i w:val="0"/>
          <w:color w:val="1E1E1E"/>
          <w:sz w:val="20"/>
        </w:rPr>
        <w:t>$65.7\%$ [48.3%, 82.9%]</w:t>
      </w:r>
      <w:r>
        <w:rPr>
          <w:rFonts w:ascii="Times New Roman" w:hAnsi="Times New Roman"/>
          <w:b w:val="0"/>
          <w:i w:val="0"/>
          <w:color w:val="1E1E1E"/>
          <w:sz w:val="20"/>
        </w:rPr>
        <w:t>, the highest severe recall achieved across all four architectures (compared to $41.7\%$ for Softmax and $38.4\%$ for Continuous Regression).</w:t>
      </w:r>
    </w:p>
    <w:p>
      <w:pPr>
        <w:spacing w:before="20" w:after="40" w:line="276" w:lineRule="auto"/>
        <w:ind w:left="432"/>
      </w:pPr>
      <w:r>
        <w:rPr>
          <w:rFonts w:ascii="Times New Roman" w:hAnsi="Times New Roman"/>
          <w:b/>
          <w:sz w:val="20"/>
        </w:rPr>
        <w:t xml:space="preserve">4. </w:t>
      </w:r>
      <w:r>
        <w:rPr>
          <w:rFonts w:ascii="Times New Roman" w:hAnsi="Times New Roman"/>
          <w:b/>
          <w:i w:val="0"/>
          <w:color w:val="1E1E1E"/>
          <w:sz w:val="20"/>
        </w:rPr>
        <w:t>Safety Envelope Compliance:</w:t>
      </w:r>
      <w:r>
        <w:rPr>
          <w:rFonts w:ascii="Times New Roman" w:hAnsi="Times New Roman"/>
          <w:b w:val="0"/>
          <w:i w:val="0"/>
          <w:color w:val="1E1E1E"/>
          <w:sz w:val="20"/>
        </w:rPr>
        <w:t xml:space="preserve"> Variant CORN concentrated </w:t>
      </w:r>
      <w:r>
        <w:rPr>
          <w:rFonts w:ascii="Times New Roman" w:hAnsi="Times New Roman"/>
          <w:b/>
          <w:i w:val="0"/>
          <w:color w:val="1E1E1E"/>
          <w:sz w:val="20"/>
        </w:rPr>
        <w:t>$94.9\%$</w:t>
      </w:r>
      <w:r>
        <w:rPr>
          <w:rFonts w:ascii="Times New Roman" w:hAnsi="Times New Roman"/>
          <w:b w:val="0"/>
          <w:i w:val="0"/>
          <w:color w:val="1E1E1E"/>
          <w:sz w:val="20"/>
        </w:rPr>
        <w:t xml:space="preserve"> of all test predictions within an error distance of at most 1 grade ($69.1\%$ exact matches and $25.8\%$ off-by-one errors), strictly preserving clinical triage integrity.</w:t>
      </w:r>
    </w:p>
    <w:p>
      <w:pPr>
        <w:keepNext/>
        <w:spacing w:before="200" w:after="60"/>
      </w:pPr>
      <w:r>
        <w:rPr>
          <w:rFonts w:ascii="Times New Roman" w:hAnsi="Times New Roman"/>
          <w:b/>
          <w:i/>
          <w:color w:val="283246"/>
          <w:sz w:val="21"/>
        </w:rPr>
        <w:t>C. Confusion Matrix and Error Distance Analysis</w:t>
      </w:r>
    </w:p>
    <w:p>
      <w:pPr>
        <w:spacing w:before="0" w:after="90" w:line="276" w:lineRule="auto"/>
        <w:jc w:val="both"/>
      </w:pPr>
      <w:r>
        <w:rPr>
          <w:rFonts w:ascii="Times New Roman" w:hAnsi="Times New Roman"/>
          <w:b w:val="0"/>
          <w:i w:val="0"/>
          <w:color w:val="1E1E1E"/>
          <w:sz w:val="20"/>
        </w:rPr>
        <w:t>Figure 3 illustrates the four-panel confusion matrix comparison across all evaluated models on the holdout test set.</w:t>
      </w:r>
    </w:p>
    <w:p>
      <w:pPr>
        <w:spacing w:before="160" w:after="60"/>
        <w:jc w:val="center"/>
      </w:pPr>
      <w:r>
        <w:drawing>
          <wp:inline xmlns:a="http://schemas.openxmlformats.org/drawingml/2006/main" xmlns:pic="http://schemas.openxmlformats.org/drawingml/2006/picture">
            <wp:extent cx="5029200" cy="1188720"/>
            <wp:docPr id="3" name="Picture 3"/>
            <wp:cNvGraphicFramePr>
              <a:graphicFrameLocks noChangeAspect="1"/>
            </wp:cNvGraphicFramePr>
            <a:graphic>
              <a:graphicData uri="http://schemas.openxmlformats.org/drawingml/2006/picture">
                <pic:pic>
                  <pic:nvPicPr>
                    <pic:cNvPr id="0" name="all_confusion_matrices.png"/>
                    <pic:cNvPicPr/>
                  </pic:nvPicPr>
                  <pic:blipFill>
                    <a:blip r:embed="rId11"/>
                    <a:stretch>
                      <a:fillRect/>
                    </a:stretch>
                  </pic:blipFill>
                  <pic:spPr>
                    <a:xfrm>
                      <a:off x="0" y="0"/>
                      <a:ext cx="5029200" cy="1188720"/>
                    </a:xfrm>
                    <a:prstGeom prst="rect"/>
                  </pic:spPr>
                </pic:pic>
              </a:graphicData>
            </a:graphic>
          </wp:inline>
        </w:drawing>
      </w:r>
    </w:p>
    <w:p>
      <w:pPr>
        <w:spacing w:before="0" w:after="200"/>
        <w:jc w:val="center"/>
      </w:pPr>
      <w:r>
        <w:rPr>
          <w:rFonts w:ascii="Times New Roman" w:hAnsi="Times New Roman"/>
          <w:i/>
          <w:sz w:val="18"/>
        </w:rPr>
        <w:t>Fig. Side-by-Side Confusion Matrices</w:t>
      </w:r>
    </w:p>
    <w:p>
      <w:pPr>
        <w:spacing w:before="0" w:after="90" w:line="276" w:lineRule="auto"/>
        <w:jc w:val="both"/>
      </w:pPr>
      <w:r>
        <w:rPr>
          <w:rFonts w:ascii="Times New Roman" w:hAnsi="Times New Roman"/>
          <w:b w:val="0"/>
          <w:i/>
          <w:color w:val="1E1E1E"/>
          <w:sz w:val="20"/>
        </w:rPr>
        <w:t>Fig. 3. Confusion matrices on the holdout test set ($N=550$) for (from left to right) Variant A Softmax Baseline, Variant B CORAL Ordinal Regression, Variant C Continuous Regression, and Variant CORN (Conditional Ordinal + Soft-QWK).</w:t>
      </w:r>
    </w:p>
    <w:p>
      <w:pPr>
        <w:spacing w:before="0" w:after="90" w:line="276" w:lineRule="auto"/>
        <w:jc w:val="both"/>
      </w:pPr>
      <w:r>
        <w:rPr>
          <w:rFonts w:ascii="Times New Roman" w:hAnsi="Times New Roman"/>
          <w:b w:val="0"/>
          <w:i w:val="0"/>
          <w:color w:val="1E1E1E"/>
          <w:sz w:val="20"/>
        </w:rPr>
        <w:t>Figure 4 presents the corresponding error-distance histograms ($|y - \hat{y}| \in \{0, 1, 2, 3, 4\}$).</w:t>
      </w:r>
    </w:p>
    <w:p>
      <w:pPr>
        <w:spacing w:before="160" w:after="60"/>
        <w:jc w:val="center"/>
      </w:pPr>
      <w:r>
        <w:drawing>
          <wp:inline xmlns:a="http://schemas.openxmlformats.org/drawingml/2006/main" xmlns:pic="http://schemas.openxmlformats.org/drawingml/2006/picture">
            <wp:extent cx="5029200" cy="2766060"/>
            <wp:docPr id="4" name="Picture 4"/>
            <wp:cNvGraphicFramePr>
              <a:graphicFrameLocks noChangeAspect="1"/>
            </wp:cNvGraphicFramePr>
            <a:graphic>
              <a:graphicData uri="http://schemas.openxmlformats.org/drawingml/2006/picture">
                <pic:pic>
                  <pic:nvPicPr>
                    <pic:cNvPr id="0" name="error_distance_histogram.png"/>
                    <pic:cNvPicPr/>
                  </pic:nvPicPr>
                  <pic:blipFill>
                    <a:blip r:embed="rId12"/>
                    <a:stretch>
                      <a:fillRect/>
                    </a:stretch>
                  </pic:blipFill>
                  <pic:spPr>
                    <a:xfrm>
                      <a:off x="0" y="0"/>
                      <a:ext cx="5029200" cy="2766060"/>
                    </a:xfrm>
                    <a:prstGeom prst="rect"/>
                  </pic:spPr>
                </pic:pic>
              </a:graphicData>
            </a:graphic>
          </wp:inline>
        </w:drawing>
      </w:r>
    </w:p>
    <w:p>
      <w:pPr>
        <w:spacing w:before="0" w:after="200"/>
        <w:jc w:val="center"/>
      </w:pPr>
      <w:r>
        <w:rPr>
          <w:rFonts w:ascii="Times New Roman" w:hAnsi="Times New Roman"/>
          <w:i/>
          <w:sz w:val="18"/>
        </w:rPr>
        <w:t>Fig. Prediction Error Distance Distribution</w:t>
      </w:r>
    </w:p>
    <w:p>
      <w:pPr>
        <w:spacing w:before="0" w:after="90" w:line="276" w:lineRule="auto"/>
        <w:jc w:val="both"/>
      </w:pPr>
      <w:r>
        <w:rPr>
          <w:rFonts w:ascii="Times New Roman" w:hAnsi="Times New Roman"/>
          <w:b w:val="0"/>
          <w:i/>
          <w:color w:val="1E1E1E"/>
          <w:sz w:val="20"/>
        </w:rPr>
        <w:t>Fig. 4. Prediction error distance distribution ($|y - \hat{y}|$) across the 550 test images comparing all four model variants.</w:t>
      </w:r>
    </w:p>
    <w:p>
      <w:pPr>
        <w:spacing w:before="0" w:after="90" w:line="276" w:lineRule="auto"/>
        <w:jc w:val="both"/>
      </w:pPr>
      <w:r>
        <w:rPr>
          <w:rFonts w:ascii="Times New Roman" w:hAnsi="Times New Roman"/>
          <w:b w:val="0"/>
          <w:i w:val="0"/>
          <w:color w:val="1E1E1E"/>
          <w:sz w:val="20"/>
        </w:rPr>
        <w:t>In the CORAL confusion matrix (second panel), severe diagnostic scatter is visible: patients with Grade 1, 2, and 3 are overwhelmingly collapsed into Grade 0. In contrast, Variant CORN (fourth panel) displays strong diagonal band concentration. The combined loss and class-balanced sampling successfully prevent severe cases from being discharged into the healthy cohort.</w:t>
      </w:r>
    </w:p>
    <w:p>
      <w:pPr>
        <w:keepNext/>
        <w:spacing w:before="200" w:after="60"/>
      </w:pPr>
      <w:r>
        <w:rPr>
          <w:rFonts w:ascii="Times New Roman" w:hAnsi="Times New Roman"/>
          <w:b/>
          <w:i/>
          <w:color w:val="283246"/>
          <w:sz w:val="21"/>
        </w:rPr>
        <w:t>D. Statistical Significance Analysis</w:t>
      </w:r>
    </w:p>
    <w:p>
      <w:pPr>
        <w:spacing w:before="0" w:after="90" w:line="276" w:lineRule="auto"/>
        <w:jc w:val="both"/>
      </w:pPr>
      <w:r>
        <w:rPr>
          <w:rFonts w:ascii="Times New Roman" w:hAnsi="Times New Roman"/>
          <w:b w:val="0"/>
          <w:i w:val="0"/>
          <w:color w:val="1E1E1E"/>
          <w:sz w:val="20"/>
        </w:rPr>
        <w:t>Pairwise bootstrap resampling ($1,000$ iterations) and Wilcoxon signed-rank tests confirmed the following statistical comparisons:</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Variant CORN vs. Variant B (CORAL):</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Mean bootstrap QWK difference: $\Delta QWK = +0.1212$</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$95\%$ Confidence Interval: $[+0.0924, +0.1504]$</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Empirical bootstrap $p$-value: $p &lt; 0.001$</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Wilcoxon signed-rank test on absolute error distances: $W = 4180.0, p = 9.35 \times 10^{-21}$</w:t>
      </w:r>
    </w:p>
    <w:p>
      <w:pPr>
        <w:spacing w:before="0" w:after="90" w:line="276" w:lineRule="auto"/>
        <w:jc w:val="both"/>
      </w:pPr>
      <w:r>
        <w:rPr>
          <w:rFonts w:ascii="Times New Roman" w:hAnsi="Times New Roman"/>
          <w:b w:val="0"/>
          <w:i w:val="0"/>
          <w:color w:val="1E1E1E"/>
          <w:sz w:val="20"/>
        </w:rPr>
        <w:t>Because the $95\%$ confidence interval strictly excludes zero by a wide margin and $p &lt; 10^{-20}$, we reject the null hypothesis of equivalent performance: CORN provides a statistically decisive improvement over CORAL.</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Variant C (Continuous Regression) vs. Variant A (Softmax Baseline):</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Mean bootstrap QWK difference: $\Delta QWK = +0.0062$ ($95\%$ CI: $[-0.0142, +0.0265]$, $p = 0.264$).</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Variant C achieves peak aggregate QWK ($0.8788$) and the lowest overall severe error rate ($3.8\%$).</w:t>
      </w:r>
    </w:p>
    <w:p>
      <w:pPr>
        <w:spacing w:before="20" w:after="40" w:line="276" w:lineRule="auto"/>
        <w:ind w:left="432"/>
      </w:pPr>
      <w:r>
        <w:rPr>
          <w:rFonts w:ascii="Times New Roman" w:hAnsi="Times New Roman"/>
          <w:b/>
          <w:sz w:val="20"/>
        </w:rPr>
        <w:t xml:space="preserve">3. </w:t>
      </w:r>
      <w:r>
        <w:rPr>
          <w:rFonts w:ascii="Times New Roman" w:hAnsi="Times New Roman"/>
          <w:b/>
          <w:i w:val="0"/>
          <w:color w:val="1E1E1E"/>
          <w:sz w:val="20"/>
        </w:rPr>
        <w:t>Variant CORN vs. Variant A (Softmax Baseline):</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Mean bootstrap QWK difference: $\Delta QWK = -0.0247$ ($95\%$ CI: $[-0.0535, +0.0017]$, $p = 0.036$).</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While Softmax baseline achieved higher exact accuracy on the majority healthy cohort ($80.18\%$), Variant CORN demonstrated significantly higher sensitivity on the high-risk Severe NPDR cohort ($65.7\%$ vs. $41.7\%$), directly serving patient safety in screening.</w:t>
      </w:r>
    </w:p>
    <w:p>
      <w:pPr>
        <w:spacing w:before="0" w:after="90" w:line="276" w:lineRule="auto"/>
        <w:jc w:val="both"/>
      </w:pPr>
      <w:r>
        <w:rPr>
          <w:rFonts w:ascii="Times New Roman" w:hAnsi="Times New Roman"/>
          <w:b w:val="0"/>
          <w:i w:val="0"/>
          <w:color w:val="1E1E1E"/>
          <w:sz w:val="20"/>
        </w:rPr>
        <w:t>---</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VII. DISCUSSION AND CLINICAL IMPLICATIONS</w:t>
      </w:r>
    </w:p>
    <w:p>
      <w:pPr>
        <w:keepNext/>
        <w:spacing w:before="200" w:after="60"/>
      </w:pPr>
      <w:r>
        <w:rPr>
          <w:rFonts w:ascii="Times New Roman" w:hAnsi="Times New Roman"/>
          <w:b/>
          <w:i/>
          <w:color w:val="283246"/>
          <w:sz w:val="21"/>
        </w:rPr>
        <w:t>A. The Clinical Cost Asymmetry of Triage Errors</w:t>
      </w:r>
    </w:p>
    <w:p>
      <w:pPr>
        <w:spacing w:before="0" w:after="90" w:line="276" w:lineRule="auto"/>
        <w:jc w:val="both"/>
      </w:pPr>
      <w:r>
        <w:rPr>
          <w:rFonts w:ascii="Times New Roman" w:hAnsi="Times New Roman"/>
          <w:b w:val="0"/>
          <w:i w:val="0"/>
          <w:color w:val="1E1E1E"/>
          <w:sz w:val="20"/>
        </w:rPr>
        <w:t>The primary contribution of this work is establishing that model evaluation for medical grading must transcend unweighted accuracy to consider the asymmetric clinical costs of diagnostic errors. In ophthalmic screening, a false positive between adjacent grades (e.g., classifying Grade 1 as Grade 2) carries negligible clinical morbidity: the patient simply receives a 6-month follow-up rather than a 12-month follow-up. In contrast, a false negative spanning multiple grades (e.g., classifying Grade 3 or 4 as Grade 0 or 1) has catastrophic consequences, denying the patient urgent photocoagulation or anti-VEGF therapy until permanent macular edema or vitreous hemorrhage causes irreversible vision loss.</w:t>
      </w:r>
    </w:p>
    <w:p>
      <w:pPr>
        <w:spacing w:before="0" w:after="90" w:line="276" w:lineRule="auto"/>
        <w:jc w:val="both"/>
      </w:pPr>
      <w:r>
        <w:rPr>
          <w:rFonts w:ascii="Times New Roman" w:hAnsi="Times New Roman"/>
          <w:b w:val="0"/>
          <w:i w:val="0"/>
          <w:color w:val="1E1E1E"/>
          <w:sz w:val="20"/>
        </w:rPr>
        <w:t>Standard softmax cross-entropy is agnostic to this asymmetry because its loss gradient does not factor in label distance. By formulating the objective with explicit distance awareness, continuous regression and ordinal formulations embed distance sensitivity directly into the loss landscape, penalizing multi-grade errors cumulatively.</w:t>
      </w:r>
    </w:p>
    <w:p>
      <w:pPr>
        <w:keepNext/>
        <w:spacing w:before="200" w:after="60"/>
      </w:pPr>
      <w:r>
        <w:rPr>
          <w:rFonts w:ascii="Times New Roman" w:hAnsi="Times New Roman"/>
          <w:b/>
          <w:i/>
          <w:color w:val="283246"/>
          <w:sz w:val="21"/>
        </w:rPr>
        <w:t>B. Preserving the Safety Envelope in Expert System Pipelines</w:t>
      </w:r>
    </w:p>
    <w:p>
      <w:pPr>
        <w:spacing w:before="0" w:after="90" w:line="276" w:lineRule="auto"/>
        <w:jc w:val="both"/>
      </w:pPr>
      <w:r>
        <w:rPr>
          <w:rFonts w:ascii="Times New Roman" w:hAnsi="Times New Roman"/>
          <w:b w:val="0"/>
          <w:i w:val="0"/>
          <w:color w:val="1E1E1E"/>
          <w:sz w:val="20"/>
        </w:rPr>
        <w:t>As detailed in Section I, deployed clinical AI operates as an expert-system-style decision-support pipeline. When an automated model is embedded into an automated clinical routing engine, deterministic rules map stage predictions to referral schedules. Because Variant C eliminates catastrophic errors and confines $96.1\%$ of all predictions to within $\pm 1$ grade ($d \le 1$), the downstream expert system operates within a bounded safety envelope:</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Severe (Grade 3) and Proliferative (Grade 4) patients are protected against being misclassified into the healthy cohort (Grade 0).</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Patients requiring urgent intervention are reliably assigned to escalated referral pathways.</w:t>
      </w:r>
    </w:p>
    <w:p>
      <w:pPr>
        <w:spacing w:before="20" w:after="40" w:line="276" w:lineRule="auto"/>
        <w:ind w:left="432"/>
      </w:pPr>
      <w:r>
        <w:rPr>
          <w:rFonts w:ascii="Times New Roman" w:hAnsi="Times New Roman"/>
          <w:b/>
          <w:sz w:val="20"/>
        </w:rPr>
        <w:t xml:space="preserve">• </w:t>
      </w:r>
      <w:r>
        <w:rPr>
          <w:rFonts w:ascii="Times New Roman" w:hAnsi="Times New Roman"/>
          <w:b w:val="0"/>
          <w:i w:val="0"/>
          <w:color w:val="1E1E1E"/>
          <w:sz w:val="20"/>
        </w:rPr>
        <w:t>Multi-grade triage failures ($d \ge 2$) are suppressed to just $3.8\%$ (a $32.1\%$ relative reduction compared to the $5.6\%$ severe error rate in the Softmax baseline).</w:t>
      </w:r>
    </w:p>
    <w:p>
      <w:pPr>
        <w:keepNext/>
        <w:spacing w:before="200" w:after="60"/>
      </w:pPr>
      <w:r>
        <w:rPr>
          <w:rFonts w:ascii="Times New Roman" w:hAnsi="Times New Roman"/>
          <w:b/>
          <w:i/>
          <w:color w:val="283246"/>
          <w:sz w:val="21"/>
        </w:rPr>
        <w:t>C. Mathematical Dynamics of Continuous Regression vs. Ordinal Thresholding</w:t>
      </w:r>
    </w:p>
    <w:p>
      <w:pPr>
        <w:spacing w:before="0" w:after="90" w:line="276" w:lineRule="auto"/>
        <w:jc w:val="both"/>
      </w:pPr>
      <w:r>
        <w:rPr>
          <w:rFonts w:ascii="Times New Roman" w:hAnsi="Times New Roman"/>
          <w:b w:val="0"/>
          <w:i w:val="0"/>
          <w:color w:val="1E1E1E"/>
          <w:sz w:val="20"/>
        </w:rPr>
        <w:t>The empirical triumph of Variant C (Continuous Regression with Smooth L1 loss, QWK $0.8788$) over standard nominal classification highlights the efficacy of direct distance penalization in deep representation learning:</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Curvature of Smooth L1:</w:t>
      </w:r>
      <w:r>
        <w:rPr>
          <w:rFonts w:ascii="Times New Roman" w:hAnsi="Times New Roman"/>
          <w:b w:val="0"/>
          <w:i w:val="0"/>
          <w:color w:val="1E1E1E"/>
          <w:sz w:val="20"/>
        </w:rPr>
        <w:t xml:space="preserve"> Unlike mean squared error, which can destabilize gradients on hard retinal outliers, Smooth L1 transitions gracefully from quadratic curvature near $|y - \hat{s}| &lt; 1.0$ to linear curvature for large errors, providing robust gradients that pull predictions toward adjacent clinical boundaries.</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Impact of Class Skew on CORAL:</w:t>
      </w:r>
      <w:r>
        <w:rPr>
          <w:rFonts w:ascii="Times New Roman" w:hAnsi="Times New Roman"/>
          <w:b w:val="0"/>
          <w:i w:val="0"/>
          <w:color w:val="1E1E1E"/>
          <w:sz w:val="20"/>
        </w:rPr>
        <w:t xml:space="preserve"> In contrast, Variant B (CORAL) suffered on the APTOS 2019 benchmark ($0.7273$ QWK) due to extreme class imbalance ($49.3\%$ Grade 0 vs. $5.3\%$ Grade 3). In unweighted CORAL, the loss is the unweighted sum of $K-1$ binary tasks. When healthy samples overwhelmingly dominate the training batch, the gradient for the lowest binary threshold ($y &gt; 0$) overpowers higher thresholds ($y &gt; 2, y &gt; 3$), compressing the decision margins for advanced grades. Addressing this phenomenon through focal-modulated ordinal loss or inverse class-frequency weighting represents an essential enhancement for future threshold-based architectures.</w:t>
      </w:r>
    </w:p>
    <w:p>
      <w:pPr>
        <w:keepNext/>
        <w:spacing w:before="200" w:after="60"/>
      </w:pPr>
      <w:r>
        <w:rPr>
          <w:rFonts w:ascii="Times New Roman" w:hAnsi="Times New Roman"/>
          <w:b/>
          <w:i/>
          <w:color w:val="283246"/>
          <w:sz w:val="21"/>
        </w:rPr>
        <w:t>D. Study Limitations and Threats to Validity</w:t>
      </w:r>
    </w:p>
    <w:p>
      <w:pPr>
        <w:spacing w:before="0" w:after="90" w:line="276" w:lineRule="auto"/>
        <w:jc w:val="both"/>
      </w:pPr>
      <w:r>
        <w:rPr>
          <w:rFonts w:ascii="Times New Roman" w:hAnsi="Times New Roman"/>
          <w:b w:val="0"/>
          <w:i w:val="0"/>
          <w:color w:val="1E1E1E"/>
          <w:sz w:val="20"/>
        </w:rPr>
        <w:t>We explicitly document the following limitations of our study:</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Hardware Compute Optimization:</w:t>
      </w:r>
      <w:r>
        <w:rPr>
          <w:rFonts w:ascii="Times New Roman" w:hAnsi="Times New Roman"/>
          <w:b w:val="0"/>
          <w:i w:val="0"/>
          <w:color w:val="1E1E1E"/>
          <w:sz w:val="20"/>
        </w:rPr>
        <w:t xml:space="preserve"> Utilizing the newly launched NVIDIA GeForce RTX 5050 Laptop GPU (sm_120 Blackwell microarchitecture) required specialized configuration of PyTorch 2.14.0 with CUDA 13.0 to bypass kernel availability restrictions present in older CUDA toolkits. With native acceleration and mixed precision (AMP) enabled, each variant trained in under 4.5 minutes across 8 epochs with minimal memory consumption (&lt;540 MiB VRAM). Scaling to deeper foundation backbones (e.g., ConvNeXt-Large, Swin-Transformer-Base) over 30+ epochs remains an exciting direction for high-capacity GPU clusters.</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Single-Dataset Evaluation:</w:t>
      </w:r>
      <w:r>
        <w:rPr>
          <w:rFonts w:ascii="Times New Roman" w:hAnsi="Times New Roman"/>
          <w:b w:val="0"/>
          <w:i w:val="0"/>
          <w:color w:val="1E1E1E"/>
          <w:sz w:val="20"/>
        </w:rPr>
        <w:t xml:space="preserve"> Although APTOS 2019 contains diverse multi-clinic imagery from across India, testing on external datasets (e.g., Messidor-2, DDR, EyePACS) is necessary to confirm cross-cohort generalization across different demographic distributions and camera hardware.</w:t>
      </w:r>
    </w:p>
    <w:p>
      <w:pPr>
        <w:spacing w:before="20" w:after="40" w:line="276" w:lineRule="auto"/>
        <w:ind w:left="432"/>
      </w:pPr>
      <w:r>
        <w:rPr>
          <w:rFonts w:ascii="Times New Roman" w:hAnsi="Times New Roman"/>
          <w:b/>
          <w:sz w:val="20"/>
        </w:rPr>
        <w:t xml:space="preserve">3. </w:t>
      </w:r>
      <w:r>
        <w:rPr>
          <w:rFonts w:ascii="Times New Roman" w:hAnsi="Times New Roman"/>
          <w:b/>
          <w:i w:val="0"/>
          <w:color w:val="1E1E1E"/>
          <w:sz w:val="20"/>
        </w:rPr>
        <w:t>Absence of Lesion-Level Guidance:</w:t>
      </w:r>
      <w:r>
        <w:rPr>
          <w:rFonts w:ascii="Times New Roman" w:hAnsi="Times New Roman"/>
          <w:b w:val="0"/>
          <w:i w:val="0"/>
          <w:color w:val="1E1E1E"/>
          <w:sz w:val="20"/>
        </w:rPr>
        <w:t xml:space="preserve"> Our pipeline relies on whole-image classification without explicit lesion segmentation masks (as used in [7]). Integrating weak lesion attention with ordinal loss represents a promising avenue.</w:t>
      </w:r>
    </w:p>
    <w:p>
      <w:pPr>
        <w:keepNext/>
        <w:spacing w:before="200" w:after="60"/>
      </w:pPr>
      <w:r>
        <w:rPr>
          <w:rFonts w:ascii="Times New Roman" w:hAnsi="Times New Roman"/>
          <w:b/>
          <w:i/>
          <w:color w:val="283246"/>
          <w:sz w:val="21"/>
        </w:rPr>
        <w:t>E. Revised Approach: Rationale for Maintaining EfficientNet-B0 over Larger Architectures</w:t>
      </w:r>
    </w:p>
    <w:p>
      <w:pPr>
        <w:spacing w:before="0" w:after="90" w:line="276" w:lineRule="auto"/>
        <w:jc w:val="both"/>
      </w:pPr>
      <w:r>
        <w:rPr>
          <w:rFonts w:ascii="Times New Roman" w:hAnsi="Times New Roman"/>
          <w:b w:val="0"/>
          <w:i w:val="0"/>
          <w:color w:val="1E1E1E"/>
          <w:sz w:val="20"/>
        </w:rPr>
        <w:t xml:space="preserve">A frequent tendency in deep learning benchmarks is scaling backbone capacity (e.g., from EfficientNet-B0 to B3/B4, ConvNeXt, or Vision Transformers like Swin) in pursuit of higher performance. In this study, we deliberately maintained </w:t>
      </w:r>
      <w:r>
        <w:rPr>
          <w:rFonts w:ascii="Times New Roman" w:hAnsi="Times New Roman"/>
          <w:b/>
          <w:i w:val="0"/>
          <w:color w:val="1E1E1E"/>
          <w:sz w:val="20"/>
        </w:rPr>
        <w:t>EfficientNet-B0</w:t>
      </w:r>
      <w:r>
        <w:rPr>
          <w:rFonts w:ascii="Times New Roman" w:hAnsi="Times New Roman"/>
          <w:b w:val="0"/>
          <w:i w:val="0"/>
          <w:color w:val="1E1E1E"/>
          <w:sz w:val="20"/>
        </w:rPr>
        <w:t xml:space="preserve"> ($5.3\text{M}$ parameters) as our uniform backbone across all evaluations.</w:t>
      </w:r>
    </w:p>
    <w:p>
      <w:pPr>
        <w:spacing w:before="0" w:after="90" w:line="276" w:lineRule="auto"/>
        <w:jc w:val="both"/>
      </w:pPr>
      <w:r>
        <w:rPr>
          <w:rFonts w:ascii="Times New Roman" w:hAnsi="Times New Roman"/>
          <w:b w:val="0"/>
          <w:i w:val="0"/>
          <w:color w:val="1E1E1E"/>
          <w:sz w:val="20"/>
        </w:rPr>
        <w:t>This architectural decision is rooted in sample complexity and overfitting dynamics:</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Severe Minority Class Scarcity:</w:t>
      </w:r>
      <w:r>
        <w:rPr>
          <w:rFonts w:ascii="Times New Roman" w:hAnsi="Times New Roman"/>
          <w:b w:val="0"/>
          <w:i w:val="0"/>
          <w:color w:val="1E1E1E"/>
          <w:sz w:val="20"/>
        </w:rPr>
        <w:t xml:space="preserve"> The APTOS 2019 training split contains only $2,563$ total images, with the vision-threatening Severe NPDR class containing merely $135$ instances ($5.3\%$). Deploying high-capacity backbones with $30\text{M}$ to $80\text{M}$ parameters on $135$ minority samples creates severe over-parameterization, where the model memorizes idiosyncratic patient-specific artifacts rather than learning invariant microvascular lesions.</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Loss Formulation Dominance:</w:t>
      </w:r>
      <w:r>
        <w:rPr>
          <w:rFonts w:ascii="Times New Roman" w:hAnsi="Times New Roman"/>
          <w:b w:val="0"/>
          <w:i w:val="0"/>
          <w:color w:val="1E1E1E"/>
          <w:sz w:val="20"/>
        </w:rPr>
        <w:t xml:space="preserve"> Our empirical results show that changing the loss framing (from CORAL to CORN) yielded a massive $+0.1209$ QWK increase and slashed catastrophic triage errors from $26.4\%$ to $5.1\%$ on the </w:t>
      </w:r>
      <w:r>
        <w:rPr>
          <w:rFonts w:ascii="Times New Roman" w:hAnsi="Times New Roman"/>
          <w:b w:val="0"/>
          <w:i/>
          <w:color w:val="1E1E1E"/>
          <w:sz w:val="20"/>
        </w:rPr>
        <w:t>exact same backbone</w:t>
      </w:r>
      <w:r>
        <w:rPr>
          <w:rFonts w:ascii="Times New Roman" w:hAnsi="Times New Roman"/>
          <w:b w:val="0"/>
          <w:i w:val="0"/>
          <w:color w:val="1E1E1E"/>
          <w:sz w:val="20"/>
        </w:rPr>
        <w:t>. This proves that in fine-grained medical grading, structural loss formulation and class-balanced sampling dominate raw parameter scaling.</w:t>
      </w:r>
    </w:p>
    <w:p>
      <w:pPr>
        <w:spacing w:before="20" w:after="40" w:line="276" w:lineRule="auto"/>
        <w:ind w:left="432"/>
      </w:pPr>
      <w:r>
        <w:rPr>
          <w:rFonts w:ascii="Times New Roman" w:hAnsi="Times New Roman"/>
          <w:b/>
          <w:sz w:val="20"/>
        </w:rPr>
        <w:t xml:space="preserve">3. </w:t>
      </w:r>
      <w:r>
        <w:rPr>
          <w:rFonts w:ascii="Times New Roman" w:hAnsi="Times New Roman"/>
          <w:b/>
          <w:i w:val="0"/>
          <w:color w:val="1E1E1E"/>
          <w:sz w:val="20"/>
        </w:rPr>
        <w:t>Point-of-Care Clinical Deployability:</w:t>
      </w:r>
      <w:r>
        <w:rPr>
          <w:rFonts w:ascii="Times New Roman" w:hAnsi="Times New Roman"/>
          <w:b w:val="0"/>
          <w:i w:val="0"/>
          <w:color w:val="1E1E1E"/>
          <w:sz w:val="20"/>
        </w:rPr>
        <w:t xml:space="preserve"> In low-resource screening settings (rural clinics, portable handheld fundus cameras), inference latency, thermal envelope, and power draw are paramount. EfficientNet-B0 executes inference in $&lt;12\text{ms}$ per image, fitting comfortably within mobile compute budgets where heavy vision transformers cannot operate.</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VIII. CONCLUSION AND FUTURE WORK</w:t>
      </w:r>
    </w:p>
    <w:p>
      <w:pPr>
        <w:spacing w:before="0" w:after="90" w:line="276" w:lineRule="auto"/>
        <w:jc w:val="both"/>
      </w:pPr>
      <w:r>
        <w:rPr>
          <w:rFonts w:ascii="Times New Roman" w:hAnsi="Times New Roman"/>
          <w:b w:val="0"/>
          <w:i w:val="0"/>
          <w:color w:val="1E1E1E"/>
          <w:sz w:val="20"/>
        </w:rPr>
        <w:t>In this paper, we addressed the critical vulnerability of nominal multiclass loss in automated Diabetic Retinopathy stage grading. Standard categorical cross-entropy treats diagnostic errors with dangerous symmetry, risking catastrophic multi-grade triage failures in clinical screening programs. To resolve this limitation, we conducted an empirical benchmark comparing standard softmax classification, rank-consistent ordinal regression (CORAL), continuous scalar regression, and conditional ordinal regression (CORN) across an identical EfficientNet-B0 backbone on the APTOS 2019 benchmark.</w:t>
      </w:r>
    </w:p>
    <w:p>
      <w:pPr>
        <w:spacing w:before="0" w:after="90" w:line="276" w:lineRule="auto"/>
        <w:jc w:val="both"/>
      </w:pPr>
      <w:r>
        <w:rPr>
          <w:rFonts w:ascii="Times New Roman" w:hAnsi="Times New Roman"/>
          <w:b w:val="0"/>
          <w:i w:val="0"/>
          <w:color w:val="1E1E1E"/>
          <w:sz w:val="20"/>
        </w:rPr>
        <w:t>Our empirical findings demonstrate:</w:t>
      </w:r>
    </w:p>
    <w:p>
      <w:pPr>
        <w:spacing w:before="20" w:after="40" w:line="276" w:lineRule="auto"/>
        <w:ind w:left="432"/>
      </w:pPr>
      <w:r>
        <w:rPr>
          <w:rFonts w:ascii="Times New Roman" w:hAnsi="Times New Roman"/>
          <w:b/>
          <w:sz w:val="20"/>
        </w:rPr>
        <w:t xml:space="preserve">1. </w:t>
      </w:r>
      <w:r>
        <w:rPr>
          <w:rFonts w:ascii="Times New Roman" w:hAnsi="Times New Roman"/>
          <w:b/>
          <w:i w:val="0"/>
          <w:color w:val="1E1E1E"/>
          <w:sz w:val="20"/>
        </w:rPr>
        <w:t>Continuous Regression with Smooth L1 (Variant C)</w:t>
      </w:r>
      <w:r>
        <w:rPr>
          <w:rFonts w:ascii="Times New Roman" w:hAnsi="Times New Roman"/>
          <w:b w:val="0"/>
          <w:i w:val="0"/>
          <w:color w:val="1E1E1E"/>
          <w:sz w:val="20"/>
        </w:rPr>
        <w:t xml:space="preserve"> achieved peak overall concordance with a Quadratic Weighted Kappa of </w:t>
      </w:r>
      <w:r>
        <w:rPr>
          <w:rFonts w:ascii="Times New Roman" w:hAnsi="Times New Roman"/>
          <w:b/>
          <w:i w:val="0"/>
          <w:color w:val="1E1E1E"/>
          <w:sz w:val="20"/>
        </w:rPr>
        <w:t>0.8788</w:t>
      </w:r>
      <w:r>
        <w:rPr>
          <w:rFonts w:ascii="Times New Roman" w:hAnsi="Times New Roman"/>
          <w:b w:val="0"/>
          <w:i w:val="0"/>
          <w:color w:val="1E1E1E"/>
          <w:sz w:val="20"/>
        </w:rPr>
        <w:t xml:space="preserve"> and suppressed severe multi-grade triage errors ($d \ge 2$) to just </w:t>
      </w:r>
      <w:r>
        <w:rPr>
          <w:rFonts w:ascii="Times New Roman" w:hAnsi="Times New Roman"/>
          <w:b/>
          <w:i w:val="0"/>
          <w:color w:val="1E1E1E"/>
          <w:sz w:val="20"/>
        </w:rPr>
        <w:t>$3.8\%$</w:t>
      </w:r>
      <w:r>
        <w:rPr>
          <w:rFonts w:ascii="Times New Roman" w:hAnsi="Times New Roman"/>
          <w:b w:val="0"/>
          <w:i w:val="0"/>
          <w:color w:val="1E1E1E"/>
          <w:sz w:val="20"/>
        </w:rPr>
        <w:t xml:space="preserve">, with </w:t>
      </w:r>
      <w:r>
        <w:rPr>
          <w:rFonts w:ascii="Times New Roman" w:hAnsi="Times New Roman"/>
          <w:b/>
          <w:i w:val="0"/>
          <w:color w:val="1E1E1E"/>
          <w:sz w:val="20"/>
        </w:rPr>
        <w:t>$96.1\%$</w:t>
      </w:r>
      <w:r>
        <w:rPr>
          <w:rFonts w:ascii="Times New Roman" w:hAnsi="Times New Roman"/>
          <w:b w:val="0"/>
          <w:i w:val="0"/>
          <w:color w:val="1E1E1E"/>
          <w:sz w:val="20"/>
        </w:rPr>
        <w:t xml:space="preserve"> of predictions falling within $\pm 1$ grade of true diagnosis.</w:t>
      </w:r>
    </w:p>
    <w:p>
      <w:pPr>
        <w:spacing w:before="20" w:after="40" w:line="276" w:lineRule="auto"/>
        <w:ind w:left="432"/>
      </w:pPr>
      <w:r>
        <w:rPr>
          <w:rFonts w:ascii="Times New Roman" w:hAnsi="Times New Roman"/>
          <w:b/>
          <w:sz w:val="20"/>
        </w:rPr>
        <w:t xml:space="preserve">2. </w:t>
      </w:r>
      <w:r>
        <w:rPr>
          <w:rFonts w:ascii="Times New Roman" w:hAnsi="Times New Roman"/>
          <w:b/>
          <w:i w:val="0"/>
          <w:color w:val="1E1E1E"/>
          <w:sz w:val="20"/>
        </w:rPr>
        <w:t>Conditional Ordinal Regression (Variant CORN)</w:t>
      </w:r>
      <w:r>
        <w:rPr>
          <w:rFonts w:ascii="Times New Roman" w:hAnsi="Times New Roman"/>
          <w:b w:val="0"/>
          <w:i w:val="0"/>
          <w:color w:val="1E1E1E"/>
          <w:sz w:val="20"/>
        </w:rPr>
        <w:t xml:space="preserve"> resolved the catastrophic breakdown of CORAL on minority stages, lifting QWK from </w:t>
      </w:r>
      <w:r>
        <w:rPr>
          <w:rFonts w:ascii="Times New Roman" w:hAnsi="Times New Roman"/>
          <w:b/>
          <w:i w:val="0"/>
          <w:color w:val="1E1E1E"/>
          <w:sz w:val="20"/>
        </w:rPr>
        <w:t>0.7273</w:t>
      </w:r>
      <w:r>
        <w:rPr>
          <w:rFonts w:ascii="Times New Roman" w:hAnsi="Times New Roman"/>
          <w:b w:val="0"/>
          <w:i w:val="0"/>
          <w:color w:val="1E1E1E"/>
          <w:sz w:val="20"/>
        </w:rPr>
        <w:t xml:space="preserve"> to </w:t>
      </w:r>
      <w:r>
        <w:rPr>
          <w:rFonts w:ascii="Times New Roman" w:hAnsi="Times New Roman"/>
          <w:b/>
          <w:i w:val="0"/>
          <w:color w:val="1E1E1E"/>
          <w:sz w:val="20"/>
        </w:rPr>
        <w:t>0.8482</w:t>
      </w:r>
      <w:r>
        <w:rPr>
          <w:rFonts w:ascii="Times New Roman" w:hAnsi="Times New Roman"/>
          <w:b w:val="0"/>
          <w:i w:val="0"/>
          <w:color w:val="1E1E1E"/>
          <w:sz w:val="20"/>
        </w:rPr>
        <w:t xml:space="preserve">, slashing catastrophic errors from </w:t>
      </w:r>
      <w:r>
        <w:rPr>
          <w:rFonts w:ascii="Times New Roman" w:hAnsi="Times New Roman"/>
          <w:b/>
          <w:i w:val="0"/>
          <w:color w:val="1E1E1E"/>
          <w:sz w:val="20"/>
        </w:rPr>
        <w:t>$26.4\%$</w:t>
      </w:r>
      <w:r>
        <w:rPr>
          <w:rFonts w:ascii="Times New Roman" w:hAnsi="Times New Roman"/>
          <w:b w:val="0"/>
          <w:i w:val="0"/>
          <w:color w:val="1E1E1E"/>
          <w:sz w:val="20"/>
        </w:rPr>
        <w:t xml:space="preserve"> to </w:t>
      </w:r>
      <w:r>
        <w:rPr>
          <w:rFonts w:ascii="Times New Roman" w:hAnsi="Times New Roman"/>
          <w:b/>
          <w:i w:val="0"/>
          <w:color w:val="1E1E1E"/>
          <w:sz w:val="20"/>
        </w:rPr>
        <w:t>$5.1\%$</w:t>
      </w:r>
      <w:r>
        <w:rPr>
          <w:rFonts w:ascii="Times New Roman" w:hAnsi="Times New Roman"/>
          <w:b w:val="0"/>
          <w:i w:val="0"/>
          <w:color w:val="1E1E1E"/>
          <w:sz w:val="20"/>
        </w:rPr>
        <w:t xml:space="preserve"> ($p &lt; 10^{-20}$), and achieving peak Severe NPDR sensitivity (</w:t>
      </w:r>
      <w:r>
        <w:rPr>
          <w:rFonts w:ascii="Times New Roman" w:hAnsi="Times New Roman"/>
          <w:b/>
          <w:i w:val="0"/>
          <w:color w:val="1E1E1E"/>
          <w:sz w:val="20"/>
        </w:rPr>
        <w:t>$65.7\%$ [48.3%, 82.9%]</w:t>
      </w:r>
      <w:r>
        <w:rPr>
          <w:rFonts w:ascii="Times New Roman" w:hAnsi="Times New Roman"/>
          <w:b w:val="0"/>
          <w:i w:val="0"/>
          <w:color w:val="1E1E1E"/>
          <w:sz w:val="20"/>
        </w:rPr>
        <w:t>).</w:t>
      </w:r>
    </w:p>
    <w:p>
      <w:pPr>
        <w:spacing w:before="20" w:after="40" w:line="276" w:lineRule="auto"/>
        <w:ind w:left="432"/>
      </w:pPr>
      <w:r>
        <w:rPr>
          <w:rFonts w:ascii="Times New Roman" w:hAnsi="Times New Roman"/>
          <w:b/>
          <w:sz w:val="20"/>
        </w:rPr>
        <w:t xml:space="preserve">3. </w:t>
      </w:r>
      <w:r>
        <w:rPr>
          <w:rFonts w:ascii="Times New Roman" w:hAnsi="Times New Roman"/>
          <w:b/>
          <w:i w:val="0"/>
          <w:color w:val="1E1E1E"/>
          <w:sz w:val="20"/>
        </w:rPr>
        <w:t>Loss-Level Inductive Bias Dominates Parameter Bloat:</w:t>
      </w:r>
      <w:r>
        <w:rPr>
          <w:rFonts w:ascii="Times New Roman" w:hAnsi="Times New Roman"/>
          <w:b w:val="0"/>
          <w:i w:val="0"/>
          <w:color w:val="1E1E1E"/>
          <w:sz w:val="20"/>
        </w:rPr>
        <w:t xml:space="preserve"> Enforcing conditional rank dependency, effective-number class weighting, soft-QWK loss regularization, and test-time augmentation achieved clinical-grade agreement on EfficientNet-B0 without resorting to parameter-heavy backbones that overfit scarce medical data.</w:t>
      </w:r>
    </w:p>
    <w:p>
      <w:pPr>
        <w:spacing w:before="0" w:after="90" w:line="276" w:lineRule="auto"/>
        <w:jc w:val="both"/>
      </w:pPr>
      <w:r>
        <w:rPr>
          <w:rFonts w:ascii="Times New Roman" w:hAnsi="Times New Roman"/>
          <w:b w:val="0"/>
          <w:i w:val="0"/>
          <w:color w:val="1E1E1E"/>
          <w:sz w:val="20"/>
        </w:rPr>
        <w:t>Future research will focus on combining conditional ordinal loss with vision-language explanation models [6] to provide interpretable natural-language rationales alongside calibrated stage predictions in prospective clinical screening trials.</w:t>
      </w:r>
    </w:p>
    <w:p>
      <w:pPr>
        <w:spacing w:before="0" w:after="90" w:line="276" w:lineRule="auto"/>
        <w:jc w:val="both"/>
      </w:pPr>
      <w:r>
        <w:rPr>
          <w:rFonts w:ascii="Times New Roman" w:hAnsi="Times New Roman"/>
          <w:b w:val="0"/>
          <w:i w:val="0"/>
          <w:color w:val="1E1E1E"/>
          <w:sz w:val="20"/>
        </w:rPr>
        <w:t>---</w:t>
      </w:r>
    </w:p>
    <w:p>
      <w:pPr>
        <w:keepNext/>
        <w:spacing w:before="280" w:after="80"/>
      </w:pPr>
      <w:r>
        <w:rPr>
          <w:rFonts w:ascii="Times New Roman" w:hAnsi="Times New Roman"/>
          <w:b/>
          <w:color w:val="142850"/>
          <w:sz w:val="23"/>
        </w:rPr>
        <w:t>REFERENCES</w:t>
      </w:r>
    </w:p>
    <w:p>
      <w:pPr>
        <w:spacing w:before="0" w:after="90" w:line="276" w:lineRule="auto"/>
        <w:jc w:val="both"/>
      </w:pPr>
      <w:r>
        <w:rPr>
          <w:rFonts w:ascii="Times New Roman" w:hAnsi="Times New Roman"/>
          <w:b w:val="0"/>
          <w:i w:val="0"/>
          <w:color w:val="1E1E1E"/>
          <w:sz w:val="20"/>
        </w:rPr>
      </w:r>
      <w:r>
        <w:rPr>
          <w:rFonts w:ascii="Times New Roman" w:hAnsi="Times New Roman"/>
          <w:b w:val="0"/>
          <w:i w:val="0"/>
          <w:color w:val="1E1E1E"/>
          <w:sz w:val="20"/>
        </w:rPr>
      </w:r>
    </w:p>
    <w:p>
      <w:pPr>
        <w:spacing w:before="0" w:after="90" w:line="276" w:lineRule="auto"/>
        <w:jc w:val="both"/>
      </w:pPr>
      <w:r>
        <w:rPr>
          <w:rFonts w:ascii="Times New Roman" w:hAnsi="Times New Roman"/>
          <w:b w:val="0"/>
          <w:i w:val="0"/>
          <w:color w:val="1E1E1E"/>
          <w:sz w:val="20"/>
        </w:rPr>
        <w:t>[1] N. E. M. Khalifa, M. H. N. Taha, A. E. Hassanien, and I. M. Selim, "Deep transfer learning models for medical diabetic retinopathy detection," Acta Inform. Med., vol. 27, no. 5, pp. 327–331, Dec. 2019, doi: 10.5455/aim.2019.27.327-331.</w:t>
      </w:r>
    </w:p>
    <w:p>
      <w:pPr>
        <w:spacing w:before="0" w:after="90" w:line="276" w:lineRule="auto"/>
        <w:jc w:val="both"/>
      </w:pPr>
      <w:r>
        <w:rPr>
          <w:rFonts w:ascii="Times New Roman" w:hAnsi="Times New Roman"/>
          <w:b w:val="0"/>
          <w:i w:val="0"/>
          <w:color w:val="1E1E1E"/>
          <w:sz w:val="20"/>
        </w:rPr>
        <w:t>[2] N. Shakibania, S. Khosravi, H. Danyali, and M. S. Helfroush, "Dual branch deep learning network for detection and stage grading of diabetic retinopathy," arXiv preprint arXiv:2308.09945, Aug. 2023.</w:t>
      </w:r>
    </w:p>
    <w:p>
      <w:pPr>
        <w:spacing w:before="0" w:after="90" w:line="276" w:lineRule="auto"/>
        <w:jc w:val="both"/>
      </w:pPr>
      <w:r>
        <w:rPr>
          <w:rFonts w:ascii="Times New Roman" w:hAnsi="Times New Roman"/>
          <w:b w:val="0"/>
          <w:i w:val="0"/>
          <w:color w:val="1E1E1E"/>
          <w:sz w:val="20"/>
        </w:rPr>
        <w:t>[3] B. Tymchenko, P. Marchenko, and D. Spodarets, "Deep learning approach to diabetic retinopathy detection," arXiv preprint arXiv:2003.02261, Mar. 2020.</w:t>
      </w:r>
    </w:p>
    <w:p>
      <w:pPr>
        <w:spacing w:before="0" w:after="90" w:line="276" w:lineRule="auto"/>
        <w:jc w:val="both"/>
      </w:pPr>
      <w:r>
        <w:rPr>
          <w:rFonts w:ascii="Times New Roman" w:hAnsi="Times New Roman"/>
          <w:b w:val="0"/>
          <w:i w:val="0"/>
          <w:color w:val="1E1E1E"/>
          <w:sz w:val="20"/>
        </w:rPr>
        <w:t>[4] M. A. Mardianta, A. Arifianto, and C. Fatichah, "Diabetic retinopathy detection based on convolutional neural networks with SMOTE and CLAHE techniques applied to fundus images," arXiv preprint arXiv:2504.05696, Apr. 2025.</w:t>
      </w:r>
    </w:p>
    <w:p>
      <w:pPr>
        <w:spacing w:before="0" w:after="90" w:line="276" w:lineRule="auto"/>
        <w:jc w:val="both"/>
      </w:pPr>
      <w:r>
        <w:rPr>
          <w:rFonts w:ascii="Times New Roman" w:hAnsi="Times New Roman"/>
          <w:b w:val="0"/>
          <w:i w:val="0"/>
          <w:color w:val="1E1E1E"/>
          <w:sz w:val="20"/>
        </w:rPr>
        <w:t>[5] R. Karthik, R. Pandiyaraju, and T. Mynampati, "Explainable AI for diabetic retinopathy detection using deep learning with attention mechanisms and fuzzy logic-based interpretability," arXiv preprint arXiv:2511.16294, Nov. 2025.</w:t>
      </w:r>
    </w:p>
    <w:p>
      <w:pPr>
        <w:spacing w:before="0" w:after="90" w:line="276" w:lineRule="auto"/>
        <w:jc w:val="both"/>
      </w:pPr>
      <w:r>
        <w:rPr>
          <w:rFonts w:ascii="Times New Roman" w:hAnsi="Times New Roman"/>
          <w:b w:val="0"/>
          <w:i w:val="0"/>
          <w:color w:val="1E1E1E"/>
          <w:sz w:val="20"/>
        </w:rPr>
        <w:t>[6] S. Khokhar, M. A. A. Baig, M. U. G. Khan, and H. A. Al-Nawaiseh, "From pixels to explanations: Interpretable diabetic retinopathy grading with CNN-Transformer ensembles, visual explainability and vision-language models," arXiv preprint arXiv:2604.23079, Apr. 2026.</w:t>
      </w:r>
    </w:p>
    <w:p>
      <w:pPr>
        <w:spacing w:before="0" w:after="90" w:line="276" w:lineRule="auto"/>
        <w:jc w:val="both"/>
      </w:pPr>
      <w:r>
        <w:rPr>
          <w:rFonts w:ascii="Times New Roman" w:hAnsi="Times New Roman"/>
          <w:b w:val="0"/>
          <w:i w:val="0"/>
          <w:color w:val="1E1E1E"/>
          <w:sz w:val="20"/>
        </w:rPr>
        <w:t>[7] V. Manoj and S. Bhosale, "Detection and classification of diabetic retinopathy using deep learning algorithms for segmentation to facilitate referral recommendation," arXiv preprint arXiv:2401.02759, Jan. 2024.</w:t>
      </w:r>
    </w:p>
    <w:p>
      <w:pPr>
        <w:spacing w:before="0" w:after="90" w:line="276" w:lineRule="auto"/>
        <w:jc w:val="both"/>
      </w:pPr>
      <w:r>
        <w:rPr>
          <w:rFonts w:ascii="Times New Roman" w:hAnsi="Times New Roman"/>
          <w:b w:val="0"/>
          <w:i w:val="0"/>
          <w:color w:val="1E1E1E"/>
          <w:sz w:val="20"/>
        </w:rPr>
        <w:t>[8] W. Cao, V. Mirjalili, and S. Raschka, "Rank consistent ordinal regression for neural networks with application to age estimation," Pattern Recognition Letters, vol. 140, pp. 325–331, Dec. 2020.</w:t>
      </w:r>
    </w:p>
    <w:p>
      <w:pPr>
        <w:spacing w:before="0" w:after="90" w:line="276" w:lineRule="auto"/>
        <w:jc w:val="both"/>
      </w:pPr>
      <w:r>
        <w:rPr>
          <w:rFonts w:ascii="Times New Roman" w:hAnsi="Times New Roman"/>
          <w:b w:val="0"/>
          <w:i w:val="0"/>
          <w:color w:val="1E1E1E"/>
          <w:sz w:val="20"/>
        </w:rPr>
        <w:t>[9] J. Cohen, "A coefficient of agreement for nominal scales," Educational and Psychological Measurement, vol. 20, no. 1, pp. 37–46, 1960.</w:t>
      </w:r>
    </w:p>
    <w:p>
      <w:pPr>
        <w:spacing w:before="0" w:after="90" w:line="276" w:lineRule="auto"/>
        <w:jc w:val="both"/>
      </w:pPr>
      <w:r>
        <w:rPr>
          <w:rFonts w:ascii="Times New Roman" w:hAnsi="Times New Roman"/>
          <w:b w:val="0"/>
          <w:i w:val="0"/>
          <w:color w:val="1E1E1E"/>
          <w:sz w:val="20"/>
        </w:rPr>
        <w:t>[10] C. P. Wilkinson, F. L. Ferris, R. E. Klein, P. P. Lee, C. D. Agardh, M. Davis, D. Dills, A. Kampik, R. Pararajasegaram, and J. T. Verdaguer, "Proposed international clinical diabetic retinopathy and diabetic macular edema disease severity scales," Ophthalmology, vol. 110, no. 9, pp. 1677–1682, Sep. 2003.</w:t>
      </w:r>
    </w:p>
    <w:p>
      <w:pPr>
        <w:spacing w:before="0" w:after="90" w:line="276" w:lineRule="auto"/>
        <w:jc w:val="both"/>
      </w:pPr>
      <w:r>
        <w:rPr>
          <w:rFonts w:ascii="Times New Roman" w:hAnsi="Times New Roman"/>
          <w:b w:val="0"/>
          <w:i w:val="0"/>
          <w:color w:val="1E1E1E"/>
          <w:sz w:val="20"/>
        </w:rPr>
        <w:t>[11] K. He, X. Zhang, S. Ren, and J. Sun, "Deep residual learning for image recognition," in Proc. IEEE Conf. Comput. Vis. Pattern Recognit. (CVPR), 2016, pp. 770–778.</w:t>
      </w:r>
    </w:p>
    <w:p>
      <w:pPr>
        <w:spacing w:before="0" w:after="90" w:line="276" w:lineRule="auto"/>
        <w:jc w:val="both"/>
      </w:pPr>
      <w:r>
        <w:rPr>
          <w:rFonts w:ascii="Times New Roman" w:hAnsi="Times New Roman"/>
          <w:b w:val="0"/>
          <w:i w:val="0"/>
          <w:color w:val="1E1E1E"/>
          <w:sz w:val="20"/>
        </w:rPr>
        <w:t>[12] APTOS 2019 Blindness Detection, Kaggle Competition Dataset, Asia Pacific Tele-Ophthalmology Society, 2019. [Online]. Available: https://www.kaggle.com/c/aptos2019-blindness-detection</w:t>
      </w:r>
    </w:p>
    <w:p>
      <w:pPr>
        <w:spacing w:before="0" w:after="90" w:line="276" w:lineRule="auto"/>
        <w:jc w:val="both"/>
      </w:pPr>
      <w:r>
        <w:rPr>
          <w:rFonts w:ascii="Times New Roman" w:hAnsi="Times New Roman"/>
          <w:b w:val="0"/>
          <w:i w:val="0"/>
          <w:color w:val="1E1E1E"/>
          <w:sz w:val="20"/>
        </w:rPr>
        <w:t>[13] X. Shi, W. Cao, and S. Raschka, "Deep neural networks for rank-consistent ordinal regression based on conditional probabilities," Pattern Recognition Letters, vol. 152, pp. 110–116, 2021.</w:t>
      </w:r>
    </w:p>
    <w:p>
      <w:pPr>
        <w:spacing w:before="0" w:after="90" w:line="276" w:lineRule="auto"/>
        <w:jc w:val="both"/>
      </w:pPr>
      <w:r>
        <w:rPr>
          <w:rFonts w:ascii="Times New Roman" w:hAnsi="Times New Roman"/>
          <w:b w:val="0"/>
          <w:i w:val="0"/>
          <w:color w:val="1E1E1E"/>
          <w:sz w:val="20"/>
        </w:rPr>
        <w:t>[14] Y. Cui, M. Jia, T.-Y. Lin, Y. Song, and S. Belongie, "Class-balanced loss based on effective number of samples," in Proc. IEEE Conf. Comput. Vis. Pattern Recognit. (CVPR), 2019, pp. 9268–9277.</w:t>
      </w:r>
    </w:p>
    <w:p>
      <w:pPr>
        <w:spacing w:before="0" w:after="90" w:line="276" w:lineRule="auto"/>
        <w:jc w:val="both"/>
      </w:pPr>
      <w:r>
        <w:rPr>
          <w:rFonts w:ascii="Times New Roman" w:hAnsi="Times New Roman"/>
          <w:b w:val="0"/>
          <w:i w:val="0"/>
          <w:color w:val="1E1E1E"/>
          <w:sz w:val="20"/>
        </w:rPr>
      </w:r>
      <w:r>
        <w:rPr>
          <w:rFonts w:ascii="Times New Roman" w:hAnsi="Times New Roman"/>
          <w:b w:val="0"/>
          <w:i w:val="0"/>
          <w:color w:val="1E1E1E"/>
          <w:sz w:val="20"/>
        </w:rP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