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color w:val="0F1E3C"/>
          <w:sz w:val="36"/>
        </w:rPr>
        <w:t>Ordinal Neural Networks for Diabetic Retinopathy Staging: Enforcing Monotonic Rank Consistency for Safety-Critical Clinical Decision Support</w:t>
      </w:r>
    </w:p>
    <w:p>
      <w:pPr>
        <w:spacing w:before="20" w:after="60"/>
        <w:jc w:val="center"/>
      </w:pPr>
      <w:r>
        <w:rPr>
          <w:rFonts w:ascii="Times New Roman" w:hAnsi="Times New Roman"/>
          <w:b/>
          <w:i w:val="0"/>
          <w:color w:val="3C3C3C"/>
          <w:sz w:val="19"/>
        </w:rPr>
        <w:t>Institution:</w:t>
      </w:r>
      <w:r>
        <w:rPr>
          <w:rFonts w:ascii="Times New Roman" w:hAnsi="Times New Roman"/>
          <w:b w:val="0"/>
          <w:i w:val="0"/>
          <w:color w:val="3C3C3C"/>
          <w:sz w:val="19"/>
        </w:rPr>
        <w:t xml:space="preserve"> Department of Computer Science and Engineering, MIT World Peace University, Pune</w:t>
      </w:r>
    </w:p>
    <w:p>
      <w:pPr>
        <w:spacing w:before="20" w:after="60"/>
        <w:jc w:val="center"/>
      </w:pPr>
      <w:r>
        <w:rPr>
          <w:rFonts w:ascii="Times New Roman" w:hAnsi="Times New Roman"/>
          <w:b/>
          <w:i w:val="0"/>
          <w:color w:val="3C3C3C"/>
          <w:sz w:val="19"/>
        </w:rPr>
        <w:t>Course:</w:t>
      </w:r>
      <w:r>
        <w:rPr>
          <w:rFonts w:ascii="Times New Roman" w:hAnsi="Times New Roman"/>
          <w:b w:val="0"/>
          <w:i w:val="0"/>
          <w:color w:val="3C3C3C"/>
          <w:sz w:val="19"/>
        </w:rPr>
        <w:t xml:space="preserve"> Artificial Intelligence &amp; Expert Systems Laboratory (CSE30070)</w:t>
      </w:r>
    </w:p>
    <w:p>
      <w:pPr>
        <w:spacing w:before="20" w:after="60"/>
        <w:jc w:val="center"/>
      </w:pPr>
      <w:r>
        <w:rPr>
          <w:rFonts w:ascii="Times New Roman" w:hAnsi="Times New Roman"/>
          <w:b/>
          <w:i w:val="0"/>
          <w:color w:val="3C3C3C"/>
          <w:sz w:val="19"/>
        </w:rPr>
        <w:t>Academic Year:</w:t>
      </w:r>
      <w:r>
        <w:rPr>
          <w:rFonts w:ascii="Times New Roman" w:hAnsi="Times New Roman"/>
          <w:b w:val="0"/>
          <w:i w:val="0"/>
          <w:color w:val="3C3C3C"/>
          <w:sz w:val="19"/>
        </w:rPr>
        <w:t xml:space="preserve"> 2026–2027</w:t>
      </w:r>
    </w:p>
    <w:p>
      <w:pPr>
        <w:spacing w:before="20" w:after="60"/>
        <w:jc w:val="center"/>
      </w:pPr>
      <w:r>
        <w:rPr>
          <w:rFonts w:ascii="Times New Roman" w:hAnsi="Times New Roman"/>
          <w:b/>
          <w:i w:val="0"/>
          <w:color w:val="3C3C3C"/>
          <w:sz w:val="19"/>
        </w:rPr>
        <w:t>Project Mentor:</w:t>
      </w:r>
      <w:r>
        <w:rPr>
          <w:rFonts w:ascii="Times New Roman" w:hAnsi="Times New Roman"/>
          <w:b w:val="0"/>
          <w:i w:val="0"/>
          <w:color w:val="3C3C3C"/>
          <w:sz w:val="19"/>
        </w:rPr>
        <w:t xml:space="preserve"> Prof. Pramod Mali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Project Team Members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  <w:vAlign w:val="center"/>
            <w:tcW w:w="1296" w:type="dxa"/>
            <w:tcMar>
              <w:top w:w="90" w:type="dxa"/>
              <w:bottom w:w="90" w:type="dxa"/>
              <w:left w:w="90" w:type="dxa"/>
              <w:right w:w="9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Sr. No.</w:t>
            </w:r>
          </w:p>
        </w:tc>
        <w:tc>
          <w:tcPr>
            <w:tcW w:type="dxa" w:w="3456"/>
            <w:vAlign w:val="center"/>
            <w:tcW w:w="3600" w:type="dxa"/>
            <w:tcMar>
              <w:top w:w="90" w:type="dxa"/>
              <w:bottom w:w="90" w:type="dxa"/>
              <w:left w:w="90" w:type="dxa"/>
              <w:right w:w="9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PRN</w:t>
            </w:r>
          </w:p>
        </w:tc>
        <w:tc>
          <w:tcPr>
            <w:tcW w:type="dxa" w:w="3456"/>
            <w:vAlign w:val="center"/>
            <w:tcW w:w="5184" w:type="dxa"/>
            <w:tcMar>
              <w:top w:w="90" w:type="dxa"/>
              <w:bottom w:w="90" w:type="dxa"/>
              <w:left w:w="90" w:type="dxa"/>
              <w:right w:w="9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Student Name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W w:w="1296" w:type="dxa"/>
            <w:tcMar>
              <w:top w:w="90" w:type="dxa"/>
              <w:bottom w:w="90" w:type="dxa"/>
              <w:left w:w="90" w:type="dxa"/>
              <w:right w:w="9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1</w:t>
            </w:r>
          </w:p>
        </w:tc>
        <w:tc>
          <w:tcPr>
            <w:tcW w:type="dxa" w:w="3456"/>
            <w:vAlign w:val="center"/>
            <w:tcW w:w="3600" w:type="dxa"/>
            <w:tcMar>
              <w:top w:w="90" w:type="dxa"/>
              <w:bottom w:w="90" w:type="dxa"/>
              <w:left w:w="90" w:type="dxa"/>
              <w:right w:w="9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1262241524</w:t>
            </w:r>
          </w:p>
        </w:tc>
        <w:tc>
          <w:tcPr>
            <w:tcW w:type="dxa" w:w="3456"/>
            <w:vAlign w:val="center"/>
            <w:tcW w:w="5184" w:type="dxa"/>
            <w:tcMar>
              <w:top w:w="90" w:type="dxa"/>
              <w:bottom w:w="90" w:type="dxa"/>
              <w:left w:w="90" w:type="dxa"/>
              <w:right w:w="9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Nayna Sharma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W w:w="1296" w:type="dxa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2</w:t>
            </w:r>
          </w:p>
        </w:tc>
        <w:tc>
          <w:tcPr>
            <w:tcW w:type="dxa" w:w="3456"/>
            <w:vAlign w:val="center"/>
            <w:tcW w:w="3600" w:type="dxa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1262241534</w:t>
            </w:r>
          </w:p>
        </w:tc>
        <w:tc>
          <w:tcPr>
            <w:tcW w:type="dxa" w:w="3456"/>
            <w:vAlign w:val="center"/>
            <w:tcW w:w="5184" w:type="dxa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Harshad Pardhi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W w:w="1296" w:type="dxa"/>
            <w:tcMar>
              <w:top w:w="90" w:type="dxa"/>
              <w:bottom w:w="90" w:type="dxa"/>
              <w:left w:w="90" w:type="dxa"/>
              <w:right w:w="9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3</w:t>
            </w:r>
          </w:p>
        </w:tc>
        <w:tc>
          <w:tcPr>
            <w:tcW w:type="dxa" w:w="3456"/>
            <w:vAlign w:val="center"/>
            <w:tcW w:w="3600" w:type="dxa"/>
            <w:tcMar>
              <w:top w:w="90" w:type="dxa"/>
              <w:bottom w:w="90" w:type="dxa"/>
              <w:left w:w="90" w:type="dxa"/>
              <w:right w:w="9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1262241729</w:t>
            </w:r>
          </w:p>
        </w:tc>
        <w:tc>
          <w:tcPr>
            <w:tcW w:type="dxa" w:w="3456"/>
            <w:vAlign w:val="center"/>
            <w:tcW w:w="5184" w:type="dxa"/>
            <w:tcMar>
              <w:top w:w="90" w:type="dxa"/>
              <w:bottom w:w="90" w:type="dxa"/>
              <w:left w:w="90" w:type="dxa"/>
              <w:right w:w="9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Aaryan Kumbhare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W w:w="1296" w:type="dxa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4</w:t>
            </w:r>
          </w:p>
        </w:tc>
        <w:tc>
          <w:tcPr>
            <w:tcW w:type="dxa" w:w="3456"/>
            <w:vAlign w:val="center"/>
            <w:tcW w:w="3600" w:type="dxa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1262241775</w:t>
            </w:r>
          </w:p>
        </w:tc>
        <w:tc>
          <w:tcPr>
            <w:tcW w:type="dxa" w:w="3456"/>
            <w:vAlign w:val="center"/>
            <w:tcW w:w="5184" w:type="dxa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9"/>
              </w:rPr>
              <w:t>Anurag Harapanahalli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  <w:jc w:val="center"/>
      </w:pPr>
      <w:r>
        <w:rPr>
          <w:rFonts w:ascii="Times New Roman" w:hAnsi="Times New Roman"/>
          <w:b/>
          <w:color w:val="141414"/>
          <w:sz w:val="22"/>
        </w:rPr>
        <w:t>1. ABSTRACT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Automated grading of Diabetic Retinopathy (DR) across the 5-point International Clinical Diabetic Retinopathy (ICDR) scale (Grade 0: No DR, Grade 1: Mild Non-Proliferative DR [NPDR], Grade 2: Moderate NPDR, Grade 3: Severe NPDR, Grade 4: Proliferative DR [PDR]) is essential for scalable screening but vulnerable to triage failure when trained with standard nominal cross-entropy. Categorical cross-entropy treats all diagnostic errors symmetrically: confusing vision-threatening PDR (Grade 4) with healthy tissue (Grade 0) incurs the same loss penalty as confusing it with Severe NPDR (Grade 3), despite the drastically different clinical consequences.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In this work, we evaluate rank-consistent ordinal formulations and regularized ensembling on the APTOS 2019 benchmark (3,662 fundus photographs) using a uniform, lightweight EfficientNet-B0 backbone (5.3M parameters). We compare five paradigms under locked stratified data splits: (A) Nominal Softmax Baseline, (B) Consistent Rank Logits (CORAL), (C) Continuous Regression with Smooth L1 loss, (D) Conditional Ordinal Regression for Neural Networks (CORN) with effective-number class weighting and differentiable Soft-QWK loss, and (E) a 3-Seed Regularized Ensemble with label smoothing (</w:t>
      </w:r>
      <m:oMath>
        <m:r>
          <m:t>α=0.08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 and test-time augmentation (TTA).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Our featured model, </w:t>
      </w:r>
      <w:r>
        <w:rPr>
          <w:rFonts w:ascii="Times New Roman" w:hAnsi="Times New Roman"/>
          <w:b/>
          <w:i w:val="0"/>
          <w:color w:val="1E1E1E"/>
          <w:sz w:val="20"/>
        </w:rPr>
        <w:t>Variant E: 3-Seed Ensemble + TTA</w:t>
      </w:r>
      <w:r>
        <w:rPr>
          <w:rFonts w:ascii="Times New Roman" w:hAnsi="Times New Roman"/>
          <w:b w:val="0"/>
          <w:i w:val="0"/>
          <w:color w:val="1E1E1E"/>
          <w:sz w:val="20"/>
        </w:rPr>
        <w:t>, achieves the highest classification accuracy (</w:t>
      </w:r>
      <w:r>
        <w:rPr>
          <w:rFonts w:ascii="Times New Roman" w:hAnsi="Times New Roman"/>
          <w:b/>
          <w:i w:val="0"/>
          <w:color w:val="1E1E1E"/>
          <w:sz w:val="20"/>
        </w:rPr>
        <w:t>83.82%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, 95% CI: [80.73%, 86.73%], vs. 83.45% for the best single seed), with Quadratic Weighted Kappa (QWK: </w:t>
      </w:r>
      <w:r>
        <w:rPr>
          <w:rFonts w:ascii="Times New Roman" w:hAnsi="Times New Roman"/>
          <w:b/>
          <w:i w:val="0"/>
          <w:color w:val="1E1E1E"/>
          <w:sz w:val="20"/>
        </w:rPr>
        <w:t>0.8859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, 95% CI: [0.8503, 0.9170]) and Mean Absolute Error (MAE: </w:t>
      </w:r>
      <w:r>
        <w:rPr>
          <w:rFonts w:ascii="Times New Roman" w:hAnsi="Times New Roman"/>
          <w:b/>
          <w:i w:val="0"/>
          <w:color w:val="1E1E1E"/>
          <w:sz w:val="20"/>
        </w:rPr>
        <w:t>0.2200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, 95% CI: [0.1727, 0.2691]) comparable to the best single seed (Seed 44: QWK 0.8901, MAE 0.2200). Its primary benefit is stability across seeds (single-seed mean 82.73% </w:t>
      </w:r>
      <m:oMath>
        <m:r>
          <m:t>→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83.82%), reducing variance across stochastic training trajectories rather than yielding a large gain over the best seed. The ensemble maintains a catastrophic triage error rate (</w:t>
      </w:r>
      <m:oMath>
        <m:r>
          <m:t>|y−</m:t>
        </m:r>
        <m:acc>
          <m:accPr>
            <m:chr m:val="̂"/>
          </m:accPr>
          <m:e>
            <m:r>
              <m:t>y</m:t>
            </m:r>
          </m:e>
        </m:acc>
        <m:r>
          <m:t>|≥2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) of </w:t>
      </w:r>
      <w:r>
        <w:rPr>
          <w:rFonts w:ascii="Times New Roman" w:hAnsi="Times New Roman"/>
          <w:b/>
          <w:i w:val="0"/>
          <w:color w:val="1E1E1E"/>
          <w:sz w:val="20"/>
        </w:rPr>
        <w:t>4.36%</w:t>
      </w:r>
      <w:r>
        <w:rPr>
          <w:rFonts w:ascii="Times New Roman" w:hAnsi="Times New Roman"/>
          <w:b w:val="0"/>
          <w:i w:val="0"/>
          <w:color w:val="1E1E1E"/>
          <w:sz w:val="20"/>
        </w:rPr>
        <w:t>. Concurrently, other formulations demonstrate specialized strengths: Variant D (CORN) delivers the highest Severe NPDR sensitivity (</w:t>
      </w:r>
      <w:r>
        <w:rPr>
          <w:rFonts w:ascii="Times New Roman" w:hAnsi="Times New Roman"/>
          <w:b/>
          <w:i w:val="0"/>
          <w:color w:val="1E1E1E"/>
          <w:sz w:val="20"/>
        </w:rPr>
        <w:t>65.7%</w:t>
      </w:r>
      <w:r>
        <w:rPr>
          <w:rFonts w:ascii="Times New Roman" w:hAnsi="Times New Roman"/>
          <w:b w:val="0"/>
          <w:i w:val="0"/>
          <w:color w:val="1E1E1E"/>
          <w:sz w:val="20"/>
        </w:rPr>
        <w:t>, 95% CI: [48.3%, 82.9%]), resolving the minority-class collapse observed in unweighted CORAL (0.0% recall) and improving upon the 36.84% reported by Shakibania et al. [2] (different dataset and task setting; not a head-to-head comparison), while Variant C (Continuous Regression) achieves the lowest overall catastrophic error rate (</w:t>
      </w:r>
      <w:r>
        <w:rPr>
          <w:rFonts w:ascii="Times New Roman" w:hAnsi="Times New Roman"/>
          <w:b/>
          <w:i w:val="0"/>
          <w:color w:val="1E1E1E"/>
          <w:sz w:val="20"/>
        </w:rPr>
        <w:t>3.8%</w:t>
      </w:r>
      <w:r>
        <w:rPr>
          <w:rFonts w:ascii="Times New Roman" w:hAnsi="Times New Roman"/>
          <w:b w:val="0"/>
          <w:i w:val="0"/>
          <w:color w:val="1E1E1E"/>
          <w:sz w:val="20"/>
        </w:rPr>
        <w:t>). Post-hoc logit adjustment on the ensemble offers an adjustable accuracy–sensitivity operating curve without retraining. These results demonstrate that combining lightweight architectures with ordinal-aware formulations provides practical, deployable decision support for clinical screening.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2850"/>
          <w:sz w:val="23"/>
        </w:rPr>
        <w:t>2. LITERATURE SURVEY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Deep learning for DR screening has evolved from binary classification to multi-stage grading and multimodal explanations. However, most published models optimize nominal cross-entropy, creating metric blindness across disease stages. In this section, we review seven representative studies, identifying their methodologies and clinical limitations.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2.1 Analysis of Existing Literature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1. Khalifa et al. (2019) — Deep Transfer Learning Models for Medical DR Detection [1]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Khalifa et al. evaluated six pre-trained CNNs (AlexNet, ResNet-18, SqueezeNet, GoogleNet, VGG-16, VGG-19) on the APTOS 2019 dataset (3,662 fundus images) across the full 5-stage ICDR scale. Although AlexNet reported 97.9% accuracy, a 4-fold offline geometric/color augmentation was executed across the aggregate dataset </w:t>
      </w:r>
      <w:r>
        <w:rPr>
          <w:rFonts w:ascii="Times New Roman" w:hAnsi="Times New Roman"/>
          <w:b w:val="0"/>
          <w:i/>
          <w:color w:val="1E1E1E"/>
          <w:sz w:val="20"/>
        </w:rPr>
        <w:t>prior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to splitting (expanding to 14,648 images), introducing cross-split data leakage. Furthermore, Grade 3 (Severe NPDR) suffered the lowest classification accuracy across all architectures (falling to 67.8% in SqueezeNet).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2. Shakibania et al. (2023) — Dual Branch Network for Detection and Stage Grading of DR [2]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Shakibania et al. designed a two-branch ResNet-50 and EfficientNet-B0 network (~30M parameters) evaluated on standalone APTOS 2019 (88.1% multi-class accuracy, 91.8% QWK) and on a selectively merged multi-center dataset (APTOS 2019, Messidor-2, IDRiD; 89.60% multi-class accuracy, 93.00% QWK). Under unweighted Complement Cross Entropy (CCE), Grade 3 (Severe NPDR) sensitivity collapsed to </w:t>
      </w:r>
      <w:r>
        <w:rPr>
          <w:rFonts w:ascii="Times New Roman" w:hAnsi="Times New Roman"/>
          <w:b/>
          <w:i w:val="0"/>
          <w:color w:val="1E1E1E"/>
          <w:sz w:val="20"/>
        </w:rPr>
        <w:t>36.84%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due to feature overlap and class imbalance. In our experiments, Variant D (CORN) achieves </w:t>
      </w:r>
      <w:r>
        <w:rPr>
          <w:rFonts w:ascii="Times New Roman" w:hAnsi="Times New Roman"/>
          <w:b/>
          <w:i w:val="0"/>
          <w:color w:val="1E1E1E"/>
          <w:sz w:val="20"/>
        </w:rPr>
        <w:t>65.7%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Severe NPDR sensitivity with a single 5.3M-parameter model, representing an absolute improvement of +28.86% with 82% fewer parameters (different dataset and task setting; not a head-to-head comparison).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3. Tymchenko, Marchenko, and Spodarets (2020) — Deep Learning Approach to DR Detection [3]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Tymchenko et al. proposed a multi-target learning paradigm that jointly trained nominal classification (Cross-Entropy + Focal loss), ordinal regression (</w:t>
      </w:r>
      <m:oMath>
        <m:r>
          <m:t>K−1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rank thresholds with binary focal loss), and continuous regression (MAE/MSE) heads on heavy ensembles of EfficientNet-B4/B5 and SE-ResNeXt-50. Pre-trained on EyePACS (35,126 images) and fine-tuned on APTOS 2019, IDRiD, and Messidor, their ensemble ranked 54th out of 2,943 teams on Kaggle with an official test QWK of 0.925. However, joint multi-task training on heavy multi-model ensembles did not isolate the independent contribution of ordinal rank loss versus continuous regression on a single compact architecture.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4. Mardianta, Arifianto, and Fatichah (2025) — CNN with SMOTE and CLAHE Applied to Fundus Images [4]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Mardianta et al. addressed class imbalance on APTOS 2019 using CLAHE and Synthetic Minority Over-sampling Technique (SMOTE) with a pre-trained Xception CNN, reporting 99.55% binary accuracy and 95.26% 5-class accuracy. However, synthesizing retinal feature vectors via linear SMOTE interpolation risks generating non-anatomical artifacts and data leakage, while treating 5-class grading as nominal cross-entropy without evaluating clinical QWK.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5. Karthik, Pandiyaraju, and Mynampati (2025) — Explainable AI for DR Detection [5]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Karthik et al. combined EfficientNetV2-B3 with channel attention and fuzzy membership classification on APTOS 2019 (366 test images), reporting 91.5% accuracy by collapsing the five ICDR stages into three coarse categories (Normal, Mild/Moderate, Severe/Proliferative). Even under this simplified 3-class scheme, their severe/proliferative sensitivity reached only 58% (missing 42% of sight-threatening cases). We preserve the full 5-tier clinical standard while attaining </w:t>
      </w:r>
      <w:r>
        <w:rPr>
          <w:rFonts w:ascii="Times New Roman" w:hAnsi="Times New Roman"/>
          <w:b/>
          <w:i w:val="0"/>
          <w:color w:val="1E1E1E"/>
          <w:sz w:val="20"/>
        </w:rPr>
        <w:t>65.7%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Severe NPDR sensitivity.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6. Khokhar et al. (2026) — Interpretable DR Grading with CNN-Transformer Ensembles and VLMs [6]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Khokhar et al. benchmarked six CNN and Transformer backbones (ResNet-50 reaching 0.919 QWK, Swin reaching 0.916 QWK) under 5-fold cross-validation with weighted soft voting and paired medical Vision-Language Models (LLaVA-Med-v1.5, 7B parameters) for rationale generation on APTOS 2019. Although multimodal explanations are valuable, the large parameter footprint limits point-of-care mobile deployment. Our framework achieves competitive diagnostic accuracy (</w:t>
      </w:r>
      <w:r>
        <w:rPr>
          <w:rFonts w:ascii="Times New Roman" w:hAnsi="Times New Roman"/>
          <w:b/>
          <w:i w:val="0"/>
          <w:color w:val="1E1E1E"/>
          <w:sz w:val="20"/>
        </w:rPr>
        <w:t>0.8859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QWK, </w:t>
      </w:r>
      <w:r>
        <w:rPr>
          <w:rFonts w:ascii="Times New Roman" w:hAnsi="Times New Roman"/>
          <w:b/>
          <w:i w:val="0"/>
          <w:color w:val="1E1E1E"/>
          <w:sz w:val="20"/>
        </w:rPr>
        <w:t>83.82%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accuracy) using a compact 5.3M-parameter backbone.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7. Manoj and Bhosale (2024) — Lesion Segmentation to Facilitate Referral Recommendation [7]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Manoj and Bhosale combined U-Net segmentation of six retinal lesion structures on IDRiD with upstream DR classification and ChatGPT-generated referral recommendations. However, segmentation requires dense pixel annotations, and unverified language model referrals risk patient safety when upstream nominal classification makes multi-grade errors. Our approach directly bounds catastrophic errors (</w:t>
      </w:r>
      <m:oMath>
        <m:r>
          <m:t>d≥2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) to </w:t>
      </w:r>
      <w:r>
        <w:rPr>
          <w:rFonts w:ascii="Times New Roman" w:hAnsi="Times New Roman"/>
          <w:b/>
          <w:i w:val="0"/>
          <w:color w:val="1E1E1E"/>
          <w:sz w:val="20"/>
        </w:rPr>
        <w:t>3.8%–4.36%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without language model dependency.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2.2 Literature Summary and Comparative Mapping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Table 1 summarizes the comparison between existing studies and our work across architectural and clinical criteria.</w:t>
      </w: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9"/>
        </w:rPr>
        <w:t>TABLE 1: Literature Survey Summary and Comparative Architecture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/>
          <w:tblHeader/>
        </w:trPr>
        <w:tc>
          <w:tcPr>
            <w:tcW w:type="dxa" w:w="1481"/>
            <w:vAlign w:val="center"/>
            <w:tcW w:w="1512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Paper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Architecture / Method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Dataset</w:t>
            </w:r>
          </w:p>
        </w:tc>
        <w:tc>
          <w:tcPr>
            <w:tcW w:type="dxa" w:w="1481"/>
            <w:vAlign w:val="center"/>
            <w:tcW w:w="936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Output Task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Key Metric</w:t>
            </w:r>
          </w:p>
        </w:tc>
        <w:tc>
          <w:tcPr>
            <w:tcW w:type="dxa" w:w="1481"/>
            <w:vAlign w:val="center"/>
            <w:tcW w:w="1728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Major Limitation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Relation to Our Work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151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Khalifa et al. [1]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AlexNet, ResNet-18, VGG16/19, CCE Loss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APTOS 2019 (3,662 imgs)</w:t>
            </w:r>
          </w:p>
        </w:tc>
        <w:tc>
          <w:tcPr>
            <w:tcW w:type="dxa" w:w="1481"/>
            <w:vAlign w:val="center"/>
            <w:tcW w:w="93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Acc: 97.9%</w:t>
            </w:r>
          </w:p>
        </w:tc>
        <w:tc>
          <w:tcPr>
            <w:tcW w:type="dxa" w:w="1481"/>
            <w:vAlign w:val="center"/>
            <w:tcW w:w="172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Pre-split 4x augmentation leakage; Severe recall dropped to 67.8%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Evaluates locked split without leakage (0.8859 QWK, 83.82% Acc)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151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Shakibania et al. [2]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Dual Branch (ResNet50 + B0), CCE Loss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APTOS 2019, Messidor-2, IDRiD</w:t>
            </w:r>
          </w:p>
        </w:tc>
        <w:tc>
          <w:tcPr>
            <w:tcW w:type="dxa" w:w="1481"/>
            <w:vAlign w:val="center"/>
            <w:tcW w:w="93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Acc: 89.60%, QWK: 0.930, Severe Rec: 36.84%</w:t>
            </w:r>
          </w:p>
        </w:tc>
        <w:tc>
          <w:tcPr>
            <w:tcW w:type="dxa" w:w="1481"/>
            <w:vAlign w:val="center"/>
            <w:tcW w:w="172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Severe sensitivity collapsed to 36.84%; ~30M params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Variant D reaches </w:t>
            </w: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65.7%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Severe Recall using 5.3M params (different dataset and task setting; not a head-to-head comparison)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151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Tymchenko et al. [3]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Multi-target (Nominal + Ordinal + Reg.), Heavy Ens.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EyePACS (35k), APTOS 2019</w:t>
            </w:r>
          </w:p>
        </w:tc>
        <w:tc>
          <w:tcPr>
            <w:tcW w:type="dxa" w:w="1481"/>
            <w:vAlign w:val="center"/>
            <w:tcW w:w="93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Test QWK: 0.925</w:t>
            </w:r>
          </w:p>
        </w:tc>
        <w:tc>
          <w:tcPr>
            <w:tcW w:type="dxa" w:w="1481"/>
            <w:vAlign w:val="center"/>
            <w:tcW w:w="172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Heavy ensemble (B4/B5/ResNeXt); heads not ablated independently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Isolates pure ordinal and single-backbone design on identical 5.3M model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151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Mardianta et al. [4]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Xception + SMOTE + CLAHE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APTOS 2019</w:t>
            </w:r>
          </w:p>
        </w:tc>
        <w:tc>
          <w:tcPr>
            <w:tcW w:type="dxa" w:w="1481"/>
            <w:vAlign w:val="center"/>
            <w:tcW w:w="93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Acc: 95.26%</w:t>
            </w:r>
          </w:p>
        </w:tc>
        <w:tc>
          <w:tcPr>
            <w:tcW w:type="dxa" w:w="1481"/>
            <w:vAlign w:val="center"/>
            <w:tcW w:w="172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SMOTE creates synthetic artifacts; nominal loss; no QWK reported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Real-image effective-number weighting; evaluates QWK and ordinal distance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151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Karthik et al. [5]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EfficientNetV2-B3 + SE Attention + Fuzzy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APTOS 2019 (366 test)</w:t>
            </w:r>
          </w:p>
        </w:tc>
        <w:tc>
          <w:tcPr>
            <w:tcW w:type="dxa" w:w="1481"/>
            <w:vAlign w:val="center"/>
            <w:tcW w:w="93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Coarse 3 classes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Acc: 91.5%, Severe Rec: 58%</w:t>
            </w:r>
          </w:p>
        </w:tc>
        <w:tc>
          <w:tcPr>
            <w:tcW w:type="dxa" w:w="1481"/>
            <w:vAlign w:val="center"/>
            <w:tcW w:w="172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Collapsed 5 classes to 3; severe sensitivity only 58%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Preserves all 5 clinical stages with 65.7% severe sensitivity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151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Khokhar et al. [6]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Swin, ResNet-50 + 7B VLMs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APTOS 2019 (5-fold CV)</w:t>
            </w:r>
          </w:p>
        </w:tc>
        <w:tc>
          <w:tcPr>
            <w:tcW w:type="dxa" w:w="1481"/>
            <w:vAlign w:val="center"/>
            <w:tcW w:w="93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QWK: 0.916–0.919</w:t>
            </w:r>
          </w:p>
        </w:tc>
        <w:tc>
          <w:tcPr>
            <w:tcW w:type="dxa" w:w="1481"/>
            <w:vAlign w:val="center"/>
            <w:tcW w:w="172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Heavy compute footprint; high latency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Lightweight 5.3M-parameter model deployable on laptop hardware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151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Manoj &amp; Bhosale [7]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UNet (6 lesions) + Classifier + ChatGPT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IDRiD, APTOS 2019</w:t>
            </w:r>
          </w:p>
        </w:tc>
        <w:tc>
          <w:tcPr>
            <w:tcW w:type="dxa" w:w="1481"/>
            <w:vAlign w:val="center"/>
            <w:tcW w:w="93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5-stage + Referral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Dice: 0.787–0.806</w:t>
            </w:r>
          </w:p>
        </w:tc>
        <w:tc>
          <w:tcPr>
            <w:tcW w:type="dxa" w:w="1481"/>
            <w:vAlign w:val="center"/>
            <w:tcW w:w="172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Requires dense masks; unverified LLM text generation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Bounds catastrophic errors (</w:t>
            </w:r>
            <m:oMath>
              <m:r>
                <m:t>d≥2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) to 3.8%–4.36%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151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This Work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EfficientNet-B0 + Variant E (Ensemble) / Variant D (CORN)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APTOS 2019 (3,662 imgs)</w:t>
            </w:r>
          </w:p>
        </w:tc>
        <w:tc>
          <w:tcPr>
            <w:tcW w:type="dxa" w:w="1481"/>
            <w:vAlign w:val="center"/>
            <w:tcW w:w="93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5-stage Grading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Acc: 83.82%, QWK: 0.8859, Severe Rec: 65.7%</w:t>
            </w:r>
          </w:p>
        </w:tc>
        <w:tc>
          <w:tcPr>
            <w:tcW w:type="dxa" w:w="1481"/>
            <w:vAlign w:val="center"/>
            <w:tcW w:w="172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Single-dataset benchmark evaluation</w:t>
            </w:r>
          </w:p>
        </w:tc>
        <w:tc>
          <w:tcPr>
            <w:tcW w:type="dxa" w:w="1481"/>
            <w:vAlign w:val="center"/>
            <w:tcW w:w="1800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Combines 83.82% accuracy, 0.8859 QWK, and 65.7% severe recall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42850"/>
          <w:sz w:val="23"/>
        </w:rPr>
        <w:t>3. PROBLEM STATEMENT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Standard deep learning models for Diabetic Retinopathy treat stage grading as nominal multiclass classification, creating metric blindness where life-threatening misclassifications incur identical loss penalties to minor adjacent errors. This project investigates distance-aware ordinal neural networks and regularized ensembling on retinal fundus imagery to improve rank consistency, suppress catastrophic multi-grade triage errors (</w:t>
      </w:r>
      <m:oMath>
        <m:r>
          <m:t>|y−</m:t>
        </m:r>
        <m:acc>
          <m:accPr>
            <m:chr m:val="̂"/>
          </m:accPr>
          <m:e>
            <m:r>
              <m:t>y</m:t>
            </m:r>
          </m:e>
        </m:acc>
        <m:r>
          <m:t>|≥2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), and elevate minority-class severe disease sensitivity under practical resource constraints.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2850"/>
          <w:sz w:val="23"/>
        </w:rPr>
        <w:t>4. OBJECTIVES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 w:val="0"/>
          <w:i w:val="0"/>
          <w:color w:val="1E1E1E"/>
          <w:sz w:val="20"/>
        </w:rPr>
        <w:t>Formulate and benchmark rank-consistent ordinal loss architectures (CORAL and CORN) against standard nominal softmax and continuous regression on the 5-point ICDR Diabetic Retinopathy scale.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 w:val="0"/>
          <w:i w:val="0"/>
          <w:color w:val="1E1E1E"/>
          <w:sz w:val="20"/>
        </w:rPr>
        <w:t>Implement effective-number class weighting and differentiable Soft-QWK loss regularization to address class imbalance without generating synthetic image artifacts.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 w:val="0"/>
          <w:i w:val="0"/>
          <w:color w:val="1E1E1E"/>
          <w:sz w:val="20"/>
        </w:rPr>
        <w:t>Feature a regularized 3-seed ensemble with test-time augmentation to maximize classification accuracy (</w:t>
      </w:r>
      <m:oMath>
        <m:r>
          <m:t>≥80%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 and QWK (</w:t>
      </w:r>
      <m:oMath>
        <m:r>
          <m:t>≥0.88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 while keeping catastrophic multi-grade misclassifications below 5% on a lightweight EfficientNet-B0 backbone.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2850"/>
          <w:sz w:val="23"/>
        </w:rPr>
        <w:t>5. SYSTEM ARCHITECTURE DIAGRAM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The diagnostic pipeline processes a raw retinal photograph through contrast enhancement, extracts representations via a regularized backbone, evaluates predictions across ordinal and ensembled heads, and maps outputs into clinical triage rules.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3C3C3C"/>
          <w:sz w:val="17"/>
        </w:rPr>
        <w:t>Fig. 1. End-to-End System Architecture Diagram: Preprocessing, EfficientNet-B0 Backbone, Ordinal Inference Pathways, and Clinical Decision Support Triage Rules.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5.1 Architectural Components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As illustrated in Fig. 1, the system comprises six components: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i w:val="0"/>
          <w:color w:val="1E1E1E"/>
          <w:sz w:val="20"/>
        </w:rPr>
        <w:t>Image Acquisition: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Digital fundus photographs exhibiting natural variations in illumination and pigmentation are acquired from screening clinics.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i w:val="0"/>
          <w:color w:val="1E1E1E"/>
          <w:sz w:val="20"/>
        </w:rPr>
        <w:t>Preprocessing Module: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 w:val="0"/>
          <w:i/>
          <w:color w:val="1E1E1E"/>
          <w:sz w:val="20"/>
        </w:rPr>
        <w:t>Circular Crop Boundary Detection: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Automatically segments the functional retinal globe, removing inactive black camera borders.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 w:val="0"/>
          <w:i/>
          <w:color w:val="1E1E1E"/>
          <w:sz w:val="20"/>
        </w:rPr>
        <w:t>Contrast Limited Adaptive Histogram Equalization (CLAHE):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Applied in CIE LAB color space on the luminance channel (</w:t>
      </w:r>
      <m:oMath>
        <m:r>
          <m:t>8×8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grid, clip limit 2.0) to enhance microaneurysms and hemorrhages.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 w:val="0"/>
          <w:i/>
          <w:color w:val="1E1E1E"/>
          <w:sz w:val="20"/>
        </w:rPr>
        <w:t>Resampling: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Images are resized to </w:t>
      </w:r>
      <m:oMath>
        <m:r>
          <m:t>224×224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pixels and standardized using ImageNet statistics.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i w:val="0"/>
          <w:color w:val="1E1E1E"/>
          <w:sz w:val="20"/>
        </w:rPr>
        <w:t>Feature Extraction Backbone (EfficientNet-B0):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The preprocessed image is processed through EfficientNet-B0 (5.3M parameters), yielding a 1280-dimensional feature vector </w:t>
      </w:r>
      <m:oMath>
        <m:r>
          <m:t>ϕ(𝐱)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via Global Average Pooling. While Variants A, B, C, and E are fine-tuned end-to-end with all layers unfrozen, Variant D (CORN) freezes the stem and first three MBConv stages (</w:t>
      </w:r>
      <w:r>
        <w:rPr>
          <w:rFonts w:ascii="Consolas" w:hAnsi="Consolas"/>
          <w:color w:val="3C3C3C"/>
          <w:sz w:val="20"/>
        </w:rPr>
        <w:t>features[:4]</w:t>
      </w:r>
      <w:r>
        <w:rPr>
          <w:rFonts w:ascii="Times New Roman" w:hAnsi="Times New Roman"/>
          <w:b w:val="0"/>
          <w:i w:val="0"/>
          <w:color w:val="1E1E1E"/>
          <w:sz w:val="20"/>
        </w:rPr>
        <w:t>) to retain generic low-level edge filters and prevent feature drift under minority-class reweighting.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i w:val="0"/>
          <w:color w:val="1E1E1E"/>
          <w:sz w:val="20"/>
        </w:rPr>
        <w:t>Inference Pathways: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 w:val="0"/>
          <w:i/>
          <w:color w:val="1E1E1E"/>
          <w:sz w:val="20"/>
        </w:rPr>
        <w:t>Ordinal Pathway (Variant D: CORN):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Evaluates 4 conditional binary classifiers regularized by Soft-QWK loss and effective-number weighting to maximize severe disease sensitivity.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 w:val="0"/>
          <w:i/>
          <w:color w:val="1E1E1E"/>
          <w:sz w:val="20"/>
        </w:rPr>
        <w:t>Featured Ensemble Pathway (Variant E: 3-Seed Ensemble + TTA):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Averages the softmax outputs of three independently trained models with label smoothing (</w:t>
      </w:r>
      <m:oMath>
        <m:r>
          <m:t>α=0.08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 over 4-way flip TTA, with optional post-hoc logit adjustment.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i w:val="0"/>
          <w:color w:val="1E1E1E"/>
          <w:sz w:val="20"/>
        </w:rPr>
        <w:t>Implementation &amp; Compute: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All models were trained on a single consumer laptop GPU using under 1 GB of VRAM with mixed-precision arithmetic.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i w:val="0"/>
          <w:color w:val="1E1E1E"/>
          <w:sz w:val="20"/>
        </w:rPr>
        <w:t>Clinical Decision Support Triage Rules: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Discrete stage predictions map to standardized clinical pathways: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Grade 4 (PDR):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Emergency Vitreoretinal Referral (&lt; 48 Hours)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Grade 3 (Severe NPDR):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Urgent Laser / Anti-VEGF Evaluation (&lt; 2 Weeks)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Grade 2 (Moderate NPDR):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Comprehensive Examination &amp; OCT Scan (&lt; 6 Months)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Grade 1 (Mild NPDR):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Surveillance Follow-up (&lt; 12 Months)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Grade 0 (No DR):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Routine Annual Tele-Screening Recall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2850"/>
          <w:sz w:val="23"/>
        </w:rPr>
        <w:t>6. IMPLEMENTATION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6.1 Dataset Characteristics and Partitioning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We evaluate our pipeline on the APTOS 2019 Blindness Detection dataset (3,662 fundus photographs) under the 5-point ICDR scale. The dataset exhibits substantial natural class imbalance (Fig. 2):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Grade 0 (No DR):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1,805 images (49.29%)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Grade 1 (Mild NPDR):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370 images (10.10%)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Grade 2 (Moderate NPDR):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999 images (27.28%)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Grade 3 (Severe NPDR):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193 images (5.27%)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Grade 4 (Proliferative DR):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295 images (8.06%)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2084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3C3C3C"/>
          <w:sz w:val="17"/>
        </w:rPr>
        <w:t>Fig. 2. Dataset Class Distribution across the 3,662 Retinal Fundus Images in APTOS 2019 under the 5-point ICDR Clinical Severity Scale.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The images were partitioned using stratified random sampling with a fixed seed (42) into three locked sets: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Training Set (70%):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2,563 images (Grade 0: 1,263; Grade 1: 259; Grade 2: 700; Grade 3: 135; Grade 4: 206)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Validation Set (15%):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549 images (Grade 0: 271; Grade 1: 55; Grade 2: 150; Grade 3: 29; Grade 4: 44)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Holdout Test Set (15%):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550 images (Grade 0: 271; Grade 1: 56; Grade 2: 149; Grade 3: 29; Grade 4: 45)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All images were preprocessed and cached in </w:t>
      </w:r>
      <w:r>
        <w:rPr>
          <w:rFonts w:ascii="Consolas" w:hAnsi="Consolas"/>
          <w:color w:val="3C3C3C"/>
          <w:sz w:val="20"/>
        </w:rPr>
        <w:t>./data/aptos2019/preprocessed_224/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for reproducible training I/O. Fig. 3 shows sample preprocessed images across each grade.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4180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mages_per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8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3C3C3C"/>
          <w:sz w:val="17"/>
        </w:rPr>
        <w:t>Fig. 3. Representative Preprocessed Retinal Fundus Photographs across the Five Clinical ICDR Grades following Circular Cropping and CIE LAB CLAHE Contrast Equalization.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6.2 Mathematical Formulation of Evaluated Paradigms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1) Variant A: Nominal Softmax Baseline and Metric Blindness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In nominal classification, the embedding </w:t>
      </w:r>
      <m:oMath>
        <m:r>
          <m:t>ϕ(𝐱)∈</m:t>
        </m:r>
        <m:sSup>
          <m:e>
            <m:r>
              <m:t>ℝ</m:t>
            </m:r>
          </m:e>
          <m:sup>
            <m:r>
              <m:t>1280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is projected via </w:t>
      </w:r>
      <m:oMath>
        <m:r>
          <m:t>𝐖∈</m:t>
        </m:r>
        <m:sSup>
          <m:e>
            <m:r>
              <m:t>ℝ</m:t>
            </m:r>
          </m:e>
          <m:sup>
            <m:r>
              <m:t>5×1280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to produce logits </w:t>
      </w:r>
      <m:oMath>
        <m:r>
          <m:t>𝐳=[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  <m:sSup>
          <m:e>
            <m:r>
              <m:t>]</m:t>
            </m:r>
          </m:e>
          <m:sup>
            <m:r>
              <m:t>T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20"/>
        </w:rPr>
        <w:t>. Probabilities are computed via the softmax function:</w:t>
      </w:r>
    </w:p>
    <w:p>
      <w:pPr>
        <w:spacing w:before="120" w:after="120"/>
        <w:jc w:val="center"/>
      </w:pPr>
      <m:oMathPara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t>)</m:t>
              </m:r>
            </m:num>
            <m:den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j=0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exp</m:t>
                  </m:r>
                  <m:r>
                    <m:t>(</m:t>
                  </m:r>
                </m:e>
              </m:nary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)</m:t>
              </m:r>
            </m:den>
          </m:f>
          <m:r>
            <m:t>,</m:t>
          </m:r>
          <m:r>
            <m:t>k∈{0,1,2,3,4}</m:t>
          </m:r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The loss is categorical cross-entropy:</w:t>
      </w:r>
    </w:p>
    <w:p>
      <w:pPr>
        <w:spacing w:before="120" w:after="120"/>
        <w:jc w:val="center"/>
      </w:pPr>
      <m:oMathPara>
        <m:oMath>
          <m:sSub>
            <m:e>
              <m:r>
                <m:t>ℒ</m:t>
              </m:r>
            </m:e>
            <m:sub>
              <m:r>
                <m:t>CE</m:t>
              </m:r>
            </m:sub>
          </m:sSub>
          <m:r>
            <m:t>=−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k=0</m:t>
              </m:r>
            </m:sub>
            <m:sup>
              <m:r>
                <m:t>4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k</m:t>
              </m:r>
            </m:sub>
          </m:sSub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/>
          <w:i w:val="0"/>
          <w:color w:val="1E1E1E"/>
          <w:sz w:val="20"/>
        </w:rPr>
        <w:t>Metric Blindness Property: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Consider true class </w:t>
      </w:r>
      <m:oMath>
        <m:r>
          <m:t>y=4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(</w:t>
      </w:r>
      <m:oMath>
        <m:r>
          <m:t>𝐲=[0,0,0,0,1</m:t>
        </m:r>
        <m:sSup>
          <m:e>
            <m:r>
              <m:t>]</m:t>
            </m:r>
          </m:e>
          <m:sup>
            <m:r>
              <m:t>T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). For any model outputting probability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4</m:t>
            </m:r>
          </m:sub>
        </m:sSub>
        <m:r>
          <m:t>=0.05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on the true class, the loss is:</w:t>
      </w:r>
    </w:p>
    <w:p>
      <w:pPr>
        <w:spacing w:before="120" w:after="120"/>
        <w:jc w:val="center"/>
      </w:pPr>
      <m:oMathPara>
        <m:oMath>
          <m:sSub>
            <m:e>
              <m:r>
                <m:t>ℒ</m:t>
              </m:r>
            </m:e>
            <m:sub>
              <m:r>
                <m:t>CE</m:t>
              </m:r>
            </m:sub>
          </m:sSub>
          <m:r>
            <m:t>=−</m:t>
          </m:r>
          <m:r>
            <m:rPr>
              <m:sty m:val="p"/>
            </m:rPr>
            <m:t>log</m:t>
          </m:r>
          <m:r>
            <m:t>(0.05)≈2.9957</m:t>
          </m:r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Whether the remaining 0.95 probability is assigned to Grade 3 (</w:t>
      </w:r>
      <m:oMath>
        <m:r>
          <m:t>|4−3|=1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, safe error) or Grade 0 (</w:t>
      </w:r>
      <m:oMath>
        <m:r>
          <m:t>|4−0|=4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, dangerous discharge), the cross-entropy loss and gradient </w:t>
      </w:r>
      <m:oMath>
        <m:f>
          <m:fPr>
            <m:type m:val="bar"/>
          </m:fPr>
          <m:num>
            <m:r>
              <m:t>∂</m:t>
            </m:r>
            <m:sSub>
              <m:e>
                <m:r>
                  <m:t>ℒ</m:t>
                </m:r>
              </m:e>
              <m:sub>
                <m:r>
                  <m:t>CE</m:t>
                </m:r>
              </m:sub>
            </m:sSub>
          </m:num>
          <m:den>
            <m:r>
              <m:t>∂</m:t>
            </m:r>
            <m:sSub>
              <m:e>
                <m:r>
                  <m:t>z</m:t>
                </m:r>
              </m:e>
              <m:sub>
                <m:r>
                  <m:t>k</m:t>
                </m:r>
              </m:sub>
            </m:sSub>
          </m:den>
        </m:f>
        <m:r>
          <m:t>=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treat non-target errors symmetrically.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2) Variant B: Consistent Rank Logits (CORAL)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CORAL [8] decomposes the 5-class problem into </w:t>
      </w:r>
      <m:oMath>
        <m:r>
          <m:t>K−1=4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binary tasks:</w:t>
      </w:r>
    </w:p>
    <w:p>
      <w:pPr>
        <w:spacing w:before="120" w:after="120"/>
        <w:jc w:val="center"/>
      </w:pPr>
      <m:oMathPara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</m:rPr>
                      <m:t>if </m:t>
                    </m:r>
                    <m:r>
                      <m:t>y&gt;k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m:t>,</m:t>
          </m:r>
          <m:r>
            <m:t>k∈{0,1,2,3}</m:t>
          </m:r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A shared weight vector </w:t>
      </w:r>
      <m:oMath>
        <m:r>
          <m:t>𝐰∈</m:t>
        </m:r>
        <m:sSup>
          <m:e>
            <m:r>
              <m:t>ℝ</m:t>
            </m:r>
          </m:e>
          <m:sup>
            <m:r>
              <m:t>1280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and independent biases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form the cumulative probabilities:</w:t>
      </w:r>
    </w:p>
    <w:p>
      <w:pPr>
        <w:spacing w:before="120" w:after="120"/>
        <w:jc w:val="center"/>
      </w:pPr>
      <m:oMathPara>
        <m:oMath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(𝐱)=</m:t>
          </m:r>
          <m:sSup>
            <m:e>
              <m:r>
                <m:t>𝐰</m:t>
              </m:r>
            </m:e>
            <m:sup>
              <m:r>
                <m:t>T</m:t>
              </m:r>
            </m:sup>
          </m:sSup>
          <m:r>
            <m:t>ϕ(𝐱)+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t>,</m:t>
          </m:r>
          <m:acc>
            <m:accPr>
              <m:chr m:val="̂"/>
            </m:accPr>
            <m:e>
              <m:r>
                <m:t>P</m:t>
              </m:r>
            </m:e>
          </m:acc>
          <m:r>
            <m:t>(y&gt;k∣𝐱)=σ(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(𝐱))</m:t>
          </m:r>
        </m:oMath>
      </m:oMathPara>
    </w:p>
    <w:p>
      <w:pPr>
        <w:spacing w:before="120" w:after="120"/>
        <w:jc w:val="center"/>
      </w:pPr>
      <m:oMathPara>
        <m:oMath>
          <m:sSub>
            <m:e>
              <m:r>
                <m:t>ℒ</m:t>
              </m:r>
            </m:e>
            <m:sub>
              <m:r>
                <m:t>CORAL</m:t>
              </m:r>
            </m:sub>
          </m:sSub>
          <m:r>
            <m:t>=−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k=0</m:t>
              </m:r>
            </m:sub>
            <m:sup>
              <m:r>
                <m:t>3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σ</m:t>
                  </m:r>
                  <m:r>
                    <m:t>(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(</m:t>
                  </m:r>
                  <m:r>
                    <m:t>𝐱</m:t>
                  </m:r>
                  <m:r>
                    <m:t>)</m:t>
                  </m:r>
                  <m:r>
                    <m:t>)</m:t>
                  </m:r>
                  <m:r>
                    <m:t>+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r>
                    <m:t>σ</m:t>
                  </m:r>
                  <m:r>
                    <m:t>(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(</m:t>
                  </m:r>
                  <m:r>
                    <m:t>𝐱</m:t>
                  </m:r>
                  <m:r>
                    <m:t>)</m:t>
                  </m:r>
                  <m:r>
                    <m:t>)</m:t>
                  </m:r>
                  <m:r>
                    <m:t>)</m:t>
                  </m:r>
                </m:e>
              </m:d>
            </m:e>
          </m:nary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In unweighted CORAL, every sample updates all four binary tasks. In our imbalanced dataset (Grade 0: 1,263 vs. Grade 3: 135), negative gradients from healthy retinas dominate the shared projection </w:t>
      </w:r>
      <m:oMath>
        <m:r>
          <m:t>𝐰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, leading to empirical collapse on Grade 3 (0.0% recall).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3) Variant C: Continuous Regression with Smooth L1 Loss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Continuous regression maps </w:t>
      </w:r>
      <m:oMath>
        <m:r>
          <m:t>ϕ(𝐱)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to a scalar </w:t>
      </w:r>
      <m:oMath>
        <m:acc>
          <m:accPr>
            <m:chr m:val="̂"/>
          </m:accPr>
          <m:e>
            <m:r>
              <m:t>s</m:t>
            </m:r>
          </m:e>
        </m:acc>
        <m:r>
          <m:t>∈ℝ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:</w:t>
      </w:r>
    </w:p>
    <w:p>
      <w:pPr>
        <w:spacing w:before="120" w:after="120"/>
        <w:jc w:val="center"/>
      </w:pPr>
      <m:oMathPara>
        <m:oMath>
          <m:acc>
            <m:accPr>
              <m:chr m:val="̂"/>
            </m:accPr>
            <m:e>
              <m:r>
                <m:t>s</m:t>
              </m:r>
            </m:e>
          </m:acc>
          <m:r>
            <m:t>=</m:t>
          </m:r>
          <m:sSup>
            <m:e>
              <m:r>
                <m:t>𝐰</m:t>
              </m:r>
            </m:e>
            <m:sup>
              <m:r>
                <m:t>T</m:t>
              </m:r>
            </m:sup>
          </m:sSup>
          <m:r>
            <m:t>ϕ(𝐱)+b</m:t>
          </m:r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The network is trained with Smooth L1 loss:</w:t>
      </w:r>
    </w:p>
    <w:p>
      <w:pPr>
        <w:spacing w:before="120" w:after="120"/>
        <w:jc w:val="center"/>
      </w:pPr>
      <m:oMathPara>
        <m:oMath>
          <m:sSub>
            <m:e>
              <m:r>
                <m:t>ℒ</m:t>
              </m:r>
            </m:e>
            <m:sub>
              <m:r>
                <m:t>SmoothL1</m:t>
              </m:r>
            </m:sub>
          </m:sSub>
          <m:r>
            <m:t>(y,</m:t>
          </m:r>
          <m:acc>
            <m:accPr>
              <m:chr m:val="̂"/>
            </m:accPr>
            <m:e>
              <m:r>
                <m:t>s</m:t>
              </m:r>
            </m:e>
          </m:acc>
          <m:r>
            <m:t>)=</m:t>
          </m:r>
          <m:d>
            <m:dPr>
              <m:begChr m:val="{"/>
              <m:sepChr m:val="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0.5(y−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m:t>if </m:t>
                    </m:r>
                    <m:r>
                      <m:t>|y−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  <m:r>
                      <m:t>|&lt;1.0</m:t>
                    </m:r>
                  </m:e>
                </m:mr>
                <m:mr>
                  <m:e>
                    <m:r>
                      <m:t>|y−</m:t>
                    </m:r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  <m:r>
                      <m:t>|−0.5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Discrete predictions are obtained by clipping and rounding: </w:t>
      </w:r>
      <m:oMath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rPr>
            <m:nor/>
          </m:rPr>
          <m:t>round</m:t>
        </m:r>
        <m:r>
          <m:t>(</m:t>
        </m:r>
        <m:r>
          <m:rPr>
            <m:nor/>
          </m:rPr>
          <m:t>clip</m:t>
        </m:r>
        <m:r>
          <m:t>(</m:t>
        </m:r>
        <m:acc>
          <m:accPr>
            <m:chr m:val="̂"/>
          </m:accPr>
          <m:e>
            <m:r>
              <m:t>s</m:t>
            </m:r>
          </m:e>
        </m:acc>
        <m:r>
          <m:t>,0.0,4.0))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. Distance penalties reduce large multi-grade errors.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4) Variant D (CORN): Conditional Ordinal Regression with Class Weighting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CORN [13] models the conditional probability of exceeding rank </w:t>
      </w:r>
      <m:oMath>
        <m:r>
          <m:t>k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, given that rank </w:t>
      </w:r>
      <m:oMath>
        <m:r>
          <m:t>k−1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was reached:</w:t>
      </w:r>
    </w:p>
    <w:p>
      <w:pPr>
        <w:spacing w:before="120" w:after="120"/>
        <w:jc w:val="center"/>
      </w:pPr>
      <m:oMathPara>
        <m:oMath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t>(𝐱)=P(y&gt;k∣y&gt;k−1)=σ(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(𝐱)),</m:t>
          </m:r>
          <m:r>
            <m:t>k∈{0,1,2,3}</m:t>
          </m:r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Unconditional cumulative probabilities follow via the product rule:</w:t>
      </w:r>
    </w:p>
    <w:p>
      <w:pPr>
        <w:spacing w:before="120" w:after="120"/>
        <w:jc w:val="center"/>
      </w:pPr>
      <m:oMathPara>
        <m:oMath>
          <m:r>
            <m:t>P(y&gt;k∣𝐱)=</m:t>
          </m:r>
          <m:nary>
            <m:naryPr>
              <m:chr m:val="∏"/>
              <m:limLoc m:val="subSup"/>
              <m:grow m:val="1"/>
              <m:subHide m:val="off"/>
              <m:supHide m:val="off"/>
            </m:naryPr>
            <m:sub>
              <m:r>
                <m:t>j=0</m:t>
              </m:r>
            </m:sub>
            <m:sup>
              <m:r>
                <m:t>k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(𝐱)</m:t>
          </m:r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A sample with label </w:t>
      </w:r>
      <m:oMath>
        <m:r>
          <m:t>y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participates only in binary tasks up to its label:</w:t>
      </w:r>
    </w:p>
    <w:p>
      <w:pPr>
        <w:spacing w:before="120" w:after="120"/>
        <w:jc w:val="center"/>
      </w:pPr>
      <m:oMathPara>
        <m:oMath>
          <m:sSub>
            <m:e>
              <m:r>
                <m:t>ℒ</m:t>
              </m:r>
            </m:e>
            <m:sub>
              <m:r>
                <m:t>CORN</m:t>
              </m:r>
            </m:sub>
          </m:sSub>
          <m:r>
            <m:t>(𝐱,y)=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min(y+1,K−1)</m:t>
              </m:r>
            </m:den>
          </m:f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k=0</m:t>
              </m:r>
            </m:sub>
            <m:sup>
              <m:r>
                <m:t>min(y,K−2)</m:t>
              </m:r>
            </m:sup>
            <m:e>
              <m:r>
                <m:rPr>
                  <m:nor/>
                </m:rPr>
                <m:t>BCE</m:t>
              </m:r>
              <m:r>
                <m:t>(</m:t>
              </m:r>
            </m:e>
          </m:nary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(𝐱),𝕀(y&gt;k))</m:t>
          </m:r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To counteract remaining imbalance, we incorporate effective-number class weighting (Cui et al. [14], </w:t>
      </w:r>
      <m:oMath>
        <m:r>
          <m:t>β=0.9999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):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t>=0.2269,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=1.0529,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=0.3987,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t>=2.0075,</m:t>
        </m:r>
        <m:sSub>
          <m:e>
            <m:r>
              <m:t>W</m:t>
            </m:r>
          </m:e>
          <m:sub>
            <m:r>
              <m:t>4</m:t>
            </m:r>
          </m:sub>
        </m:sSub>
        <m:r>
          <m:t>=1.3140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, alongside differentiable Soft-QWK loss regularization:</w:t>
      </w:r>
    </w:p>
    <w:p>
      <w:pPr>
        <w:spacing w:before="120" w:after="120"/>
        <w:jc w:val="center"/>
      </w:pPr>
      <m:oMathPara>
        <m:oMath>
          <m:sSub>
            <m:e>
              <m:r>
                <m:t>ℒ</m:t>
              </m:r>
            </m:e>
            <m:sub>
              <m:r>
                <m:t>total</m:t>
              </m:r>
            </m:sub>
          </m:sSub>
          <m:r>
            <m:t>=</m:t>
          </m:r>
          <m:sSub>
            <m:e>
              <m:r>
                <m:t>ℒ</m:t>
              </m:r>
            </m:e>
            <m:sub>
              <m:r>
                <m:t>CORN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t>QWK</m:t>
              </m:r>
            </m:sub>
          </m:sSub>
          <m:r>
            <m:t>·</m:t>
          </m:r>
          <m:sSub>
            <m:e>
              <m:r>
                <m:t>ℒ</m:t>
              </m:r>
            </m:e>
            <m:sub>
              <m:r>
                <m:t>SoftQWK</m:t>
              </m:r>
            </m:sub>
          </m:sSub>
          <m:r>
            <m:t>,</m:t>
          </m:r>
          <m:sSub>
            <m:e>
              <m:r>
                <m:t>λ</m:t>
              </m:r>
            </m:e>
            <m:sub>
              <m:r>
                <m:t>QWK</m:t>
              </m:r>
            </m:sub>
          </m:sSub>
          <m:r>
            <m:t>=0.20</m:t>
          </m:r>
        </m:oMath>
      </m:oMathPara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5) Variant E: 3-Seed Ensemble + TTA with Label Smoothing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For applications prioritizing overall diagnostic accuracy, we implement a multi-seed ensembled architecture: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Label Smoothing: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Targets are smoothed with </w:t>
      </w:r>
      <m:oMath>
        <m:r>
          <m:t>α=0.08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:</w:t>
      </w:r>
    </w:p>
    <w:p>
      <w:pPr>
        <w:spacing w:before="120" w:after="120"/>
        <w:jc w:val="center"/>
      </w:pPr>
      <m:oMathPara>
        <m:oMath>
          <m:sSubSup>
            <m:e>
              <m:r>
                <m:t>y</m:t>
              </m:r>
            </m:e>
            <m:sub>
              <m:r>
                <m:t>k</m:t>
              </m:r>
            </m:sub>
            <m:sup>
              <m:r>
                <m:t>LS</m:t>
              </m:r>
            </m:sup>
          </m:sSubSup>
          <m:r>
            <m:t>=(1−α)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K</m:t>
              </m:r>
            </m:den>
          </m:f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reducing overconfidence on ambiguous retinal lesions.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Multi-Seed Ensembling and TTA: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Three models are trained independently across random seeds </w:t>
      </w:r>
      <m:oMath>
        <m:d>
          <m:dPr>
            <m:begChr m:val="{"/>
            <m:sepChr m:val=","/>
            <m:endChr m:val="}"/>
          </m:dPr>
          <m:e>
            <m:r>
              <m:t>42</m:t>
            </m:r>
          </m:e>
          <m:e>
            <m:r>
              <m:t>43</m:t>
            </m:r>
          </m:e>
          <m:e>
            <m:r>
              <m:t>44</m:t>
            </m:r>
          </m:e>
        </m:d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for 12 epochs each. At inference time, 4-way flip TTA (original, horizontal, vertical, both) is applied, and softmax probabilities are averaged across the three models.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Post-Hoc Logit Adjustment (Sensitivity Analysis):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Unnormalized logits can be adjusted by class priors </w:t>
      </w:r>
      <m:oMath>
        <m:sSub>
          <m:e>
            <m:r>
              <m:t>π</m:t>
            </m:r>
          </m:e>
          <m:sub>
            <m:r>
              <m:t>y</m:t>
            </m:r>
          </m:sub>
        </m:sSub>
      </m:oMath>
      <w:r>
        <w:rPr>
          <w:rFonts w:ascii="Times New Roman" w:hAnsi="Times New Roman"/>
          <w:b w:val="0"/>
          <w:i w:val="0"/>
          <w:color w:val="1E1E1E"/>
          <w:sz w:val="20"/>
        </w:rPr>
        <w:t>:</w:t>
      </w:r>
    </w:p>
    <w:p>
      <w:pPr>
        <w:spacing w:before="120" w:after="120"/>
        <w:jc w:val="center"/>
      </w:pPr>
      <m:oMathPara>
        <m:oMath>
          <m:sSub>
            <m:e>
              <m:limUpp>
                <m:e>
                  <m:r>
                    <m:t>f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y</m:t>
              </m:r>
            </m:sub>
          </m:sSub>
          <m:r>
            <m:t>(𝐱)=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t>(𝐱)−τ·</m:t>
          </m:r>
          <m:r>
            <m:rPr>
              <m:sty m:val="p"/>
            </m:rPr>
            <m:t>log</m:t>
          </m:r>
          <m:r>
            <m:t>(</m:t>
          </m:r>
          <m:sSub>
            <m:e>
              <m:r>
                <m:t>π</m:t>
              </m:r>
            </m:e>
            <m:sub>
              <m:r>
                <m:t>y</m:t>
              </m:r>
            </m:sub>
          </m:sSub>
          <m:r>
            <m:t>)</m:t>
          </m:r>
        </m:oMath>
      </m:oMathPara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 xml:space="preserve">where </w:t>
      </w:r>
      <m:oMath>
        <m:r>
          <m:t>τ≥0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. In this study, temperature sweeps across </w:t>
      </w:r>
      <m:oMath>
        <m:r>
          <m:t>τ∈{0.0,0.5,1.0,1.5}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are evaluated on the test set strictly as a post-hoc sensitivity analysis to document the accuracy–sensitivity trade-off.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6.3 Training and Hyperparameter Configurations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To ensure experimental transparency and reproducibility, Table 2 details the hyperparameter configurations across all five model variants. All models shared an identical pretrained EfficientNet-B0 backbone (5.3M parameters), AdamW optimizer (</w:t>
      </w:r>
      <m:oMath>
        <m:r>
          <m:t>lr=3×</m:t>
        </m:r>
        <m:sSup>
          <m:e>
            <m:r>
              <m:t>10</m:t>
            </m:r>
          </m:e>
          <m:sup>
            <m:r>
              <m:t>−4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, weight decay </w:t>
      </w:r>
      <m:oMath>
        <m:r>
          <m:t>1×</m:t>
        </m:r>
        <m:sSup>
          <m:e>
            <m:r>
              <m:t>10</m:t>
            </m:r>
          </m:e>
          <m:sup>
            <m:r>
              <m:t>−2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20"/>
        </w:rPr>
        <w:t>), batch size of 16, and Cosine Annealing learning rate schedule. However, training protocols differed in targeted ways: Variants A–C were trained for 8 epochs under standard augmentations with all layers unfrozen on a single run (seed 42). Variant D (CORN) introduced early-block freezing (stages 0–3 frozen to stabilize low-level edge features), class-balanced effective-number weighting, and a WeightedRandomSampler over 8 epochs. Variant E employed an extended 12-epoch training budget per seed, label smoothing (</w:t>
      </w:r>
      <m:oMath>
        <m:r>
          <m:t>α=0.08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), safe-light augmentations, and sequential 3-seed ensembling with test-time augmentation.</w:t>
      </w: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9"/>
        </w:rPr>
        <w:t>TABLE 2: Training and Hyperparameter Configurations Across Model Variants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Hyperparameter / Setting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Variant A (Softmax)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Variant B (CORAL)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Variant C (Regression)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Variant D (CORN)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Variant E (Ensemble)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Target Epochs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12 (per seed)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Optimizer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AdamW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AdamW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AdamW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AdamW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AdamW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Learning Rate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3×</m:t>
              </m:r>
              <m:sSup>
                <m:e>
                  <m:r>
                    <m:t>10</m:t>
                  </m:r>
                </m:e>
                <m:sup>
                  <m:r>
                    <m:t>−4</m:t>
                  </m:r>
                </m:sup>
              </m:sSup>
            </m:oMath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3×</m:t>
              </m:r>
              <m:sSup>
                <m:e>
                  <m:r>
                    <m:t>10</m:t>
                  </m:r>
                </m:e>
                <m:sup>
                  <m:r>
                    <m:t>−4</m:t>
                  </m:r>
                </m:sup>
              </m:sSup>
            </m:oMath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3×</m:t>
              </m:r>
              <m:sSup>
                <m:e>
                  <m:r>
                    <m:t>10</m:t>
                  </m:r>
                </m:e>
                <m:sup>
                  <m:r>
                    <m:t>−4</m:t>
                  </m:r>
                </m:sup>
              </m:sSup>
            </m:oMath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3×</m:t>
              </m:r>
              <m:sSup>
                <m:e>
                  <m:r>
                    <m:t>10</m:t>
                  </m:r>
                </m:e>
                <m:sup>
                  <m:r>
                    <m:t>−4</m:t>
                  </m:r>
                </m:sup>
              </m:sSup>
            </m:oMath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3×</m:t>
              </m:r>
              <m:sSup>
                <m:e>
                  <m:r>
                    <m:t>10</m:t>
                  </m:r>
                </m:e>
                <m:sup>
                  <m:r>
                    <m:t>−4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Weight Decay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m:oMath>
              <m:r>
                <m:t>1×</m:t>
              </m:r>
              <m:sSup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oMath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m:oMath>
              <m:r>
                <m:t>1×</m:t>
              </m:r>
              <m:sSup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oMath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m:oMath>
              <m:r>
                <m:t>1×</m:t>
              </m:r>
              <m:sSup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oMath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m:oMath>
              <m:r>
                <m:t>1×</m:t>
              </m:r>
              <m:sSup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oMath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m:oMath>
              <m:r>
                <m:t>1×</m:t>
              </m:r>
              <m:sSup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Batch Size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16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16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16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16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LR Scheduler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Cosine Annealing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Cosine Annealing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Cosine Annealing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Cosine Annealing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Cosine Annealing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Frozen Layers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 (All unfrozen)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 (All unfrozen)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 (All unfrozen)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Stages 0–3 frozen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 (All unfrozen)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Augmentation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Flips, Rot </w:t>
            </w:r>
            <m:oMath>
              <m:r>
                <m:t>±</m:t>
              </m:r>
              <m:sSup>
                <m:e>
                  <m:r>
                    <m:t>25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, Jitter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Flips, Rot </w:t>
            </w:r>
            <m:oMath>
              <m:r>
                <m:t>±</m:t>
              </m:r>
              <m:sSup>
                <m:e>
                  <m:r>
                    <m:t>25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, Jitter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Flips, Rot </w:t>
            </w:r>
            <m:oMath>
              <m:r>
                <m:t>±</m:t>
              </m:r>
              <m:sSup>
                <m:e>
                  <m:r>
                    <m:t>25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, Jitter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Flips, Rot </w:t>
            </w:r>
            <m:oMath>
              <m:r>
                <m:t>±</m:t>
              </m:r>
              <m:sSup>
                <m:e>
                  <m:r>
                    <m:t>25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, Jitter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Flips, Affine </w:t>
            </w:r>
            <m:oMath>
              <m:r>
                <m:t>±</m:t>
              </m:r>
              <m:sSup>
                <m:e>
                  <m:r>
                    <m:t>15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, Light Jitter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Label Smoothing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N/A (Binary BCE)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N/A (Smooth L1)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None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m:oMath>
              <m:r>
                <m:t>α=0.08</m:t>
              </m:r>
            </m:oMath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Imbalance Strategy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Natural distribution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Natural distribution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Natural distribution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Cui et al. Weights + Sampler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Natural distribution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20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Number of Seeds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 (Seed 42)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 (Seed 42)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 (Seed 42)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 (Seed 42)</w:t>
            </w:r>
          </w:p>
        </w:tc>
        <w:tc>
          <w:tcPr>
            <w:tcW w:type="dxa" w:w="1728"/>
            <w:vAlign w:val="center"/>
            <w:tcW w:w="151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3 (Seeds 42, 43, 44)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42850"/>
          <w:sz w:val="23"/>
        </w:rPr>
        <w:t>7. RESULTS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All models were evaluated on the locked holdout test set of 550 images, which was not used during training or checkpoint selection.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7.1 Comprehensive Comparison Across Model Variants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Table 3 presents the complete performance comparison across all five paradigms. Table 4 breaks down sensitivity, precision, and F1-scores with 95% bootstrap confidence intervals (1,000 resamples).</w:t>
      </w: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9"/>
        </w:rPr>
        <w:t>TABLE 3: Comprehensive Performance Comparison Across Model Variants on APTOS 2019 Holdout Test Set (N = 550)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cantSplit/>
          <w:tblHeader/>
        </w:trPr>
        <w:tc>
          <w:tcPr>
            <w:tcW w:type="dxa" w:w="115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Model Variant</w:t>
            </w:r>
          </w:p>
        </w:tc>
        <w:tc>
          <w:tcPr>
            <w:tcW w:type="dxa" w:w="115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QWK (Primary) [95% CI]</w:t>
            </w:r>
          </w:p>
        </w:tc>
        <w:tc>
          <w:tcPr>
            <w:tcW w:type="dxa" w:w="115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Accuracy (%)</w:t>
            </w:r>
          </w:p>
        </w:tc>
        <w:tc>
          <w:tcPr>
            <w:tcW w:type="dxa" w:w="1152"/>
            <w:vAlign w:val="center"/>
            <w:tcW w:w="1080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MAE [95% CI]</w:t>
            </w:r>
          </w:p>
        </w:tc>
        <w:tc>
          <w:tcPr>
            <w:tcW w:type="dxa" w:w="115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Catastrophic Error (</w:t>
            </w:r>
            <m:oMath>
              <m:r>
                <m:t>d≥2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) [95% CI]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Severe F1 (Grade 3)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PDR F1 (Grade 4)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Exact Match (</w:t>
            </w:r>
            <m:oMath>
              <m:r>
                <m:t>d=0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)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Off-by-1 (</w:t>
            </w:r>
            <m:oMath>
              <m:r>
                <m:t>d=1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Variant A: Softmax Baseline</w:t>
            </w:r>
          </w:p>
        </w:tc>
        <w:tc>
          <w:tcPr>
            <w:tcW w:type="dxa" w:w="115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0.8724 [0.8385, 0.9044]</w:t>
            </w:r>
          </w:p>
        </w:tc>
        <w:tc>
          <w:tcPr>
            <w:tcW w:type="dxa" w:w="115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80.18%</w:t>
            </w:r>
          </w:p>
        </w:tc>
        <w:tc>
          <w:tcPr>
            <w:tcW w:type="dxa" w:w="1152"/>
            <w:vAlign w:val="center"/>
            <w:tcW w:w="1080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0.2673 [0.2182, 0.3200]</w:t>
            </w:r>
          </w:p>
        </w:tc>
        <w:tc>
          <w:tcPr>
            <w:tcW w:type="dxa" w:w="115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5.64% [3.64%, 7.64%]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0.3810 [0.2221, 0.5313]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0.5169 [0.3830, 0.6377]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80.2%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14.2%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Variant B: CORAL Ordinal</w:t>
            </w:r>
          </w:p>
        </w:tc>
        <w:tc>
          <w:tcPr>
            <w:tcW w:type="dxa" w:w="115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0.7273 [0.6874, 0.7641]</w:t>
            </w:r>
          </w:p>
        </w:tc>
        <w:tc>
          <w:tcPr>
            <w:tcW w:type="dxa" w:w="115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59.64%</w:t>
            </w:r>
          </w:p>
        </w:tc>
        <w:tc>
          <w:tcPr>
            <w:tcW w:type="dxa" w:w="1152"/>
            <w:vAlign w:val="center"/>
            <w:tcW w:w="108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0.6964 [0.6200, 0.7710]</w:t>
            </w:r>
          </w:p>
        </w:tc>
        <w:tc>
          <w:tcPr>
            <w:tcW w:type="dxa" w:w="115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26.40% [22.90%, 30.20%]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0.0000 [0.0000, 0.0000]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0.3692 [0.2857, 0.4502]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59.6%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14.0%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Variant C: Continuous Regression</w:t>
            </w:r>
          </w:p>
        </w:tc>
        <w:tc>
          <w:tcPr>
            <w:tcW w:type="dxa" w:w="115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0.8788 [0.8490, 0.9039]</w:t>
            </w:r>
          </w:p>
        </w:tc>
        <w:tc>
          <w:tcPr>
            <w:tcW w:type="dxa" w:w="115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75.64%</w:t>
            </w:r>
          </w:p>
        </w:tc>
        <w:tc>
          <w:tcPr>
            <w:tcW w:type="dxa" w:w="1152"/>
            <w:vAlign w:val="center"/>
            <w:tcW w:w="1080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0.2873 [0.2400, 0.3364]</w:t>
            </w:r>
          </w:p>
        </w:tc>
        <w:tc>
          <w:tcPr>
            <w:tcW w:type="dxa" w:w="115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3.80%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 xml:space="preserve"> [2.40%, 5.50%]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0.2528 [0.1333, 0.3704]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0.3589 [0.2034, 0.5067]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75.6%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20.5%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Variant D (CORN): Conditional Ordinal</w:t>
            </w:r>
          </w:p>
        </w:tc>
        <w:tc>
          <w:tcPr>
            <w:tcW w:type="dxa" w:w="115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0.8482 [0.8150, 0.8792]</w:t>
            </w:r>
          </w:p>
        </w:tc>
        <w:tc>
          <w:tcPr>
            <w:tcW w:type="dxa" w:w="115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69.09%</w:t>
            </w:r>
          </w:p>
        </w:tc>
        <w:tc>
          <w:tcPr>
            <w:tcW w:type="dxa" w:w="1152"/>
            <w:vAlign w:val="center"/>
            <w:tcW w:w="108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0.3764 [0.3200, 0.4291]</w:t>
            </w:r>
          </w:p>
        </w:tc>
        <w:tc>
          <w:tcPr>
            <w:tcW w:type="dxa" w:w="115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5.10% [3.30%, 7.10%]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0.2724 [0.1746, 0.3735]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0.4584 [0.3124, 0.5909]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69.1%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25.8%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W w:w="223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Variant E: 3-Seed Ensemble + TTA</w:t>
            </w:r>
          </w:p>
        </w:tc>
        <w:tc>
          <w:tcPr>
            <w:tcW w:type="dxa" w:w="1152"/>
            <w:vAlign w:val="center"/>
            <w:tcW w:w="122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0.8859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 xml:space="preserve"> [0.8503, 0.9170]</w:t>
            </w:r>
          </w:p>
        </w:tc>
        <w:tc>
          <w:tcPr>
            <w:tcW w:type="dxa" w:w="1152"/>
            <w:vAlign w:val="center"/>
            <w:tcW w:w="79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83.82%</w:t>
            </w:r>
          </w:p>
        </w:tc>
        <w:tc>
          <w:tcPr>
            <w:tcW w:type="dxa" w:w="1152"/>
            <w:vAlign w:val="center"/>
            <w:tcW w:w="1080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0.2200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 xml:space="preserve"> [0.1727, 0.2691]</w:t>
            </w:r>
          </w:p>
        </w:tc>
        <w:tc>
          <w:tcPr>
            <w:tcW w:type="dxa" w:w="1152"/>
            <w:vAlign w:val="center"/>
            <w:tcW w:w="1152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>4.36% [2.73%, 6.18%]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0.4561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 xml:space="preserve"> [0.2999, 0.6134]</w:t>
            </w:r>
          </w:p>
        </w:tc>
        <w:tc>
          <w:tcPr>
            <w:tcW w:type="dxa" w:w="1152"/>
            <w:vAlign w:val="center"/>
            <w:tcW w:w="936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0.5570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4"/>
              </w:rPr>
              <w:t xml:space="preserve"> [0.4179, 0.6739]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83.8%</w:t>
            </w:r>
          </w:p>
        </w:tc>
        <w:tc>
          <w:tcPr>
            <w:tcW w:type="dxa" w:w="1152"/>
            <w:vAlign w:val="center"/>
            <w:tcW w:w="864" w:type="dxa"/>
            <w:tcMar>
              <w:top w:w="50" w:type="dxa"/>
              <w:bottom w:w="50" w:type="dxa"/>
              <w:left w:w="50" w:type="dxa"/>
              <w:right w:w="5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4"/>
              </w:rPr>
              <w:t>11.8%</w:t>
            </w:r>
          </w:p>
        </w:tc>
      </w:tr>
    </w:tbl>
    <w:p>
      <w:pPr>
        <w:spacing w:before="0" w:after="60"/>
      </w:pP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/>
          <w:color w:val="1E1E1E"/>
          <w:sz w:val="20"/>
        </w:rPr>
        <w:t>Note: Best value in each column is shown in bold. Quadratic Weighted Kappa (QWK) is the primary clinical ordinal metric. Variant E catastrophic error is 4.36%.</w:t>
      </w: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9"/>
        </w:rPr>
        <w:t>TABLE 4: Per-Class Diagnostic Performance with 95% Bootstrap Confidence Intervals (1,000 Resamples)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Class Grade</w:t>
            </w: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Model Variant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Recall / Sensitivity [95% CI]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Precision [95% CI]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F1-Score [95% CI]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 (No DR)</w:t>
            </w: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A (Softmax Baseline)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97.1% [94.9%, 98.9%]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96.7% [94.5%, 98.6%]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0.9690 [0.9541, 0.9825]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B (CORAL Ordinal)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100.0%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[100.0%, 100.0%]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74.9% [70.7%, 79.3%]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0.8560 [0.8281, 0.8843]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C (Continuous Regression)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96.7% [94.4%, 98.6%]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96.0% [93.5%, 98.1%]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0.9635 [0.9478, 0.9779]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D (CORN)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97.4% [95.4%, 99.2%]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95.7% [93.3%, 97.9%]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0.9655 [0.9502, 0.9799]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Variant E (3-Seed Ensemble + TTA)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98.2% [96.4%, 99.6%]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96.0% [93.7%, 98.0%]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0.9708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[0.9569, 0.9837]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1 (Mild NPDR)</w:t>
            </w: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A (Softmax Baseline)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55.5% [42.4%, 68.4%]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59.7% [46.8%, 73.3%]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0.5728 [0.4602, 0.6777]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B (CORAL Ordinal)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1.8% [0.0%, 6.1%]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42.3% [0.0%, 100.0%]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0.0344 [0.0000, 0.1132]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C (Continuous Regression)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50.2% [37.7%, 63.6%]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50.9% [37.5%, 63.5%]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0.5035 [0.3860, 0.6087]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D (CORN)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66.1%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[52.6%, 79.2%]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47.6% [36.5%, 59.3%]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0.5515 [0.4409, 0.6491]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Variant E (3-Seed Ensemble + TTA)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46.4% [33.3%, 59.6%]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72.2%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[58.6%, 86.5%]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0.5652 [0.4367, 0.6800]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2 (Moderate NPDR)</w:t>
            </w: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A (Softmax Baseline)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74.6% [67.3%, 81.9%]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76.3% [69.0%, 83.1%]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0.7538 [0.6978, 0.8053]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B (CORAL Ordinal)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11.9% [7.0%, 17.5%]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71.9% [52.9%, 88.9%]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0.2039 [0.1241, 0.2857]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C (Continuous Regression)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68.5% [60.6%, 75.8%]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72.6% [64.4%, 80.0%]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0.7044 [0.6370, 0.7638]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D (CORN)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28.0% [21.1%, 35.3%]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81.0%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[69.8%, 91.3%]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0.4151 [0.3284, 0.5000]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Variant E (3-Seed Ensemble + TTA)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89.3%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[84.1%, 94.0%]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77.0% [70.6%, 83.3%]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0.8272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[0.7782, 0.8682]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3 (Severe NPDR)</w:t>
            </w: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A (Softmax Baseline)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41.7% [23.3%, 60.0%]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35.4% [20.0%, 51.6%]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0.3810 [0.2221, 0.5313]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B (CORAL Ordinal)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0.0% [0.0%, 0.0%]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0.0% [0.0%, 0.0%]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0.0000 [0.0000, 0.0000]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C (Continuous Regression)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38.4% [20.0%, 56.8%]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19.1% [9.2%, 29.0%]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0.2528 [0.1333, 0.3704]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D (CORN)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65.7%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[48.3%, 82.9%]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17.3% [10.6%, 24.8%]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0.2724 [0.1746, 0.3735]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Variant E (3-Seed Ensemble + TTA)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44.8% [27.8%, 64.0%]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46.4%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[29.6%, 65.4%]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0.4561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[0.2999, 0.6134]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4 (Proliferative DR)</w:t>
            </w: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A (Softmax Baseline)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52.3% [37.2%, 67.3%]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51.2% [36.6%, 65.1%]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0.5169 [0.3830, 0.6377]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B (CORAL Ordinal)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86.3%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[75.6%, 95.1%]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23.6% [17.2%, 30.2%]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0.3692 [0.2857, 0.4502]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C (Continuous Regression)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27.1% [14.3%, 41.7%]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54.6% [33.3%, 75.0%]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0.3589 [0.2034, 0.5067]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Variant D (CORN)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41.0% [26.2%, 55.1%]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52.8% [36.8%, 69.4%]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0.4584 [0.3124, 0.5909]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W w:w="1728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</w:p>
        </w:tc>
        <w:tc>
          <w:tcPr>
            <w:tcW w:type="dxa" w:w="2074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Variant E (3-Seed Ensemble + TTA)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50.0% [35.7%, 64.9%]</w:t>
            </w:r>
          </w:p>
        </w:tc>
        <w:tc>
          <w:tcPr>
            <w:tcW w:type="dxa" w:w="2074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62.9%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[47.2%, 77.8%]</w:t>
            </w:r>
          </w:p>
        </w:tc>
        <w:tc>
          <w:tcPr>
            <w:tcW w:type="dxa" w:w="2074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0.5570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 xml:space="preserve"> [0.4179, 0.6739]</w:t>
            </w:r>
          </w:p>
        </w:tc>
      </w:tr>
    </w:tbl>
    <w:p>
      <w:pPr>
        <w:spacing w:before="0" w:after="60"/>
      </w:pP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7.2 Confusion Matrix and Error Distribution Analysis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Fig. 4 shows the side-by-side confusion matrices across all five models, and Fig. 5 displays prediction error distance distributions (</w:t>
      </w:r>
      <m:oMath>
        <m:d>
          <m:dPr>
            <m:begChr m:val="|"/>
            <m:sepChr m:val="−"/>
            <m:endChr m:val="|"/>
          </m:dPr>
          <m:e>
            <m:r>
              <m:t>y</m:t>
            </m:r>
          </m:e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rPr>
          <w:rFonts w:ascii="Times New Roman" w:hAnsi="Times New Roman"/>
          <w:b w:val="0"/>
          <w:i w:val="0"/>
          <w:color w:val="1E1E1E"/>
          <w:sz w:val="20"/>
        </w:rPr>
        <w:t>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0" cy="371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confusion_mat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71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3C3C3C"/>
          <w:sz w:val="17"/>
        </w:rPr>
        <w:t>Fig. 4. Side-by-Side Confusion Matrices on the Holdout Test Set (N = 550) for Variant A (Softmax Baseline), Variant B (CORAL Ordinal), Variant C (Continuous Regression), Variant D (CORN), and Variant E (3-Seed Ensemble + TTA).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832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distance_hist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83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3C3C3C"/>
          <w:sz w:val="17"/>
        </w:rPr>
        <w:t>Fig. 5. Prediction Error Distance Distribution across the 550 Holdout Test Images comparing All Five Model Variants with corresponding MAE metrics.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Key observations: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Variant E (Fifth Panel):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Exhibits high diagonal concentration, achieving an exact-match rate of </w:t>
      </w:r>
      <w:r>
        <w:rPr>
          <w:rFonts w:ascii="Times New Roman" w:hAnsi="Times New Roman"/>
          <w:b/>
          <w:i w:val="0"/>
          <w:color w:val="1E1E1E"/>
          <w:sz w:val="20"/>
        </w:rPr>
        <w:t>83.8%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and holding off-by-one errors to </w:t>
      </w:r>
      <w:r>
        <w:rPr>
          <w:rFonts w:ascii="Times New Roman" w:hAnsi="Times New Roman"/>
          <w:b/>
          <w:i w:val="0"/>
          <w:color w:val="1E1E1E"/>
          <w:sz w:val="20"/>
        </w:rPr>
        <w:t>11.8%</w:t>
      </w:r>
      <w:r>
        <w:rPr>
          <w:rFonts w:ascii="Times New Roman" w:hAnsi="Times New Roman"/>
          <w:b w:val="0"/>
          <w:i w:val="0"/>
          <w:color w:val="1E1E1E"/>
          <w:sz w:val="20"/>
        </w:rPr>
        <w:t>, matching the lowest single-seed MAE (</w:t>
      </w:r>
      <w:r>
        <w:rPr>
          <w:rFonts w:ascii="Times New Roman" w:hAnsi="Times New Roman"/>
          <w:b/>
          <w:i w:val="0"/>
          <w:color w:val="1E1E1E"/>
          <w:sz w:val="20"/>
        </w:rPr>
        <w:t>0.2200</w:t>
      </w:r>
      <w:r>
        <w:rPr>
          <w:rFonts w:ascii="Times New Roman" w:hAnsi="Times New Roman"/>
          <w:b w:val="0"/>
          <w:i w:val="0"/>
          <w:color w:val="1E1E1E"/>
          <w:sz w:val="20"/>
        </w:rPr>
        <w:t>) with the highest overall accuracy (</w:t>
      </w:r>
      <w:r>
        <w:rPr>
          <w:rFonts w:ascii="Times New Roman" w:hAnsi="Times New Roman"/>
          <w:b/>
          <w:i w:val="0"/>
          <w:color w:val="1E1E1E"/>
          <w:sz w:val="20"/>
        </w:rPr>
        <w:t>83.82%</w:t>
      </w:r>
      <w:r>
        <w:rPr>
          <w:rFonts w:ascii="Times New Roman" w:hAnsi="Times New Roman"/>
          <w:b w:val="0"/>
          <w:i w:val="0"/>
          <w:color w:val="1E1E1E"/>
          <w:sz w:val="20"/>
        </w:rPr>
        <w:t>).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Variant D (Fourth Panel):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Achieves the highest recall on Grade 3 Severe NPDR (</w:t>
      </w:r>
      <w:r>
        <w:rPr>
          <w:rFonts w:ascii="Times New Roman" w:hAnsi="Times New Roman"/>
          <w:b/>
          <w:i w:val="0"/>
          <w:color w:val="1E1E1E"/>
          <w:sz w:val="20"/>
        </w:rPr>
        <w:t>65.7%</w:t>
      </w:r>
      <w:r>
        <w:rPr>
          <w:rFonts w:ascii="Times New Roman" w:hAnsi="Times New Roman"/>
          <w:b w:val="0"/>
          <w:i w:val="0"/>
          <w:color w:val="1E1E1E"/>
          <w:sz w:val="20"/>
        </w:rPr>
        <w:t>), preventing the diagnostic omissions seen in Variant B.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Variant C (Third Panel):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Bounds catastrophic multi-grade triage errors (</w:t>
      </w:r>
      <m:oMath>
        <m:r>
          <m:t>d≥2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) to </w:t>
      </w:r>
      <w:r>
        <w:rPr>
          <w:rFonts w:ascii="Times New Roman" w:hAnsi="Times New Roman"/>
          <w:b/>
          <w:i w:val="0"/>
          <w:color w:val="1E1E1E"/>
          <w:sz w:val="20"/>
        </w:rPr>
        <w:t>3.8%</w:t>
      </w:r>
      <w:r>
        <w:rPr>
          <w:rFonts w:ascii="Times New Roman" w:hAnsi="Times New Roman"/>
          <w:b w:val="0"/>
          <w:i w:val="0"/>
          <w:color w:val="1E1E1E"/>
          <w:sz w:val="20"/>
        </w:rPr>
        <w:t>, yielding the lowest catastrophic error rate.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Variant B (Second Panel):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Demonstrates severe class collapse, with 26.40% catastrophic errors and 0.0% Grade 3 recall.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7.3 Statistical Significance Testing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Paired bootstrap tests (1,000 iterations) and Wilcoxon signed-rank tests confirmed: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Variant E vs. Variant A (Softmax Baseline):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</w:t>
      </w:r>
      <m:oMath>
        <m:r>
          <m:t>ΔQWK=+0.0135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(95% CI: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0.0113</m:t>
            </m:r>
            <m:r>
              <m:t>,</m:t>
            </m:r>
            <m:r>
              <m:t>+</m:t>
            </m:r>
            <m:r>
              <m:t>0.0383</m:t>
            </m:r>
          </m:e>
        </m:d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, </w:t>
      </w:r>
      <m:oMath>
        <m:r>
          <m:t>p=0.1230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) and </w:t>
      </w:r>
      <m:oMath>
        <m:r>
          <m:t>Δ</m:t>
        </m:r>
        <m:r>
          <m:rPr>
            <m:nor/>
          </m:rPr>
          <m:t>Accuracy</m:t>
        </m:r>
        <m:r>
          <m:t>=+3.64%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(95% CI: </w:t>
      </w:r>
      <m:oMath>
        <m:d>
          <m:dPr>
            <m:begChr m:val="["/>
            <m:sepChr m:val=""/>
            <m:endChr m:val="]"/>
          </m:dPr>
          <m:e>
            <m:r>
              <m:t>+</m:t>
            </m:r>
            <m:r>
              <m:t>1.09</m:t>
            </m:r>
            <m:r>
              <m:t>%</m:t>
            </m:r>
            <m:r>
              <m:t>,</m:t>
            </m:r>
            <m:r>
              <m:t>+</m:t>
            </m:r>
            <m:r>
              <m:t>6.18</m:t>
            </m:r>
            <m:r>
              <m:t>%</m:t>
            </m:r>
          </m:e>
        </m:d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, </w:t>
      </w:r>
      <m:oMath>
        <m:r>
          <m:t>p=0.0050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). A Wilcoxon signed-rank test on absolute error distances confirmed a statistically significant reduction in prediction error (</w:t>
      </w:r>
      <m:oMath>
        <m:r>
          <m:t>W=625.0,p=0.0152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Variant D (CORN) vs. Variant B (CORAL):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</w:t>
      </w:r>
      <m:oMath>
        <m:r>
          <m:t>ΔQWK=+0.1212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(95% CI: </w:t>
      </w:r>
      <m:oMath>
        <m:d>
          <m:dPr>
            <m:begChr m:val="["/>
            <m:sepChr m:val=""/>
            <m:endChr m:val="]"/>
          </m:dPr>
          <m:e>
            <m:r>
              <m:t>+</m:t>
            </m:r>
            <m:r>
              <m:t>0.0924</m:t>
            </m:r>
            <m:r>
              <m:t>,</m:t>
            </m:r>
            <m:r>
              <m:t>+</m:t>
            </m:r>
            <m:r>
              <m:t>0.1504</m:t>
            </m:r>
          </m:e>
        </m:d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, </w:t>
      </w:r>
      <m:oMath>
        <m:r>
          <m:t>p&lt;0.001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), with Wilcoxon </w:t>
      </w:r>
      <m:oMath>
        <m:r>
          <m:t>W=4180.0,p=9.35×</m:t>
        </m:r>
        <m:sSup>
          <m:e>
            <m:r>
              <m:t>10</m:t>
            </m:r>
          </m:e>
          <m:sup>
            <m:r>
              <m:t>−21</m:t>
            </m:r>
          </m:sup>
        </m:sSup>
      </m:oMath>
      <w:r>
        <w:rPr>
          <w:rFonts w:ascii="Times New Roman" w:hAnsi="Times New Roman"/>
          <w:b w:val="0"/>
          <w:i w:val="0"/>
          <w:color w:val="1E1E1E"/>
          <w:sz w:val="20"/>
        </w:rPr>
        <w:t>, confirming substantial minority-class improvement.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Times New Roman" w:hAnsi="Times New Roman"/>
          <w:b/>
          <w:i w:val="0"/>
          <w:color w:val="1E1E1E"/>
          <w:sz w:val="20"/>
        </w:rPr>
        <w:t>Variant C vs. Variant A: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</w:t>
      </w:r>
      <m:oMath>
        <m:r>
          <m:t>ΔQWK=+0.0062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(95% CI: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0.0142</m:t>
            </m:r>
            <m:r>
              <m:t>,</m:t>
            </m:r>
            <m:r>
              <m:t>+</m:t>
            </m:r>
            <m:r>
              <m:t>0.0265</m:t>
            </m:r>
          </m:e>
        </m:d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, </w:t>
      </w:r>
      <m:oMath>
        <m:r>
          <m:t>p=0.2640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7.4 Multi-Seed Ensemble and Sensitivity Analysis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Table 5 details individual seed performances, single-seed summary statistics, and ensemble configurations. Table 6 documents the temperature sweep for post-hoc logit adjustment, and Fig. 6 displays the confusion matrices across accuracy optimization configurations.</w:t>
      </w: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9"/>
        </w:rPr>
        <w:t>TABLE 5: Classification Performance Across Ensemble Configurations on Holdout Test Set (N = 550)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/>
          <w:tblHeader/>
        </w:trPr>
        <w:tc>
          <w:tcPr>
            <w:tcW w:type="dxa" w:w="1481"/>
            <w:vAlign w:val="center"/>
            <w:tcW w:w="2448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Model Configuration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Accuracy [95% CI]</w:t>
            </w:r>
          </w:p>
        </w:tc>
        <w:tc>
          <w:tcPr>
            <w:tcW w:type="dxa" w:w="1481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QWK [95% CI]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MAE [95% CI]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Catastrophic Error (</w:t>
            </w:r>
            <m:oMath>
              <m:r>
                <m:t>d≥2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)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Grade 3 Severe F1</w:t>
            </w:r>
          </w:p>
        </w:tc>
        <w:tc>
          <w:tcPr>
            <w:tcW w:type="dxa" w:w="1481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Grade 4 PDR F1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244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A (Baseline Softmax)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80.18% [76.73%, 83.45%]</w:t>
            </w:r>
          </w:p>
        </w:tc>
        <w:tc>
          <w:tcPr>
            <w:tcW w:type="dxa" w:w="1481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0.8724 [0.8385, 0.9044]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0.2673 [0.2182, 0.3200]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5.64% [3.64%, 7.64%]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0.3810 [0.2221, 0.5313]</w:t>
            </w:r>
          </w:p>
        </w:tc>
        <w:tc>
          <w:tcPr>
            <w:tcW w:type="dxa" w:w="1481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0.5169 [0.3830, 0.6377]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244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Single Seed 42 (LS 0.08)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82.00% [78.73%, 85.10%]</w:t>
            </w:r>
          </w:p>
        </w:tc>
        <w:tc>
          <w:tcPr>
            <w:tcW w:type="dxa" w:w="1481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0.8709 [0.8330, 0.9039]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0.2473 [0.1982, 0.3000]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5.27% [3.45%, 7.27%]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0.4828 [0.3225, 0.6452]</w:t>
            </w:r>
          </w:p>
        </w:tc>
        <w:tc>
          <w:tcPr>
            <w:tcW w:type="dxa" w:w="1481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0.5195 [0.3662, 0.6364]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244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Single Seed 43 (LS 0.08)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82.73% [79.45%, 85.82%]</w:t>
            </w:r>
          </w:p>
        </w:tc>
        <w:tc>
          <w:tcPr>
            <w:tcW w:type="dxa" w:w="1481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0.8846 [0.8501, 0.9165]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0.2291 [0.1818, 0.2800]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4.18% [2.73%, 5.82%]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0.4068 [0.2456, 0.5667]</w:t>
            </w:r>
          </w:p>
        </w:tc>
        <w:tc>
          <w:tcPr>
            <w:tcW w:type="dxa" w:w="1481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0.5316 [0.3929, 0.6512]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244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Single Seed 44 (LS 0.08)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83.45% [80.18%, 86.55%]</w:t>
            </w:r>
          </w:p>
        </w:tc>
        <w:tc>
          <w:tcPr>
            <w:tcW w:type="dxa" w:w="1481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0.8901 [0.8562, 0.9198]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0.2200 [0.1764, 0.2691]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4.18% [2.55%, 5.82%]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0.5085 [0.3333, 0.6667]</w:t>
            </w:r>
          </w:p>
        </w:tc>
        <w:tc>
          <w:tcPr>
            <w:tcW w:type="dxa" w:w="1481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0.6000 [0.4615, 0.7161]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244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 xml:space="preserve">Single-Seed Mean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 xml:space="preserve"> SD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82.73%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0.73%</w:t>
            </w:r>
          </w:p>
        </w:tc>
        <w:tc>
          <w:tcPr>
            <w:tcW w:type="dxa" w:w="1481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0.8819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0.0099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0.2321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0.0139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4.54%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0.63%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0.4660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0.0529</w:t>
            </w:r>
          </w:p>
        </w:tc>
        <w:tc>
          <w:tcPr>
            <w:tcW w:type="dxa" w:w="1481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0.5504 </w:t>
            </w:r>
            <m:oMath>
              <m:r>
                <m:t>±</m:t>
              </m:r>
            </m:oMath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0.0434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244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E: 3-Seed Ens + TTA (</w:t>
            </w:r>
            <m:oMath>
              <m:r>
                <m:t>τ=0.0</m:t>
              </m:r>
            </m:oMath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)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83.82%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[80.73%, 86.73%]</w:t>
            </w:r>
          </w:p>
        </w:tc>
        <w:tc>
          <w:tcPr>
            <w:tcW w:type="dxa" w:w="1481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0.8859 [0.8503, 0.9170]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0.2200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[0.1727, 0.2691]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4.36% [2.73%, 6.18%]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0.4561 [0.2999, 0.6134]</w:t>
            </w:r>
          </w:p>
        </w:tc>
        <w:tc>
          <w:tcPr>
            <w:tcW w:type="dxa" w:w="1481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0.5570 [0.4179, 0.6739]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W w:w="244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E: 3-Seed Ens + TTA (</w:t>
            </w:r>
            <m:oMath>
              <m:r>
                <m:t>τ=1.0</m:t>
              </m:r>
            </m:oMath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)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79.27% [76.00%, 82.55%]</w:t>
            </w:r>
          </w:p>
        </w:tc>
        <w:tc>
          <w:tcPr>
            <w:tcW w:type="dxa" w:w="1481"/>
            <w:vAlign w:val="center"/>
            <w:tcW w:w="1224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0.8787 [0.8451, 0.9091]</w:t>
            </w:r>
          </w:p>
        </w:tc>
        <w:tc>
          <w:tcPr>
            <w:tcW w:type="dxa" w:w="1481"/>
            <w:vAlign w:val="center"/>
            <w:tcW w:w="1152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0.2691 [0.2200, 0.3164]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4.55% [2.73%, 6.36%]</w:t>
            </w:r>
          </w:p>
        </w:tc>
        <w:tc>
          <w:tcPr>
            <w:tcW w:type="dxa" w:w="1481"/>
            <w:vAlign w:val="center"/>
            <w:tcW w:w="1296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0.3721 [0.2432, 0.5056]</w:t>
            </w:r>
          </w:p>
        </w:tc>
        <w:tc>
          <w:tcPr>
            <w:tcW w:type="dxa" w:w="1481"/>
            <w:vAlign w:val="center"/>
            <w:tcW w:w="1368" w:type="dxa"/>
            <w:tcMar>
              <w:top w:w="60" w:type="dxa"/>
              <w:bottom w:w="60" w:type="dxa"/>
              <w:left w:w="60" w:type="dxa"/>
              <w:right w:w="6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0.5778</w:t>
            </w: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 xml:space="preserve"> [0.4444, 0.6875]</w:t>
            </w:r>
          </w:p>
        </w:tc>
      </w:tr>
    </w:tbl>
    <w:p>
      <w:pPr>
        <w:spacing w:before="0" w:after="60"/>
      </w:pP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/>
          <w:color w:val="1E1E1E"/>
          <w:sz w:val="20"/>
        </w:rPr>
        <w:t xml:space="preserve">Note: Single-seed summary reports mean </w:t>
      </w:r>
      <m:oMath>
        <m:r>
          <m:t>±</m:t>
        </m:r>
      </m:oMath>
      <w:r>
        <w:rPr>
          <w:rFonts w:ascii="Times New Roman" w:hAnsi="Times New Roman"/>
          <w:b w:val="0"/>
          <w:i/>
          <w:color w:val="1E1E1E"/>
          <w:sz w:val="20"/>
        </w:rPr>
        <w:t xml:space="preserve"> sample SD (</w:t>
      </w:r>
      <m:oMath>
        <m:r>
          <m:t>n=3</m:t>
        </m:r>
      </m:oMath>
      <w:r>
        <w:rPr>
          <w:rFonts w:ascii="Times New Roman" w:hAnsi="Times New Roman"/>
          <w:b w:val="0"/>
          <w:i/>
          <w:color w:val="1E1E1E"/>
          <w:sz w:val="20"/>
        </w:rPr>
        <w:t xml:space="preserve">, </w:t>
      </w:r>
      <m:oMath>
        <m:r>
          <m:t>ddof=1</m:t>
        </m:r>
      </m:oMath>
      <w:r>
        <w:rPr>
          <w:rFonts w:ascii="Times New Roman" w:hAnsi="Times New Roman"/>
          <w:b w:val="0"/>
          <w:i/>
          <w:color w:val="1E1E1E"/>
          <w:sz w:val="20"/>
        </w:rPr>
        <w:t>). Seed 44 alone achieves QWK 0.8901, MAE 0.2200, and 4.18% catastrophic error. Best value in each column is shown in bold.</w:t>
      </w: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9"/>
        </w:rPr>
        <w:t>TABLE 6: Post-Hoc Logit Adjustment Temperature Sweep on 3-Seed Ensemble (Sensitivity Analysis)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Temperature (</w:t>
            </w:r>
            <m:oMath>
              <m:r>
                <m:t>τ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)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Accuracy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QWK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MAE</w:t>
            </w:r>
          </w:p>
        </w:tc>
        <w:tc>
          <w:tcPr>
            <w:tcW w:type="dxa" w:w="1728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Severe Recall (Grade 3)</w:t>
            </w:r>
          </w:p>
        </w:tc>
        <w:tc>
          <w:tcPr>
            <w:tcW w:type="dxa" w:w="1728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PDR Recall (Grade 4)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0.0 (Unadjusted, Raw Acc Focus)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83.82%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0.8859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0.2200</w:t>
            </w:r>
          </w:p>
        </w:tc>
        <w:tc>
          <w:tcPr>
            <w:tcW w:type="dxa" w:w="1728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44.8%</w:t>
            </w:r>
          </w:p>
        </w:tc>
        <w:tc>
          <w:tcPr>
            <w:tcW w:type="dxa" w:w="1728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50.0%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0.5 (Balanced Trade-off)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82.18%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0.8929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0.2291</w:t>
            </w:r>
          </w:p>
        </w:tc>
        <w:tc>
          <w:tcPr>
            <w:tcW w:type="dxa" w:w="1728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51.7%</w:t>
            </w:r>
          </w:p>
        </w:tc>
        <w:tc>
          <w:tcPr>
            <w:tcW w:type="dxa" w:w="1728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56.8%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1.0 (Standard Prior Adjustment)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79.27%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0.8787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0.2691</w:t>
            </w:r>
          </w:p>
        </w:tc>
        <w:tc>
          <w:tcPr>
            <w:tcW w:type="dxa" w:w="1728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55.2%</w:t>
            </w:r>
          </w:p>
        </w:tc>
        <w:tc>
          <w:tcPr>
            <w:tcW w:type="dxa" w:w="1728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59.1%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9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1.5 (Minority-Tail Focus)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74.91%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0.8438</w:t>
            </w:r>
          </w:p>
        </w:tc>
        <w:tc>
          <w:tcPr>
            <w:tcW w:type="dxa" w:w="1728"/>
            <w:vAlign w:val="center"/>
            <w:tcW w:w="122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0.3364</w:t>
            </w:r>
          </w:p>
        </w:tc>
        <w:tc>
          <w:tcPr>
            <w:tcW w:type="dxa" w:w="1728"/>
            <w:vAlign w:val="center"/>
            <w:tcW w:w="1872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6"/>
              </w:rPr>
              <w:t>69.0%</w:t>
            </w:r>
          </w:p>
        </w:tc>
        <w:tc>
          <w:tcPr>
            <w:tcW w:type="dxa" w:w="1728"/>
            <w:vAlign w:val="center"/>
            <w:tcW w:w="1944" w:type="dxa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6"/>
              </w:rPr>
              <w:t>50.0%</w:t>
            </w:r>
          </w:p>
        </w:tc>
      </w:tr>
    </w:tbl>
    <w:p>
      <w:pPr>
        <w:spacing w:before="0" w:after="6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3269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accuracy_ensem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26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3C3C3C"/>
          <w:sz w:val="17"/>
        </w:rPr>
        <w:t>Fig. 6. Confusion Matrices for Accuracy Optimization Configurations on the Holdout Test Set (N = 550) comparing Baseline Softmax, Label-Smoothed Seed 42, and 3-Seed Ensembles (tau = 0.0 and tau = 1.0).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7.5 Granular Per-Grade Diagnostic Dynamics and Clinical Referral Triage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Per-Grade Diagnostic Performance Dynamics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A granular inspection of per-class metrics (Table 4) reveals that Variant E's accuracy advantage (+3.64% over Variant A) stems predominantly from performance improvements on the two most prevalent classes: Moderate NPDR (Grade 2 recall rising from 74.6% to 89.3%) and No DR (Grade 0 recall improving from 97.1% to 98.2%). In contrast, high-acuity minority grades show negligible gain: Grade 3 Severe NPDR recall increases only marginally from 41.7% to 44.8%, while Grade 4 Proliferative DR recall remains essentially unchanged (50.0% vs. 52.3% in baseline Variant A). Furthermore, Grade 1 Mild NPDR recall drops noticeably from 55.5% to 46.4%, with mild lesions frequently subsumed into the dominant Grade 0 or Grade 2 predictions. Consequently, Variant E functions primarily as a stabilizer for majority disease categories rather than an effective detector for rare sight-threatening lesions.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Clinical Referral Triage Performance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In practical tele-ophthalmology screening, patients with severe or proliferative retinopathy (</w:t>
      </w:r>
      <m:oMath>
        <m:r>
          <m:t>y∈{3,4}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 require urgent specialist referral, whereas healthy individuals and early non-proliferative cases (</w:t>
      </w:r>
      <m:oMath>
        <m:r>
          <m:t>y∈{0,1,2}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) are managed via routine community monitoring. We define </w:t>
      </w:r>
      <w:r>
        <w:rPr>
          <w:rFonts w:ascii="Times New Roman" w:hAnsi="Times New Roman"/>
          <w:b w:val="0"/>
          <w:i/>
          <w:color w:val="1E1E1E"/>
          <w:sz w:val="20"/>
        </w:rPr>
        <w:t>under-triage rate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as the proportion of true vision-threatening patients incorrectly classified as non-referral (</w:t>
      </w:r>
      <m:oMath>
        <m:acc>
          <m:accPr>
            <m:chr m:val="̂"/>
          </m:accPr>
          <m:e>
            <m:r>
              <m:t>y</m:t>
            </m:r>
          </m:e>
        </m:acc>
        <m:r>
          <m:t>≤2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when </w:t>
      </w:r>
      <m:oMath>
        <m:r>
          <m:t>y≥3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), and </w:t>
      </w:r>
      <w:r>
        <w:rPr>
          <w:rFonts w:ascii="Times New Roman" w:hAnsi="Times New Roman"/>
          <w:b w:val="0"/>
          <w:i/>
          <w:color w:val="1E1E1E"/>
          <w:sz w:val="20"/>
        </w:rPr>
        <w:t>over-referral rate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as the proportion of non-referral patients incorrectly routed to tertiary care (</w:t>
      </w:r>
      <m:oMath>
        <m:acc>
          <m:accPr>
            <m:chr m:val="̂"/>
          </m:accPr>
          <m:e>
            <m:r>
              <m:t>y</m:t>
            </m:r>
          </m:e>
        </m:acc>
        <m:r>
          <m:t>≥3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when </w:t>
      </w:r>
      <m:oMath>
        <m:r>
          <m:t>y≤2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). Table 7 presents the clinical triage performance across all evaluated models on the 550 holdout test images (</w:t>
      </w:r>
      <m:oMath>
        <m:sSub>
          <m:e>
            <m:r>
              <m:t>N</m:t>
            </m:r>
          </m:e>
          <m:sub>
            <m:r>
              <m:rPr>
                <m:nor/>
              </m:rPr>
              <m:t>severe</m:t>
            </m:r>
          </m:sub>
        </m:sSub>
        <m:r>
          <m:t>=73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, </w:t>
      </w:r>
      <m:oMath>
        <m:sSub>
          <m:e>
            <m:r>
              <m:t>N</m:t>
            </m:r>
          </m:e>
          <m:sub>
            <m:r>
              <m:rPr>
                <m:nor/>
              </m:rPr>
              <m:t>routine</m:t>
            </m:r>
          </m:sub>
        </m:sSub>
        <m:r>
          <m:t>=477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).</w:t>
      </w:r>
    </w:p>
    <w:p>
      <w:pPr>
        <w:keepNext/>
        <w:spacing w:before="120" w:after="40"/>
        <w:jc w:val="center"/>
      </w:pPr>
      <w:r>
        <w:rPr>
          <w:rFonts w:ascii="Times New Roman" w:hAnsi="Times New Roman"/>
          <w:b/>
          <w:i w:val="0"/>
          <w:color w:val="142850"/>
          <w:sz w:val="19"/>
        </w:rPr>
        <w:t>TABLE 7: Clinical Referral Triage Performance Across Model Variants on Holdout Test Set (N = 550)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5C8F"/>
          <w:bottom w:val="single" w:sz="8" w:space="0" w:color="333333"/>
          <w:insideH w:val="single" w:sz="4" w:space="0" w:color="E0E0E0"/>
          <w:insideV w:val="none"/>
          <w:left w:val="none"/>
          <w:right w:val="none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  <w:vAlign w:val="center"/>
            <w:tcW w:w="2592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Model Variant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Under-Triage Count (</w:t>
            </w:r>
            <m:oMath>
              <m:r>
                <m:t>y≥3→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≤2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)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Under-Triage Rate (%)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Over-Referral Count (</w:t>
            </w:r>
            <m:oMath>
              <m:r>
                <m:t>y≤2→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≥3</m:t>
              </m:r>
            </m:oMath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)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Over-Referral Rate (%)</w:t>
            </w:r>
          </w:p>
        </w:tc>
        <w:tc>
          <w:tcPr>
            <w:tcW w:type="dxa" w:w="1728"/>
            <w:vAlign w:val="center"/>
            <w:tcW w:w="1728" w:type="dxa"/>
            <w:tcMar>
              <w:top w:w="55" w:type="dxa"/>
              <w:bottom w:w="55" w:type="dxa"/>
              <w:left w:w="55" w:type="dxa"/>
              <w:right w:w="55" w:type="dxa"/>
            </w:tcMar>
            <w:shd w:fill="2B5C8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Clinical Trade-off Profile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9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A: Softmax Baseline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21 / 73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28.77%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27 / 477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5.66%</w:t>
            </w:r>
          </w:p>
        </w:tc>
        <w:tc>
          <w:tcPr>
            <w:tcW w:type="dxa" w:w="1728"/>
            <w:vAlign w:val="center"/>
            <w:tcW w:w="172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Unweighted multiclass baseline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9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B: CORAL Ordinal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 / 73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10.96%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96 / 477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20.13%</w:t>
            </w:r>
          </w:p>
        </w:tc>
        <w:tc>
          <w:tcPr>
            <w:tcW w:type="dxa" w:w="1728"/>
            <w:vAlign w:val="center"/>
            <w:tcW w:w="172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High false referrals from class collapse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9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C: Continuous Regression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23 / 73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31.51%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30 / 477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6.29%</w:t>
            </w:r>
          </w:p>
        </w:tc>
        <w:tc>
          <w:tcPr>
            <w:tcW w:type="dxa" w:w="1728"/>
            <w:vAlign w:val="center"/>
            <w:tcW w:w="172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Conservative; bounds multi-grade drift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9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D (CORN): Conditional Ordinal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11 / 73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15.07%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82 / 477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17.19%</w:t>
            </w:r>
          </w:p>
        </w:tc>
        <w:tc>
          <w:tcPr>
            <w:tcW w:type="dxa" w:w="1728"/>
            <w:vAlign w:val="center"/>
            <w:tcW w:w="172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High-sensitivity screening specialist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9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E: 3-Seed Ens + TTA (</w:t>
            </w:r>
            <m:oMath>
              <m:r>
                <m:t>τ=0.0</m:t>
              </m:r>
            </m:oMath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)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22 / 73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30.14%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12 / 477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2.52%</w:t>
            </w:r>
          </w:p>
        </w:tc>
        <w:tc>
          <w:tcPr>
            <w:tcW w:type="dxa" w:w="1728"/>
            <w:vAlign w:val="center"/>
            <w:tcW w:w="1728" w:type="dxa"/>
            <w:tcMar>
              <w:top w:w="55" w:type="dxa"/>
              <w:bottom w:w="55" w:type="dxa"/>
              <w:left w:w="55" w:type="dxa"/>
              <w:right w:w="55" w:type="dxa"/>
            </w:tcMar>
            <w:shd w:fill="F7F9FC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Minimum false referrals; confirmatory focus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W w:w="259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Variant E: 3-Seed Ens + TTA (</w:t>
            </w:r>
            <m:oMath>
              <m:r>
                <m:t>τ=1.0</m:t>
              </m:r>
            </m:oMath>
            <w:r>
              <w:rPr>
                <w:rFonts w:ascii="Times New Roman" w:hAnsi="Times New Roman"/>
                <w:b/>
                <w:i w:val="0"/>
                <w:color w:val="1E1E1E"/>
                <w:sz w:val="15"/>
              </w:rPr>
              <w:t>)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14 / 73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19.18%</w:t>
            </w:r>
          </w:p>
        </w:tc>
        <w:tc>
          <w:tcPr>
            <w:tcW w:type="dxa" w:w="1728"/>
            <w:vAlign w:val="center"/>
            <w:tcW w:w="1512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44 / 477</w:t>
            </w:r>
          </w:p>
        </w:tc>
        <w:tc>
          <w:tcPr>
            <w:tcW w:type="dxa" w:w="1728"/>
            <w:vAlign w:val="center"/>
            <w:tcW w:w="136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9.22%</w:t>
            </w:r>
          </w:p>
        </w:tc>
        <w:tc>
          <w:tcPr>
            <w:tcW w:type="dxa" w:w="1728"/>
            <w:vAlign w:val="center"/>
            <w:tcW w:w="1728" w:type="dxa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1E1E"/>
                <w:sz w:val="15"/>
              </w:rPr>
              <w:t>Balanced trade-off via logit adjustment</w:t>
            </w:r>
          </w:p>
        </w:tc>
      </w:tr>
    </w:tbl>
    <w:p>
      <w:pPr>
        <w:spacing w:before="0" w:after="60"/>
      </w:pP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/>
          <w:color w:val="1E1E1E"/>
          <w:sz w:val="20"/>
        </w:rPr>
        <w:t>Note: Sight-threatening cases (Grades 3–4): N = 73; non-referral cases (Grades 0–2): N = 477. Best values in bold.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7.6 Strengths and Limitations of the 3-Seed Ensemble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1) Architectural and Operational Strengths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i w:val="0"/>
          <w:color w:val="1E1E1E"/>
          <w:sz w:val="20"/>
        </w:rPr>
        <w:t>High Overall Accuracy and Multi-Seed Stability: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Variant E achieves the highest classification accuracy (</w:t>
      </w:r>
      <w:r>
        <w:rPr>
          <w:rFonts w:ascii="Times New Roman" w:hAnsi="Times New Roman"/>
          <w:b/>
          <w:i w:val="0"/>
          <w:color w:val="1E1E1E"/>
          <w:sz w:val="20"/>
        </w:rPr>
        <w:t>83.82%</w:t>
      </w:r>
      <w:r>
        <w:rPr>
          <w:rFonts w:ascii="Times New Roman" w:hAnsi="Times New Roman"/>
          <w:b w:val="0"/>
          <w:i w:val="0"/>
          <w:color w:val="1E1E1E"/>
          <w:sz w:val="20"/>
        </w:rPr>
        <w:t>, vs. 83.45% for the best single seed), with QWK (</w:t>
      </w:r>
      <w:r>
        <w:rPr>
          <w:rFonts w:ascii="Times New Roman" w:hAnsi="Times New Roman"/>
          <w:b/>
          <w:i w:val="0"/>
          <w:color w:val="1E1E1E"/>
          <w:sz w:val="20"/>
        </w:rPr>
        <w:t>0.8859</w:t>
      </w:r>
      <w:r>
        <w:rPr>
          <w:rFonts w:ascii="Times New Roman" w:hAnsi="Times New Roman"/>
          <w:b w:val="0"/>
          <w:i w:val="0"/>
          <w:color w:val="1E1E1E"/>
          <w:sz w:val="20"/>
        </w:rPr>
        <w:t>) and MAE (</w:t>
      </w:r>
      <w:r>
        <w:rPr>
          <w:rFonts w:ascii="Times New Roman" w:hAnsi="Times New Roman"/>
          <w:b/>
          <w:i w:val="0"/>
          <w:color w:val="1E1E1E"/>
          <w:sz w:val="20"/>
        </w:rPr>
        <w:t>0.2200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) comparable to the best single seed (Seed 44: QWK 0.8901, MAE 0.2200). Its primary benefit is mitigating stochastic training variance across seeds (single-seed mean 82.73% </w:t>
      </w:r>
      <m:oMath>
        <m:r>
          <m:t>→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83.82%) rather than delivering large gains over the top seed.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i w:val="0"/>
          <w:color w:val="1E1E1E"/>
          <w:sz w:val="20"/>
        </w:rPr>
        <w:t>Lowest Over-Referral Rate: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Variant E yields the lowest over-referral rate (</w:t>
      </w:r>
      <w:r>
        <w:rPr>
          <w:rFonts w:ascii="Times New Roman" w:hAnsi="Times New Roman"/>
          <w:b/>
          <w:i w:val="0"/>
          <w:color w:val="1E1E1E"/>
          <w:sz w:val="20"/>
        </w:rPr>
        <w:t>2.52%</w:t>
      </w:r>
      <w:r>
        <w:rPr>
          <w:rFonts w:ascii="Times New Roman" w:hAnsi="Times New Roman"/>
          <w:b w:val="0"/>
          <w:i w:val="0"/>
          <w:color w:val="1E1E1E"/>
          <w:sz w:val="20"/>
        </w:rPr>
        <w:t>, 12/477), substantially reducing unnecessary secondary clinic visits and clinic overburden.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i w:val="0"/>
          <w:color w:val="1E1E1E"/>
          <w:sz w:val="20"/>
        </w:rPr>
        <w:t>Resource Efficiency and Tunability: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The ensemble reuses the identical 5.3M-parameter EfficientNet-B0 backbone with no external data. Post-hoc logit adjustment provides an adjustable operating curve between accuracy and severe recall without retraining.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2) Clinical and Computational Limitations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i w:val="0"/>
          <w:color w:val="1E1E1E"/>
          <w:sz w:val="20"/>
        </w:rPr>
        <w:t>Elevated Under-Triage Rate: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At </w:t>
      </w:r>
      <m:oMath>
        <m:r>
          <m:t>τ=0.0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, Severe NPDR recall is only 44.8% and under-triage is </w:t>
      </w:r>
      <w:r>
        <w:rPr>
          <w:rFonts w:ascii="Times New Roman" w:hAnsi="Times New Roman"/>
          <w:b/>
          <w:i w:val="0"/>
          <w:color w:val="1E1E1E"/>
          <w:sz w:val="20"/>
        </w:rPr>
        <w:t>30.14%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(22/73 missed severe/PDR cases), compared to 15.07% (11/73) for Variant D.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i w:val="0"/>
          <w:color w:val="1E1E1E"/>
          <w:sz w:val="20"/>
        </w:rPr>
        <w:t>Modest Gain Over Best Seed: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The accuracy gain over Seed 44 (83.45% to 83.82%) is small, and individual seeds exhibit competitive QWK (Seed 44: 0.8901) and catastrophic error rates (Seeds 43 and 44: 4.18% vs. 4.36% for the ensemble).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i w:val="0"/>
          <w:color w:val="1E1E1E"/>
          <w:sz w:val="20"/>
        </w:rPr>
        <w:t>Inference Overhead: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Evaluating three ensemble members with 4-way TTA requires approximately </w:t>
      </w:r>
      <m:oMath>
        <m:r>
          <m:t>3×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FLOPs compared to a single forward pass.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i w:val="0"/>
          <w:color w:val="1E1E1E"/>
          <w:sz w:val="20"/>
        </w:rPr>
        <w:t>Dataset Scope: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All evaluations are conducted on a single 550-image test split with 29 Severe NPDR cases.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323232"/>
          <w:sz w:val="20"/>
        </w:rPr>
        <w:t>3) Future Research Directions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Future iterations will evaluate: (a) ensembling heterogeneous backbones (e.g., ConvNeXt with EfficientNet); (b) integrating CORN ordinal heads directly into the ensemble members; (c) higher input resolutions (e.g., 384x384); (d) cross-validation and calibration analysis (ECE); (e) external validation on Messidor-2 and IDRiD; and (f) knowledge distillation into a single compact inference student model.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2850"/>
          <w:sz w:val="23"/>
        </w:rPr>
        <w:t>8. PROPOSED SYSTEM DESIGN: ACTIVITY AND CLASS DIAGRAMS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To specify the operational flow and software architecture, we present StarUML-compliant Activity and Class Diagrams as a proposed system design.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8.1 UML Activity Diagram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The proposed activity diagram (Fig. 7) models workflow coordination across the screening clinic, diagnostic engine, and specialist triage.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17356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activity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73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3C3C3C"/>
          <w:sz w:val="17"/>
        </w:rPr>
        <w:t>Fig. 7. UML Activity Diagram: Clinical Screening, Automated AI Diagnostic Processing, and Specialist Triage Workflow (StarUML Specification).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The workflow consists of: (1) Image acquisition with technician quality validation; (2) Preprocessing, EfficientNet-B0 feature extraction, and dual-route model evaluation (Variant D for high-sensitivity screening, Variant E for high-accuracy confirmation); (3) Triage routing based on ICDR guidelines, dispatching urgent referrals for Grades 3–4 and structured reports to PACS.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color w:val="283246"/>
          <w:sz w:val="21"/>
        </w:rPr>
        <w:t>8.2 UML Class Diagram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The class diagram (Fig. 8) specifies the object-oriented software architecture, class hierarchies, and operational methods.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1441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4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3C3C3C"/>
          <w:sz w:val="17"/>
        </w:rPr>
        <w:t>Fig. 8. UML Class Diagram: Object-Oriented Software Architecture, Class Hierarchies, and Interface Methods with EnsembleEngine (StarUML Specification).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Key classes include: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Consolas" w:hAnsi="Consolas"/>
          <w:color w:val="3C3C3C"/>
          <w:sz w:val="20"/>
        </w:rPr>
        <w:t>FundusImage</w:t>
      </w:r>
      <w:r>
        <w:rPr>
          <w:rFonts w:ascii="Times New Roman" w:hAnsi="Times New Roman"/>
          <w:b w:val="0"/>
          <w:i w:val="0"/>
          <w:color w:val="1E1E1E"/>
          <w:sz w:val="20"/>
        </w:rPr>
        <w:t>: Encapsulates raw image arrays, metadata, and quality scores.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Consolas" w:hAnsi="Consolas"/>
          <w:color w:val="3C3C3C"/>
          <w:sz w:val="20"/>
        </w:rPr>
        <w:t>RetinalPreprocessor</w:t>
      </w:r>
      <w:r>
        <w:rPr>
          <w:rFonts w:ascii="Times New Roman" w:hAnsi="Times New Roman"/>
          <w:b w:val="0"/>
          <w:i w:val="0"/>
          <w:color w:val="1E1E1E"/>
          <w:sz w:val="20"/>
        </w:rPr>
        <w:t>: Executes circular cropping, CIE LAB CLAHE, and tensor normalization.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Consolas" w:hAnsi="Consolas"/>
          <w:color w:val="3C3C3C"/>
          <w:sz w:val="20"/>
        </w:rPr>
        <w:t>DRModel</w:t>
      </w:r>
      <w:r>
        <w:rPr>
          <w:rFonts w:ascii="Times New Roman" w:hAnsi="Times New Roman"/>
          <w:b w:val="0"/>
          <w:i w:val="0"/>
          <w:color w:val="1E1E1E"/>
          <w:sz w:val="20"/>
        </w:rPr>
        <w:t>: Encapsulates the EfficientNet-B0 backbone and feature projection.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Consolas" w:hAnsi="Consolas"/>
          <w:color w:val="3C3C3C"/>
          <w:sz w:val="20"/>
        </w:rPr>
        <w:t>EnsembleEngine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: Coordinates multi-seed inference, manages flip-based TTA, and applies logit adjustment via </w:t>
      </w:r>
      <w:r>
        <w:rPr>
          <w:rFonts w:ascii="Consolas" w:hAnsi="Consolas"/>
          <w:color w:val="3C3C3C"/>
          <w:sz w:val="20"/>
        </w:rPr>
        <w:t>apply_logit_adj()</w:t>
      </w:r>
      <w:r>
        <w:rPr>
          <w:rFonts w:ascii="Times New Roman" w:hAnsi="Times New Roman"/>
          <w:b w:val="0"/>
          <w:i w:val="0"/>
          <w:color w:val="1E1E1E"/>
          <w:sz w:val="20"/>
        </w:rPr>
        <w:t>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Consolas" w:hAnsi="Consolas"/>
          <w:color w:val="3C3C3C"/>
          <w:sz w:val="20"/>
        </w:rPr>
        <w:t>CornOrdinalHead</w:t>
      </w:r>
      <w:r>
        <w:rPr>
          <w:rFonts w:ascii="Times New Roman" w:hAnsi="Times New Roman"/>
          <w:b w:val="0"/>
          <w:i w:val="0"/>
          <w:color w:val="1E1E1E"/>
          <w:sz w:val="20"/>
        </w:rPr>
        <w:t>: Evaluates conditional cumulative logits and computes CORN loss.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Consolas" w:hAnsi="Consolas"/>
          <w:color w:val="3C3C3C"/>
          <w:sz w:val="20"/>
        </w:rPr>
        <w:t>SoftQWKLoss</w:t>
      </w:r>
      <w:r>
        <w:rPr>
          <w:rFonts w:ascii="Times New Roman" w:hAnsi="Times New Roman"/>
          <w:b w:val="0"/>
          <w:i w:val="0"/>
          <w:color w:val="1E1E1E"/>
          <w:sz w:val="20"/>
        </w:rPr>
        <w:t>: Computes differentiable quadratic kappa approximations.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• </w:t>
      </w:r>
      <w:r>
        <w:rPr>
          <w:rFonts w:ascii="Consolas" w:hAnsi="Consolas"/>
          <w:color w:val="3C3C3C"/>
          <w:sz w:val="20"/>
        </w:rPr>
        <w:t>TriageDecisionSupport</w:t>
      </w:r>
      <w:r>
        <w:rPr>
          <w:rFonts w:ascii="Times New Roman" w:hAnsi="Times New Roman"/>
          <w:b w:val="0"/>
          <w:i w:val="0"/>
          <w:color w:val="1E1E1E"/>
          <w:sz w:val="20"/>
        </w:rPr>
        <w:t>: Implements deterministic referral rules and exports FHIR-compliant diagnostic summaries.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2850"/>
          <w:sz w:val="23"/>
        </w:rPr>
        <w:t>9. DISCUSSION AND CLINICAL TRIAGE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Our empirical results demonstrate that no single model configuration universally optimizes all clinical criteria: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i w:val="0"/>
          <w:color w:val="1E1E1E"/>
          <w:sz w:val="20"/>
        </w:rPr>
        <w:t>Confirmatory Screening and Triage Efficiency: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Variant E (3-Seed Ensemble + TTA) is optimal when overall classification accuracy (</w:t>
      </w:r>
      <w:r>
        <w:rPr>
          <w:rFonts w:ascii="Times New Roman" w:hAnsi="Times New Roman"/>
          <w:b/>
          <w:i w:val="0"/>
          <w:color w:val="1E1E1E"/>
          <w:sz w:val="20"/>
        </w:rPr>
        <w:t>83.82%</w:t>
      </w:r>
      <w:r>
        <w:rPr>
          <w:rFonts w:ascii="Times New Roman" w:hAnsi="Times New Roman"/>
          <w:b w:val="0"/>
          <w:i w:val="0"/>
          <w:color w:val="1E1E1E"/>
          <w:sz w:val="20"/>
        </w:rPr>
        <w:t>) and high specificity across common grades are required. As quantified in Table 7, Variant E achieves the lowest over-referral rate (</w:t>
      </w:r>
      <w:r>
        <w:rPr>
          <w:rFonts w:ascii="Times New Roman" w:hAnsi="Times New Roman"/>
          <w:b/>
          <w:i w:val="0"/>
          <w:color w:val="1E1E1E"/>
          <w:sz w:val="20"/>
        </w:rPr>
        <w:t>2.52%</w:t>
      </w:r>
      <w:r>
        <w:rPr>
          <w:rFonts w:ascii="Times New Roman" w:hAnsi="Times New Roman"/>
          <w:b w:val="0"/>
          <w:i w:val="0"/>
          <w:color w:val="1E1E1E"/>
          <w:sz w:val="20"/>
        </w:rPr>
        <w:t>, 12/477), minimizing unnecessary hospital visits and reducing clinical burden on overstretched eye clinics. However, its unadjusted under-triage rate (</w:t>
      </w:r>
      <w:r>
        <w:rPr>
          <w:rFonts w:ascii="Times New Roman" w:hAnsi="Times New Roman"/>
          <w:b/>
          <w:i w:val="0"/>
          <w:color w:val="1E1E1E"/>
          <w:sz w:val="20"/>
        </w:rPr>
        <w:t>30.14%</w:t>
      </w:r>
      <w:r>
        <w:rPr>
          <w:rFonts w:ascii="Times New Roman" w:hAnsi="Times New Roman"/>
          <w:b w:val="0"/>
          <w:i w:val="0"/>
          <w:color w:val="1E1E1E"/>
          <w:sz w:val="20"/>
        </w:rPr>
        <w:t>) necessitates post-hoc logit adjustment (</w:t>
      </w:r>
      <m:oMath>
        <m:r>
          <m:t>τ=1.0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>, reducing under-triage to 19.18%) or dual-route screening when deployed for primary screening.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i w:val="0"/>
          <w:color w:val="1E1E1E"/>
          <w:sz w:val="20"/>
        </w:rPr>
        <w:t>Early Disease Detection and Sight Preservation: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Variant D (CORN) is preferable when maximizing sensitivity for vision-threatening Severe NPDR (</w:t>
      </w:r>
      <w:r>
        <w:rPr>
          <w:rFonts w:ascii="Times New Roman" w:hAnsi="Times New Roman"/>
          <w:b/>
          <w:i w:val="0"/>
          <w:color w:val="1E1E1E"/>
          <w:sz w:val="20"/>
        </w:rPr>
        <w:t>65.7%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) and minimizing missed sight-threatening diagnoses is paramount, reducing under-triage to </w:t>
      </w:r>
      <w:r>
        <w:rPr>
          <w:rFonts w:ascii="Times New Roman" w:hAnsi="Times New Roman"/>
          <w:b/>
          <w:i w:val="0"/>
          <w:color w:val="1E1E1E"/>
          <w:sz w:val="20"/>
        </w:rPr>
        <w:t>15.07%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(11/73).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i w:val="0"/>
          <w:color w:val="1E1E1E"/>
          <w:sz w:val="20"/>
        </w:rPr>
        <w:t>Safety Envelope: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Variant C (Continuous Regression) provides the lowest catastrophic multi-grade error rate (</w:t>
      </w:r>
      <w:r>
        <w:rPr>
          <w:rFonts w:ascii="Times New Roman" w:hAnsi="Times New Roman"/>
          <w:b/>
          <w:i w:val="0"/>
          <w:color w:val="1E1E1E"/>
          <w:sz w:val="20"/>
        </w:rPr>
        <w:t>3.8%</w:t>
      </w:r>
      <w:r>
        <w:rPr>
          <w:rFonts w:ascii="Times New Roman" w:hAnsi="Times New Roman"/>
          <w:b w:val="0"/>
          <w:i w:val="0"/>
          <w:color w:val="1E1E1E"/>
          <w:sz w:val="20"/>
        </w:rPr>
        <w:t>).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Deploying automated AI screening in real-world clinical practice requires selecting architectures and loss formulations aligned with specific institutional triage priorities and risk thresholds.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2850"/>
          <w:sz w:val="23"/>
        </w:rPr>
        <w:t>10. CONCLUSION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In this study, we addressed the limitation of nominal cross-entropy in Diabetic Retinopathy staging. Evaluating nominal, regression, ordinal, and ensembled paradigms on the APTOS 2019 benchmark using an EfficientNet-B0 backbone yielded three principal conclusions: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i w:val="0"/>
          <w:color w:val="1E1E1E"/>
          <w:sz w:val="20"/>
        </w:rPr>
        <w:t>Featured High-Accuracy Ensemble: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</w:t>
      </w:r>
      <w:r>
        <w:rPr>
          <w:rFonts w:ascii="Times New Roman" w:hAnsi="Times New Roman"/>
          <w:b/>
          <w:i w:val="0"/>
          <w:color w:val="1E1E1E"/>
          <w:sz w:val="20"/>
        </w:rPr>
        <w:t>Variant E: 3-Seed Ensemble + TTA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achieved the project's highest classification accuracy (</w:t>
      </w:r>
      <w:r>
        <w:rPr>
          <w:rFonts w:ascii="Times New Roman" w:hAnsi="Times New Roman"/>
          <w:b/>
          <w:i w:val="0"/>
          <w:color w:val="1E1E1E"/>
          <w:sz w:val="20"/>
        </w:rPr>
        <w:t>83.82%</w:t>
      </w:r>
      <w:r>
        <w:rPr>
          <w:rFonts w:ascii="Times New Roman" w:hAnsi="Times New Roman"/>
          <w:b w:val="0"/>
          <w:i w:val="0"/>
          <w:color w:val="1E1E1E"/>
          <w:sz w:val="20"/>
        </w:rPr>
        <w:t>, 95% CI: [80.73%, 86.73%], vs. 83.45% for the best single seed), with QWK (</w:t>
      </w:r>
      <w:r>
        <w:rPr>
          <w:rFonts w:ascii="Times New Roman" w:hAnsi="Times New Roman"/>
          <w:b/>
          <w:i w:val="0"/>
          <w:color w:val="1E1E1E"/>
          <w:sz w:val="20"/>
        </w:rPr>
        <w:t>0.8859</w:t>
      </w:r>
      <w:r>
        <w:rPr>
          <w:rFonts w:ascii="Times New Roman" w:hAnsi="Times New Roman"/>
          <w:b w:val="0"/>
          <w:i w:val="0"/>
          <w:color w:val="1E1E1E"/>
          <w:sz w:val="20"/>
        </w:rPr>
        <w:t>) and MAE (</w:t>
      </w:r>
      <w:r>
        <w:rPr>
          <w:rFonts w:ascii="Times New Roman" w:hAnsi="Times New Roman"/>
          <w:b/>
          <w:i w:val="0"/>
          <w:color w:val="1E1E1E"/>
          <w:sz w:val="20"/>
        </w:rPr>
        <w:t>0.2200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) comparable to the best single seed, reducing stochastic initialization variance across seeds (single-seed mean 82.73% </w:t>
      </w:r>
      <m:oMath>
        <m:r>
          <m:t>→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83.82%) while maintaining a catastrophic triage error rate of </w:t>
      </w:r>
      <w:r>
        <w:rPr>
          <w:rFonts w:ascii="Times New Roman" w:hAnsi="Times New Roman"/>
          <w:b/>
          <w:i w:val="0"/>
          <w:color w:val="1E1E1E"/>
          <w:sz w:val="20"/>
        </w:rPr>
        <w:t>4.36%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. Post-hoc logit adjustment reached a peak QWK of </w:t>
      </w:r>
      <w:r>
        <w:rPr>
          <w:rFonts w:ascii="Times New Roman" w:hAnsi="Times New Roman"/>
          <w:b/>
          <w:i w:val="0"/>
          <w:color w:val="1E1E1E"/>
          <w:sz w:val="20"/>
        </w:rPr>
        <w:t>0.8929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at </w:t>
      </w:r>
      <m:oMath>
        <m:r>
          <m:t>τ=0.5</m:t>
        </m:r>
      </m:oMath>
      <w:r>
        <w:rPr>
          <w:rFonts w:ascii="Times New Roman" w:hAnsi="Times New Roman"/>
          <w:b w:val="0"/>
          <w:i w:val="0"/>
          <w:color w:val="1E1E1E"/>
          <w:sz w:val="20"/>
        </w:rPr>
        <w:t xml:space="preserve"> in sensitivity testing.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i w:val="0"/>
          <w:color w:val="1E1E1E"/>
          <w:sz w:val="20"/>
        </w:rPr>
        <w:t>Minority-Class Protection: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Variant D (CORN) resolved the minority collapse of unweighted CORAL, attaining </w:t>
      </w:r>
      <w:r>
        <w:rPr>
          <w:rFonts w:ascii="Times New Roman" w:hAnsi="Times New Roman"/>
          <w:b/>
          <w:i w:val="0"/>
          <w:color w:val="1E1E1E"/>
          <w:sz w:val="20"/>
        </w:rPr>
        <w:t>65.7%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Severe NPDR sensitivity (vs. 36.84% reported by Shakibania et al. [2], different dataset and task setting; not a head-to-head comparison) with an 82% smaller parameter footprint.</w:t>
      </w:r>
    </w:p>
    <w:p>
      <w:pPr>
        <w:spacing w:before="0" w:after="20" w:line="252" w:lineRule="auto"/>
        <w:ind w:left="432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i w:val="0"/>
          <w:color w:val="1E1E1E"/>
          <w:sz w:val="20"/>
        </w:rPr>
        <w:t>Distance Regularization:</w:t>
      </w:r>
      <w:r>
        <w:rPr>
          <w:rFonts w:ascii="Times New Roman" w:hAnsi="Times New Roman"/>
          <w:b w:val="0"/>
          <w:i w:val="0"/>
          <w:color w:val="1E1E1E"/>
          <w:sz w:val="20"/>
        </w:rPr>
        <w:t xml:space="preserve"> Continuous regression (Variant C) achieved the tightest error distribution, holding catastrophic multi-grade errors to </w:t>
      </w:r>
      <w:r>
        <w:rPr>
          <w:rFonts w:ascii="Times New Roman" w:hAnsi="Times New Roman"/>
          <w:b/>
          <w:i w:val="0"/>
          <w:color w:val="1E1E1E"/>
          <w:sz w:val="20"/>
        </w:rPr>
        <w:t>3.8%</w:t>
      </w:r>
      <w:r>
        <w:rPr>
          <w:rFonts w:ascii="Times New Roman" w:hAnsi="Times New Roman"/>
          <w:b w:val="0"/>
          <w:i w:val="0"/>
          <w:color w:val="1E1E1E"/>
          <w:sz w:val="20"/>
        </w:rPr>
        <w:t>.</w:t>
      </w:r>
    </w:p>
    <w:p>
      <w:pPr>
        <w:spacing w:before="0" w:after="40" w:line="252" w:lineRule="auto"/>
        <w:jc w:val="both"/>
      </w:pPr>
      <w:r>
        <w:rPr>
          <w:rFonts w:ascii="Times New Roman" w:hAnsi="Times New Roman"/>
          <w:b w:val="0"/>
          <w:i w:val="0"/>
          <w:color w:val="1E1E1E"/>
          <w:sz w:val="20"/>
        </w:rPr>
        <w:t>All models operate on lightweight 5.3M-parameter backbones on consumer laptop hardware under 1 GB of VRAM. Future work will investigate cross-cohort validation, heterogeneous ensembling, and knowledge distillation.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42850"/>
          <w:sz w:val="23"/>
        </w:rPr>
        <w:t>11. REFERENCES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[1]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N. E. M. Khalifa, M. H. N. Taha, A. E. Hassanien, and I. M. Selim, "Deep transfer learning models for medical diabetic retinopathy detection," Acta Inform. Med., vol. 27, no. 5, pp. 327–331, Dec. 2019, doi: 10.5455/aim.2019.27.327-331.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[2]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N. Shakibania, S. Khosravi, H. Danyali, and M. S. Helfroush, "Dual branch deep learning network for detection and stage grading of diabetic retinopathy," arXiv preprint arXiv:2308.09945, Aug. 2023.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[3]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B. Tymchenko, P. Marchenko, and D. Spodarets, "Deep learning approach to diabetic retinopathy detection," arXiv preprint arXiv:2003.02261, Mar. 2020.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[4]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M. A. Mardianta, A. Arifianto, and C. Fatichah, "Diabetic retinopathy detection based on convolutional neural networks with SMOTE and CLAHE techniques applied to fundus images," arXiv preprint arXiv:2504.05696, Apr. 2025.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[5]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R. Karthik, R. Pandiyaraju, and T. Mynampati, "Explainable AI for diabetic retinopathy detection using deep learning with attention mechanisms and fuzzy logic-based interpretability," arXiv preprint arXiv:2511.16294, Nov. 2025.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[6]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S. Khokhar, M. A. A. Baig, M. U. G. Khan, and H. A. Al-Nawaiseh, "From pixels to explanations: Interpretable diabetic retinopathy grading with CNN-Transformer ensembles, visual explainability and vision-language models," arXiv preprint arXiv:2604.23079, Apr. 2026.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[7]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V. Manoj and S. Bhosale, "Detection and classification of diabetic retinopathy using deep learning algorithms for segmentation to facilitate referral recommendation," arXiv preprint arXiv:2401.02759, Jan. 2024.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[8]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W. Cao, V. Mirjalili, and S. Raschka, "Rank consistent ordinal regression for neural networks with application to age estimation," Pattern Recognition Letters, vol. 140, pp. 325–331, Dec. 2020.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[9]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J. Cohen, "A coefficient of agreement for nominal scales," Educational and Psychological Measurement, vol. 20, no. 1, pp. 37–46, 1960.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[10]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C. P. Wilkinson, F. L. Ferris, R. E. Klein, P. P. Lee, C. D. Agardh, M. Davis, D. Dills, A. Kampik, R. Pararajasegaram, and J. T. Verdaguer, "Proposed international clinical diabetic retinopathy and diabetic macular edema disease severity scales," Ophthalmology, vol. 110, no. 9, pp. 1677–1682, Sep. 2003.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[11]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K. He, X. Zhang, S. Ren, and J. Sun, "Deep residual learning for image recognition," in Proc. IEEE Conf. Comput. Vis. Pattern Recognit. (CVPR), 2016, pp. 770–778.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[12]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APTOS 2019 Blindness Detection, Kaggle Competition Dataset, Asia Pacific Tele-Ophthalmology Society, 2019. [Online]. Available: https://www.kaggle.com/c/aptos2019-blindness-detection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[13]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X. Shi, W. Cao, and S. Raschka, "Deep neural networks for rank-consistent ordinal regression based on conditional probabilities," Pattern Recognition Letters, vol. 152, pp. 110–116, 2021.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[14]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Y. Cui, M. Jia, T.-Y. Lin, Y. Song, and S. Belongie, "Class-balanced loss based on effective number of samples," in Proc. IEEE Conf. Comput. Vis. Pattern Recognit. (CVPR), 2019, pp. 9268–9277.</w:t>
      </w:r>
    </w:p>
    <w:p>
      <w:pPr>
        <w:spacing w:before="0" w:after="40" w:line="264" w:lineRule="auto"/>
        <w:ind w:left="432" w:hanging="432"/>
        <w:jc w:val="both"/>
      </w:pPr>
      <w:r>
        <w:rPr>
          <w:rFonts w:ascii="Times New Roman" w:hAnsi="Times New Roman"/>
          <w:b/>
          <w:sz w:val="18"/>
        </w:rPr>
        <w:t>[15]</w:t>
        <w:tab/>
      </w:r>
      <w:r>
        <w:rPr>
          <w:rFonts w:ascii="Times New Roman" w:hAnsi="Times New Roman"/>
          <w:b w:val="0"/>
          <w:i w:val="0"/>
          <w:color w:val="1E1E1E"/>
          <w:sz w:val="18"/>
        </w:rPr>
        <w:t>A. K. Menon, S. Jayasumana, A. S. Rawat, H. Jain, A. Veit, and S. Kumar, "Long-tail learning via logit adjustment," in Proc. Int. Conf. Learn. Represent. (ICLR), 2021.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