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Times New Roman" w:hAnsi="Times New Roman"/>
          <w:b/>
          <w:color w:val="0F1E3C"/>
          <w:sz w:val="40"/>
        </w:rPr>
        <w:t>Ordinal Neural Networks for Diabetic Retinopathy Staging: Enforcing Monotonic Rank Consistency for Safety-Critical Clinical Decision Support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insideH w:val="none"/>
          <w:insideV w:val="none"/>
          <w:left w:val="none"/>
          <w:right w:val="none"/>
        </w:tblBorders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tcW w:w="2610" w:type="dxa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Nayna Sharma</w:t>
              <w:br/>
            </w:r>
            <w:r>
              <w:rPr>
                <w:rFonts w:ascii="Times New Roman" w:hAnsi="Times New Roman"/>
                <w:sz w:val="17"/>
              </w:rPr>
              <w:t>PRN: 1262241524</w:t>
              <w:br/>
            </w:r>
            <w:r>
              <w:rPr>
                <w:rFonts w:ascii="Times New Roman" w:hAnsi="Times New Roman"/>
                <w:i/>
                <w:sz w:val="17"/>
              </w:rPr>
              <w:t>Dept. of Computer Science &amp; Engg.</w:t>
              <w:br/>
            </w:r>
            <w:r>
              <w:rPr>
                <w:rFonts w:ascii="Times New Roman" w:hAnsi="Times New Roman"/>
                <w:i/>
                <w:sz w:val="17"/>
              </w:rPr>
              <w:t>MIT World Peace University</w:t>
              <w:br/>
            </w:r>
            <w:r>
              <w:rPr>
                <w:rFonts w:ascii="Times New Roman" w:hAnsi="Times New Roman"/>
                <w:sz w:val="17"/>
              </w:rPr>
              <w:t>Pune, India</w:t>
              <w:br/>
            </w:r>
            <w:r>
              <w:rPr>
                <w:rFonts w:ascii="Times New Roman" w:hAnsi="Times New Roman"/>
                <w:sz w:val="17"/>
              </w:rPr>
              <w:t>nayna.sharma@mitwpu.edu.in</w:t>
            </w:r>
          </w:p>
        </w:tc>
        <w:tc>
          <w:tcPr>
            <w:tcW w:type="dxa" w:w="2613"/>
            <w:tcW w:w="2610" w:type="dxa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Harshad Pardhi</w:t>
              <w:br/>
            </w:r>
            <w:r>
              <w:rPr>
                <w:rFonts w:ascii="Times New Roman" w:hAnsi="Times New Roman"/>
                <w:sz w:val="17"/>
              </w:rPr>
              <w:t>PRN: 1262241534</w:t>
              <w:br/>
            </w:r>
            <w:r>
              <w:rPr>
                <w:rFonts w:ascii="Times New Roman" w:hAnsi="Times New Roman"/>
                <w:i/>
                <w:sz w:val="17"/>
              </w:rPr>
              <w:t>Dept. of Computer Science &amp; Engg.</w:t>
              <w:br/>
            </w:r>
            <w:r>
              <w:rPr>
                <w:rFonts w:ascii="Times New Roman" w:hAnsi="Times New Roman"/>
                <w:i/>
                <w:sz w:val="17"/>
              </w:rPr>
              <w:t>MIT World Peace University</w:t>
              <w:br/>
            </w:r>
            <w:r>
              <w:rPr>
                <w:rFonts w:ascii="Times New Roman" w:hAnsi="Times New Roman"/>
                <w:sz w:val="17"/>
              </w:rPr>
              <w:t>Pune, India</w:t>
              <w:br/>
            </w:r>
            <w:r>
              <w:rPr>
                <w:rFonts w:ascii="Times New Roman" w:hAnsi="Times New Roman"/>
                <w:sz w:val="17"/>
              </w:rPr>
              <w:t>harshad.pardhi@mitwpu.edu.in</w:t>
            </w:r>
          </w:p>
        </w:tc>
        <w:tc>
          <w:tcPr>
            <w:tcW w:type="dxa" w:w="2613"/>
            <w:tcW w:w="2610" w:type="dxa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Aaryan Kumbhare</w:t>
              <w:br/>
            </w:r>
            <w:r>
              <w:rPr>
                <w:rFonts w:ascii="Times New Roman" w:hAnsi="Times New Roman"/>
                <w:sz w:val="17"/>
              </w:rPr>
              <w:t>PRN: 1262241729</w:t>
              <w:br/>
            </w:r>
            <w:r>
              <w:rPr>
                <w:rFonts w:ascii="Times New Roman" w:hAnsi="Times New Roman"/>
                <w:i/>
                <w:sz w:val="17"/>
              </w:rPr>
              <w:t>Dept. of Computer Science &amp; Engg.</w:t>
              <w:br/>
            </w:r>
            <w:r>
              <w:rPr>
                <w:rFonts w:ascii="Times New Roman" w:hAnsi="Times New Roman"/>
                <w:i/>
                <w:sz w:val="17"/>
              </w:rPr>
              <w:t>MIT World Peace University</w:t>
              <w:br/>
            </w:r>
            <w:r>
              <w:rPr>
                <w:rFonts w:ascii="Times New Roman" w:hAnsi="Times New Roman"/>
                <w:sz w:val="17"/>
              </w:rPr>
              <w:t>Pune, India</w:t>
              <w:br/>
            </w:r>
            <w:r>
              <w:rPr>
                <w:rFonts w:ascii="Times New Roman" w:hAnsi="Times New Roman"/>
                <w:sz w:val="17"/>
              </w:rPr>
              <w:t>aaryan.kumbhare@mitwpu.edu.in</w:t>
            </w:r>
          </w:p>
        </w:tc>
        <w:tc>
          <w:tcPr>
            <w:tcW w:type="dxa" w:w="2613"/>
            <w:tcW w:w="2610" w:type="dxa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Anurag Harapanahalli</w:t>
              <w:br/>
            </w:r>
            <w:r>
              <w:rPr>
                <w:rFonts w:ascii="Times New Roman" w:hAnsi="Times New Roman"/>
                <w:sz w:val="17"/>
              </w:rPr>
              <w:t>PRN: 1262241775</w:t>
              <w:br/>
            </w:r>
            <w:r>
              <w:rPr>
                <w:rFonts w:ascii="Times New Roman" w:hAnsi="Times New Roman"/>
                <w:i/>
                <w:sz w:val="17"/>
              </w:rPr>
              <w:t>Dept. of Computer Science &amp; Engg.</w:t>
              <w:br/>
            </w:r>
            <w:r>
              <w:rPr>
                <w:rFonts w:ascii="Times New Roman" w:hAnsi="Times New Roman"/>
                <w:i/>
                <w:sz w:val="17"/>
              </w:rPr>
              <w:t>MIT World Peace University</w:t>
              <w:br/>
            </w:r>
            <w:r>
              <w:rPr>
                <w:rFonts w:ascii="Times New Roman" w:hAnsi="Times New Roman"/>
                <w:sz w:val="17"/>
              </w:rPr>
              <w:t>Pune, India</w:t>
              <w:br/>
            </w:r>
            <w:r>
              <w:rPr>
                <w:rFonts w:ascii="Times New Roman" w:hAnsi="Times New Roman"/>
                <w:sz w:val="17"/>
              </w:rPr>
              <w:t>anurag.harapanahalli@mitwpu.edu.in</w:t>
            </w:r>
          </w:p>
        </w:tc>
      </w:tr>
    </w:tbl>
    <w:p>
      <w:pPr>
        <w:spacing w:before="120" w:after="200" w:line="252" w:lineRule="auto"/>
        <w:jc w:val="center"/>
      </w:pPr>
      <w:r>
        <w:rPr>
          <w:rFonts w:ascii="Times New Roman" w:hAnsi="Times New Roman"/>
          <w:i/>
          <w:color w:val="464646"/>
          <w:sz w:val="17"/>
        </w:rPr>
        <w:t>Course: Artificial Intelligence &amp; Expert Systems Laboratory (CSE30070)  •  Project Mentor: Prof. Pramod Mali  •  Academic Year: 2026–2027</w:t>
      </w:r>
    </w:p>
    <w:p>
      <w:pPr>
        <w:sectPr>
          <w:pgSz w:w="12240" w:h="15840"/>
          <w:pgMar w:top="1080" w:right="893" w:bottom="1440" w:left="893" w:header="720" w:footer="720" w:gutter="0"/>
          <w:cols w:num="1"/>
          <w:docGrid w:linePitch="360"/>
        </w:sectPr>
      </w:pPr>
    </w:p>
    <w:p>
      <w:pPr>
        <w:keepNext/>
        <w:spacing w:before="160" w:after="50"/>
        <w:jc w:val="center"/>
      </w:pPr>
      <w:r>
        <w:rPr>
          <w:rFonts w:ascii="Times New Roman" w:hAnsi="Times New Roman"/>
          <w:b/>
          <w:color w:val="0F1E3C"/>
          <w:sz w:val="20"/>
        </w:rPr>
        <w:t>I.  ABSTRACT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/>
          <w:i/>
          <w:sz w:val="18"/>
        </w:rPr>
        <w:t>Abstract—</w:t>
      </w:r>
      <w:r>
        <w:rPr>
          <w:rFonts w:ascii="Times New Roman" w:hAnsi="Times New Roman"/>
          <w:b w:val="0"/>
          <w:i w:val="0"/>
          <w:color w:val="1E1E1E"/>
          <w:sz w:val="18"/>
        </w:rPr>
        <w:t>Automated grading of Diabetic Retinopathy (DR) across the 5-point International Clinical Diabetic Retinopathy (ICDR) scale (Grade 0: No DR, Grade 1: Mild Non-Proliferative DR [NPDR], Grade 2: Moderate NPDR, Grade 3: Severe NPDR, Grade 4: Proliferative DR [PDR]) is essential for scalable screening but vulnerable to triage failure when trained with standard nominal cross-entropy. Categorical cross-entropy treats all diagnostic errors symmetrically: confusing vision-threatening PDR (Grade 4) with healthy tissue (Grade 0) incurs the same loss penalty as confusing it with Severe NPDR (Grade 3), despite the drastically different clinical consequences.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8"/>
        </w:rPr>
        <w:t>In this work, we evaluate rank-consistent ordinal formulations and regularized ensembling on the APTOS 2019 benchmark (3,662 fundus photographs) using a uniform, lightweight EfficientNet-B0 backbone (5.3M parameters). We compare five paradigms under locked stratified data splits: (A) Nominal Softmax Baseline, (B) Consistent Rank Logits (CORAL), (C) Continuous Regression with Smooth L1 loss, (D) Conditional Ordinal Regression for Neural Networks (CORN) with effective-number class weighting and differentiable Soft-QWK loss, and (E) a 3-Seed Regularized Ensemble with label smoothing (</w:t>
      </w:r>
      <m:oMath>
        <m:r>
          <m:t>α=0.08</m:t>
        </m:r>
      </m:oMath>
      <w:r>
        <w:rPr>
          <w:rFonts w:ascii="Times New Roman" w:hAnsi="Times New Roman"/>
          <w:b w:val="0"/>
          <w:i w:val="0"/>
          <w:color w:val="1E1E1E"/>
          <w:sz w:val="18"/>
        </w:rPr>
        <w:t>) and test-time augmentation (TTA).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8"/>
        </w:rPr>
        <w:t xml:space="preserve">Our featured model, </w:t>
      </w:r>
      <w:r>
        <w:rPr>
          <w:rFonts w:ascii="Times New Roman" w:hAnsi="Times New Roman"/>
          <w:b/>
          <w:i w:val="0"/>
          <w:color w:val="1E1E1E"/>
          <w:sz w:val="18"/>
        </w:rPr>
        <w:t>Variant E: 3-Seed Ensemble + TTA</w:t>
      </w:r>
      <w:r>
        <w:rPr>
          <w:rFonts w:ascii="Times New Roman" w:hAnsi="Times New Roman"/>
          <w:b w:val="0"/>
          <w:i w:val="0"/>
          <w:color w:val="1E1E1E"/>
          <w:sz w:val="18"/>
        </w:rPr>
        <w:t>, achieves the highest classification accuracy (</w:t>
      </w:r>
      <w:r>
        <w:rPr>
          <w:rFonts w:ascii="Times New Roman" w:hAnsi="Times New Roman"/>
          <w:b/>
          <w:i w:val="0"/>
          <w:color w:val="1E1E1E"/>
          <w:sz w:val="18"/>
        </w:rPr>
        <w:t>83.82%</w:t>
      </w:r>
      <w:r>
        <w:rPr>
          <w:rFonts w:ascii="Times New Roman" w:hAnsi="Times New Roman"/>
          <w:b w:val="0"/>
          <w:i w:val="0"/>
          <w:color w:val="1E1E1E"/>
          <w:sz w:val="18"/>
        </w:rPr>
        <w:t xml:space="preserve">, 95% CI: [80.73%, 86.73%], vs. 83.45% for the best single seed), with Quadratic Weighted Kappa (QWK: </w:t>
      </w:r>
      <w:r>
        <w:rPr>
          <w:rFonts w:ascii="Times New Roman" w:hAnsi="Times New Roman"/>
          <w:b/>
          <w:i w:val="0"/>
          <w:color w:val="1E1E1E"/>
          <w:sz w:val="18"/>
        </w:rPr>
        <w:t>0.8859</w:t>
      </w:r>
      <w:r>
        <w:rPr>
          <w:rFonts w:ascii="Times New Roman" w:hAnsi="Times New Roman"/>
          <w:b w:val="0"/>
          <w:i w:val="0"/>
          <w:color w:val="1E1E1E"/>
          <w:sz w:val="18"/>
        </w:rPr>
        <w:t xml:space="preserve">, 95% CI: [0.8503, 0.9170]) and Mean Absolute Error (MAE: </w:t>
      </w:r>
      <w:r>
        <w:rPr>
          <w:rFonts w:ascii="Times New Roman" w:hAnsi="Times New Roman"/>
          <w:b/>
          <w:i w:val="0"/>
          <w:color w:val="1E1E1E"/>
          <w:sz w:val="18"/>
        </w:rPr>
        <w:t>0.2200</w:t>
      </w:r>
      <w:r>
        <w:rPr>
          <w:rFonts w:ascii="Times New Roman" w:hAnsi="Times New Roman"/>
          <w:b w:val="0"/>
          <w:i w:val="0"/>
          <w:color w:val="1E1E1E"/>
          <w:sz w:val="18"/>
        </w:rPr>
        <w:t xml:space="preserve">, 95% CI: [0.1727, 0.2691]) comparable to the best single seed (Seed 44: QWK 0.8901, MAE 0.2200). Its primary benefit is stability across seeds (single-seed mean 82.73% </w:t>
      </w:r>
      <m:oMath>
        <m:r>
          <m:t>→</m:t>
        </m:r>
      </m:oMath>
      <w:r>
        <w:rPr>
          <w:rFonts w:ascii="Times New Roman" w:hAnsi="Times New Roman"/>
          <w:b w:val="0"/>
          <w:i w:val="0"/>
          <w:color w:val="1E1E1E"/>
          <w:sz w:val="18"/>
        </w:rPr>
        <w:t xml:space="preserve"> 83.82%), reducing variance across stochastic training trajectories rather than yielding a large gain over the best seed. The ensemble maintains a catastrophic triage error rate (</w:t>
      </w:r>
      <m:oMath>
        <m:r>
          <m:t>|y−</m:t>
        </m:r>
        <m:acc>
          <m:accPr>
            <m:chr m:val="̂"/>
          </m:accPr>
          <m:e>
            <m:r>
              <m:t>y</m:t>
            </m:r>
          </m:e>
        </m:acc>
        <m:r>
          <m:t>|≥2</m:t>
        </m:r>
      </m:oMath>
      <w:r>
        <w:rPr>
          <w:rFonts w:ascii="Times New Roman" w:hAnsi="Times New Roman"/>
          <w:b w:val="0"/>
          <w:i w:val="0"/>
          <w:color w:val="1E1E1E"/>
          <w:sz w:val="18"/>
        </w:rPr>
        <w:t xml:space="preserve">) of </w:t>
      </w:r>
      <w:r>
        <w:rPr>
          <w:rFonts w:ascii="Times New Roman" w:hAnsi="Times New Roman"/>
          <w:b/>
          <w:i w:val="0"/>
          <w:color w:val="1E1E1E"/>
          <w:sz w:val="18"/>
        </w:rPr>
        <w:t>4.36%</w:t>
      </w:r>
      <w:r>
        <w:rPr>
          <w:rFonts w:ascii="Times New Roman" w:hAnsi="Times New Roman"/>
          <w:b w:val="0"/>
          <w:i w:val="0"/>
          <w:color w:val="1E1E1E"/>
          <w:sz w:val="18"/>
        </w:rPr>
        <w:t>. Concurrently, other formulations demonstrate specialized strengths: Variant D (CORN) delivers the highest Severe NPDR sensitivity (</w:t>
      </w:r>
      <w:r>
        <w:rPr>
          <w:rFonts w:ascii="Times New Roman" w:hAnsi="Times New Roman"/>
          <w:b/>
          <w:i w:val="0"/>
          <w:color w:val="1E1E1E"/>
          <w:sz w:val="18"/>
        </w:rPr>
        <w:t>65.7%</w:t>
      </w:r>
      <w:r>
        <w:rPr>
          <w:rFonts w:ascii="Times New Roman" w:hAnsi="Times New Roman"/>
          <w:b w:val="0"/>
          <w:i w:val="0"/>
          <w:color w:val="1E1E1E"/>
          <w:sz w:val="18"/>
        </w:rPr>
        <w:t>, 95% CI: [48.3%, 82.9%]), resolving the minority-class collapse observed in unweighted CORAL (0.0% recall) and improving upon the 36.84% reported by Shakibania et al. [2] (different dataset and task setting; not a head-to-head comparison), while Variant C (Continuous Regression) achieves the lowest overall catastrophic error rate (</w:t>
      </w:r>
      <w:r>
        <w:rPr>
          <w:rFonts w:ascii="Times New Roman" w:hAnsi="Times New Roman"/>
          <w:b/>
          <w:i w:val="0"/>
          <w:color w:val="1E1E1E"/>
          <w:sz w:val="18"/>
        </w:rPr>
        <w:t>3.8%</w:t>
      </w:r>
      <w:r>
        <w:rPr>
          <w:rFonts w:ascii="Times New Roman" w:hAnsi="Times New Roman"/>
          <w:b w:val="0"/>
          <w:i w:val="0"/>
          <w:color w:val="1E1E1E"/>
          <w:sz w:val="18"/>
        </w:rPr>
        <w:t>). Post-hoc logit adjustment on the ensemble offers an adjustable accuracy–sensitivity operating curve without retraining. These results demonstrate that combining lightweight architectures with ordinal-aware formulations provides practical, deployable decision support for clinical screening.</w:t>
      </w:r>
    </w:p>
    <w:p>
      <w:pPr>
        <w:spacing w:before="60" w:after="120" w:line="252" w:lineRule="auto"/>
        <w:jc w:val="both"/>
      </w:pPr>
      <w:r>
        <w:rPr>
          <w:rFonts w:ascii="Times New Roman" w:hAnsi="Times New Roman"/>
          <w:b/>
          <w:i/>
          <w:sz w:val="18"/>
        </w:rPr>
        <w:t>Keywords—</w:t>
      </w:r>
      <w:r>
        <w:rPr>
          <w:rFonts w:ascii="Times New Roman" w:hAnsi="Times New Roman"/>
          <w:sz w:val="18"/>
        </w:rPr>
        <w:t>Diabetic retinopathy grading, ordinal regression, conditional ordinal regression (CORN), Quadratic Weighted Kappa (QWK), clinical triage, test-time augmentation, multi-seed ensemble, EfficientNet-B0.</w:t>
      </w:r>
    </w:p>
    <w:p>
      <w:pPr>
        <w:keepNext/>
        <w:spacing w:before="160" w:after="50"/>
        <w:jc w:val="center"/>
      </w:pPr>
      <w:r>
        <w:rPr>
          <w:rFonts w:ascii="Times New Roman" w:hAnsi="Times New Roman"/>
          <w:b/>
          <w:color w:val="0F1E3C"/>
          <w:sz w:val="20"/>
        </w:rPr>
        <w:t>II.  LITERATURE SURVEY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>Deep learning for DR screening has evolved from binary classification to multi-stage grading and multimodal explanations. However, most published models optimize nominal cross-entropy, creating metric blindness across disease stages. In this section, we review seven representative studies, identifying their methodologies and clinical limitations.</w:t>
      </w:r>
    </w:p>
    <w:p>
      <w:pPr>
        <w:keepNext/>
        <w:spacing w:before="120" w:after="40"/>
      </w:pPr>
      <w:r>
        <w:rPr>
          <w:rFonts w:ascii="Times New Roman" w:hAnsi="Times New Roman"/>
          <w:b/>
          <w:i/>
          <w:color w:val="1E2846"/>
          <w:sz w:val="19"/>
        </w:rPr>
        <w:t>A.  Analysis of Existing Literature</w:t>
      </w:r>
    </w:p>
    <w:p>
      <w:pPr>
        <w:keepNext/>
        <w:spacing w:before="80" w:after="30"/>
      </w:pPr>
      <w:r>
        <w:rPr>
          <w:rFonts w:ascii="Times New Roman" w:hAnsi="Times New Roman"/>
          <w:b/>
          <w:i/>
          <w:color w:val="283246"/>
          <w:sz w:val="18"/>
        </w:rPr>
        <w:t>1. Khalifa et al. (2019) — Deep Transfer Learning Models for Medical DR Detection [1]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 xml:space="preserve">Khalifa et al. evaluated six pre-trained CNNs (AlexNet, ResNet-18, SqueezeNet, GoogleNet, VGG-16, VGG-19) on the APTOS 2019 dataset (3,662 fundus images) across the full 5-stage ICDR scale. Although AlexNet reported 97.9% accuracy, a 4-fold offline geometric/color augmentation was executed across the aggregate dataset </w:t>
      </w:r>
      <w:r>
        <w:rPr>
          <w:rFonts w:ascii="Times New Roman" w:hAnsi="Times New Roman"/>
          <w:b w:val="0"/>
          <w:i/>
          <w:color w:val="1E1E1E"/>
          <w:sz w:val="19"/>
        </w:rPr>
        <w:t>prior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to splitting (expanding to 14,648 images), introducing cross-split data leakage. Furthermore, Grade 3 (Severe NPDR) suffered the lowest classification accuracy across all architectures (falling to 67.8% in SqueezeNet).</w:t>
      </w:r>
    </w:p>
    <w:p>
      <w:pPr>
        <w:keepNext/>
        <w:spacing w:before="80" w:after="30"/>
      </w:pPr>
      <w:r>
        <w:rPr>
          <w:rFonts w:ascii="Times New Roman" w:hAnsi="Times New Roman"/>
          <w:b/>
          <w:i/>
          <w:color w:val="283246"/>
          <w:sz w:val="18"/>
        </w:rPr>
        <w:t>2. Shakibania et al. (2023) — Dual Branch Network for Detection and Stage Grading of DR [2]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 xml:space="preserve">Shakibania et al. designed a two-branch ResNet-50 and EfficientNet-B0 network (~30M parameters) evaluated on standalone APTOS 2019 (88.1% multi-class accuracy, 91.8% QWK) and on a selectively merged multi-center dataset (APTOS 2019, Messidor-2, IDRiD; 89.60% multi-class accuracy, 93.00% QWK). Under unweighted Complement Cross Entropy (CCE), Grade 3 (Severe NPDR) sensitivity collapsed to </w:t>
      </w:r>
      <w:r>
        <w:rPr>
          <w:rFonts w:ascii="Times New Roman" w:hAnsi="Times New Roman"/>
          <w:b/>
          <w:i w:val="0"/>
          <w:color w:val="1E1E1E"/>
          <w:sz w:val="19"/>
        </w:rPr>
        <w:t>36.84%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due to feature overlap and class imbalance. In our experiments, Variant D (CORN) achieves </w:t>
      </w:r>
      <w:r>
        <w:rPr>
          <w:rFonts w:ascii="Times New Roman" w:hAnsi="Times New Roman"/>
          <w:b/>
          <w:i w:val="0"/>
          <w:color w:val="1E1E1E"/>
          <w:sz w:val="19"/>
        </w:rPr>
        <w:t>65.7%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Severe NPDR sensitivity with a single 5.3M-parameter model, representing an absolute improvement of +28.86% with 82% fewer parameters (different dataset and task setting; not a head-to-head comparison).</w:t>
      </w:r>
    </w:p>
    <w:p>
      <w:pPr>
        <w:keepNext/>
        <w:spacing w:before="80" w:after="30"/>
      </w:pPr>
      <w:r>
        <w:rPr>
          <w:rFonts w:ascii="Times New Roman" w:hAnsi="Times New Roman"/>
          <w:b/>
          <w:i/>
          <w:color w:val="283246"/>
          <w:sz w:val="18"/>
        </w:rPr>
        <w:t>3. Tymchenko, Marchenko, and Spodarets (2020) — Deep Learning Approach to DR Detection [3]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>Tymchenko et al. proposed a multi-target learning paradigm that jointly trained nominal classification (Cross-Entropy + Focal loss), ordinal regression (</w:t>
      </w:r>
      <m:oMath>
        <m:r>
          <m:t>K−1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 rank thresholds with binary focal loss), and continuous regression (MAE/MSE) heads on heavy ensembles of EfficientNet-B4/B5 and SE-ResNeXt-50. Pre-trained on EyePACS (35,126 images) and fine-tuned on APTOS 2019, IDRiD, and Messidor, their ensemble ranked 54th out of 2,943 teams on Kaggle with an official test QWK of 0.925. However, joint multi-task training on heavy multi-model ensembles did not isolate the independent contribution of ordinal rank loss versus continuous regression on a single compact architecture.</w:t>
      </w:r>
    </w:p>
    <w:p>
      <w:pPr>
        <w:keepNext/>
        <w:spacing w:before="80" w:after="30"/>
      </w:pPr>
      <w:r>
        <w:rPr>
          <w:rFonts w:ascii="Times New Roman" w:hAnsi="Times New Roman"/>
          <w:b/>
          <w:i/>
          <w:color w:val="283246"/>
          <w:sz w:val="18"/>
        </w:rPr>
        <w:t>4. Mardianta, Arifianto, and Fatichah (2025) — CNN with SMOTE and CLAHE Applied to Fundus Images [4]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>Mardianta et al. addressed class imbalance on APTOS 2019 using CLAHE and Synthetic Minority Over-sampling Technique (SMOTE) with a pre-trained Xception CNN, reporting 99.55% binary accuracy and 95.26% 5-class accuracy. However, synthesizing retinal feature vectors via linear SMOTE interpolation risks generating non-anatomical artifacts and data leakage, while treating 5-class grading as nominal cross-entropy without evaluating clinical QWK.</w:t>
      </w:r>
    </w:p>
    <w:p>
      <w:pPr>
        <w:keepNext/>
        <w:spacing w:before="80" w:after="30"/>
      </w:pPr>
      <w:r>
        <w:rPr>
          <w:rFonts w:ascii="Times New Roman" w:hAnsi="Times New Roman"/>
          <w:b/>
          <w:i/>
          <w:color w:val="283246"/>
          <w:sz w:val="18"/>
        </w:rPr>
        <w:t>5. Karthik, Pandiyaraju, and Mynampati (2025) — Explainable AI for DR Detection [5]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 xml:space="preserve">Karthik et al. combined EfficientNetV2-B3 with channel attention and fuzzy membership classification on APTOS 2019 (366 test images), reporting 91.5% accuracy by collapsing the five ICDR stages into three coarse categories (Normal, Mild/Moderate, Severe/Proliferative). Even under this simplified 3-class scheme, their severe/proliferative sensitivity reached only 58% (missing 42% of sight-threatening cases). We preserve the full 5-tier clinical standard while attaining </w:t>
      </w:r>
      <w:r>
        <w:rPr>
          <w:rFonts w:ascii="Times New Roman" w:hAnsi="Times New Roman"/>
          <w:b/>
          <w:i w:val="0"/>
          <w:color w:val="1E1E1E"/>
          <w:sz w:val="19"/>
        </w:rPr>
        <w:t>65.7%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Severe NPDR sensitivity.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>Khokhar et al. benchmarked six CNN and Transformer backbones (ResNet-50 reaching 0.919 QWK, Swin reaching 0.916 QWK) under 5-fold cross-validation with weighted soft voting and paired medical Vision-Language Models (LLaVA-Med-v1.5, 7B parameters) for rationale generation on APTOS 2019. Although multimodal explanations are valuable, the large parameter footprint limits point-of-care mobile deployment. Our framework achieves competitive diagnostic accuracy (</w:t>
      </w:r>
      <w:r>
        <w:rPr>
          <w:rFonts w:ascii="Times New Roman" w:hAnsi="Times New Roman"/>
          <w:b/>
          <w:i w:val="0"/>
          <w:color w:val="1E1E1E"/>
          <w:sz w:val="19"/>
        </w:rPr>
        <w:t>0.8859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QWK, </w:t>
      </w:r>
      <w:r>
        <w:rPr>
          <w:rFonts w:ascii="Times New Roman" w:hAnsi="Times New Roman"/>
          <w:b/>
          <w:i w:val="0"/>
          <w:color w:val="1E1E1E"/>
          <w:sz w:val="19"/>
        </w:rPr>
        <w:t>83.82%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accuracy) using a compact 5.3M-parameter backbone.</w:t>
      </w:r>
    </w:p>
    <w:p>
      <w:pPr>
        <w:keepNext/>
        <w:spacing w:before="80" w:after="30"/>
      </w:pPr>
      <w:r>
        <w:rPr>
          <w:rFonts w:ascii="Times New Roman" w:hAnsi="Times New Roman"/>
          <w:b/>
          <w:i/>
          <w:color w:val="283246"/>
          <w:sz w:val="18"/>
        </w:rPr>
        <w:t>7. Manoj and Bhosale (2024) — Lesion Segmentation to Facilitate Referral Recommendation [7]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>Manoj and Bhosale combined U-Net segmentation of six retinal lesion structures on IDRiD with upstream DR classification and ChatGPT-generated referral recommendations. However, segmentation requires dense pixel annotations, and unverified language model referrals risk patient safety when upstream nominal classification makes multi-grade errors. Our approach directly bounds catastrophic errors (</w:t>
      </w:r>
      <m:oMath>
        <m:r>
          <m:t>d≥2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) to </w:t>
      </w:r>
      <w:r>
        <w:rPr>
          <w:rFonts w:ascii="Times New Roman" w:hAnsi="Times New Roman"/>
          <w:b/>
          <w:i w:val="0"/>
          <w:color w:val="1E1E1E"/>
          <w:sz w:val="19"/>
        </w:rPr>
        <w:t>3.8%–4.36%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without language model dependency.</w:t>
      </w:r>
    </w:p>
    <w:p>
      <w:pPr>
        <w:keepNext/>
        <w:spacing w:before="120" w:after="40"/>
      </w:pPr>
      <w:r>
        <w:rPr>
          <w:rFonts w:ascii="Times New Roman" w:hAnsi="Times New Roman"/>
          <w:b/>
          <w:i/>
          <w:color w:val="1E2846"/>
          <w:sz w:val="19"/>
        </w:rPr>
        <w:t>B.  Literature Summary and Comparative Mapping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>Table 1 summarizes the comparison between existing studies and our work across architectural and clinical criteria.</w:t>
      </w:r>
    </w:p>
    <w:p>
      <w:pPr>
        <w:sectPr>
          <w:type w:val="continuous"/>
          <w:pgSz w:w="12240" w:h="15840"/>
          <w:pgMar w:top="1080" w:right="893" w:bottom="1440" w:left="893" w:header="720" w:footer="720" w:gutter="0"/>
          <w:cols w:num="2" w:space="360"/>
          <w:docGrid w:linePitch="360"/>
        </w:sectPr>
      </w:pPr>
    </w:p>
    <w:p>
      <w:pPr>
        <w:keepNext/>
        <w:spacing w:before="120" w:after="40"/>
        <w:jc w:val="center"/>
      </w:pPr>
      <w:r>
        <w:rPr>
          <w:rFonts w:ascii="Times New Roman" w:hAnsi="Times New Roman"/>
          <w:b/>
          <w:i w:val="0"/>
          <w:color w:val="142850"/>
          <w:sz w:val="18"/>
        </w:rPr>
        <w:t>TABLE 1: Literature Survey Summary and Comparative Architecture Mapping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B5C8F"/>
          <w:bottom w:val="single" w:sz="8" w:space="0" w:color="333333"/>
          <w:insideH w:val="single" w:sz="4" w:space="0" w:color="E0E0E0"/>
          <w:insideV w:val="none"/>
          <w:left w:val="none"/>
          <w:right w:val="none"/>
        </w:tblBorders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rPr>
          <w:cantSplit/>
          <w:tblHeader/>
        </w:trPr>
        <w:tc>
          <w:tcPr>
            <w:tcW w:type="dxa" w:w="1493"/>
            <w:vAlign w:val="center"/>
            <w:tcW w:w="1584" w:type="dxa"/>
            <w:tcMar>
              <w:top w:w="60" w:type="dxa"/>
              <w:bottom w:w="60" w:type="dxa"/>
              <w:left w:w="60" w:type="dxa"/>
              <w:right w:w="6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Paper</w:t>
            </w:r>
          </w:p>
        </w:tc>
        <w:tc>
          <w:tcPr>
            <w:tcW w:type="dxa" w:w="1493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Architecture / Method</w:t>
            </w:r>
          </w:p>
        </w:tc>
        <w:tc>
          <w:tcPr>
            <w:tcW w:type="dxa" w:w="1493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Dataset</w:t>
            </w:r>
          </w:p>
        </w:tc>
        <w:tc>
          <w:tcPr>
            <w:tcW w:type="dxa" w:w="1493"/>
            <w:vAlign w:val="center"/>
            <w:tcW w:w="1007" w:type="dxa"/>
            <w:tcMar>
              <w:top w:w="60" w:type="dxa"/>
              <w:bottom w:w="60" w:type="dxa"/>
              <w:left w:w="60" w:type="dxa"/>
              <w:right w:w="6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Output Task</w:t>
            </w:r>
          </w:p>
        </w:tc>
        <w:tc>
          <w:tcPr>
            <w:tcW w:type="dxa" w:w="1493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Key Metric</w:t>
            </w:r>
          </w:p>
        </w:tc>
        <w:tc>
          <w:tcPr>
            <w:tcW w:type="dxa" w:w="1493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Major Limitation</w:t>
            </w:r>
          </w:p>
        </w:tc>
        <w:tc>
          <w:tcPr>
            <w:tcW w:type="dxa" w:w="1493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Relation to Our Work</w:t>
            </w:r>
          </w:p>
        </w:tc>
      </w:tr>
      <w:tr>
        <w:trPr>
          <w:cantSplit/>
        </w:trPr>
        <w:tc>
          <w:tcPr>
            <w:tcW w:type="dxa" w:w="1493"/>
            <w:vAlign w:val="center"/>
            <w:tcW w:w="1584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Khalifa et al. [1]</w:t>
            </w:r>
          </w:p>
        </w:tc>
        <w:tc>
          <w:tcPr>
            <w:tcW w:type="dxa" w:w="1493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AlexNet, ResNet-18, VGG16/19, CCE Loss</w:t>
            </w:r>
          </w:p>
        </w:tc>
        <w:tc>
          <w:tcPr>
            <w:tcW w:type="dxa" w:w="1493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APTOS 2019 (3,662 imgs)</w:t>
            </w:r>
          </w:p>
        </w:tc>
        <w:tc>
          <w:tcPr>
            <w:tcW w:type="dxa" w:w="1493"/>
            <w:vAlign w:val="center"/>
            <w:tcW w:w="1007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5-stage Grading</w:t>
            </w:r>
          </w:p>
        </w:tc>
        <w:tc>
          <w:tcPr>
            <w:tcW w:type="dxa" w:w="1493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Acc: 97.9%</w:t>
            </w:r>
          </w:p>
        </w:tc>
        <w:tc>
          <w:tcPr>
            <w:tcW w:type="dxa" w:w="1493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Pre-split 4x augmentation leakage; Severe recall dropped to 67.8%</w:t>
            </w:r>
          </w:p>
        </w:tc>
        <w:tc>
          <w:tcPr>
            <w:tcW w:type="dxa" w:w="1493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Evaluates locked split without leakage (0.8859 QWK, 83.82% Acc)</w:t>
            </w:r>
          </w:p>
        </w:tc>
      </w:tr>
      <w:tr>
        <w:trPr>
          <w:cantSplit/>
        </w:trPr>
        <w:tc>
          <w:tcPr>
            <w:tcW w:type="dxa" w:w="1493"/>
            <w:vAlign w:val="center"/>
            <w:tcW w:w="1584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Shakibania et al. [2]</w:t>
            </w:r>
          </w:p>
        </w:tc>
        <w:tc>
          <w:tcPr>
            <w:tcW w:type="dxa" w:w="1493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Dual Branch (ResNet50 + B0), CCE Loss</w:t>
            </w:r>
          </w:p>
        </w:tc>
        <w:tc>
          <w:tcPr>
            <w:tcW w:type="dxa" w:w="1493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APTOS 2019, Messidor-2, IDRiD</w:t>
            </w:r>
          </w:p>
        </w:tc>
        <w:tc>
          <w:tcPr>
            <w:tcW w:type="dxa" w:w="1493"/>
            <w:vAlign w:val="center"/>
            <w:tcW w:w="1007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5-stage Grading</w:t>
            </w:r>
          </w:p>
        </w:tc>
        <w:tc>
          <w:tcPr>
            <w:tcW w:type="dxa" w:w="1493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Acc: 89.60%, QWK: 0.930, Severe Rec: 36.84%</w:t>
            </w:r>
          </w:p>
        </w:tc>
        <w:tc>
          <w:tcPr>
            <w:tcW w:type="dxa" w:w="1493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Severe sensitivity collapsed to 36.84%; ~30M params</w:t>
            </w:r>
          </w:p>
        </w:tc>
        <w:tc>
          <w:tcPr>
            <w:tcW w:type="dxa" w:w="1493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Variant D reaches </w:t>
            </w: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65.7%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 Severe Recall using 5.3M params (different dataset and task setting; not a head-to-head comparison)</w:t>
            </w:r>
          </w:p>
        </w:tc>
      </w:tr>
      <w:tr>
        <w:trPr>
          <w:cantSplit/>
        </w:trPr>
        <w:tc>
          <w:tcPr>
            <w:tcW w:type="dxa" w:w="1493"/>
            <w:vAlign w:val="center"/>
            <w:tcW w:w="1584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Tymchenko et al. [3]</w:t>
            </w:r>
          </w:p>
        </w:tc>
        <w:tc>
          <w:tcPr>
            <w:tcW w:type="dxa" w:w="1493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Multi-target (Nominal + Ordinal + Reg.), Heavy Ens.</w:t>
            </w:r>
          </w:p>
        </w:tc>
        <w:tc>
          <w:tcPr>
            <w:tcW w:type="dxa" w:w="1493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EyePACS (35k), APTOS 2019</w:t>
            </w:r>
          </w:p>
        </w:tc>
        <w:tc>
          <w:tcPr>
            <w:tcW w:type="dxa" w:w="1493"/>
            <w:vAlign w:val="center"/>
            <w:tcW w:w="1007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5-stage Grading</w:t>
            </w:r>
          </w:p>
        </w:tc>
        <w:tc>
          <w:tcPr>
            <w:tcW w:type="dxa" w:w="1493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Test QWK: 0.925</w:t>
            </w:r>
          </w:p>
        </w:tc>
        <w:tc>
          <w:tcPr>
            <w:tcW w:type="dxa" w:w="1493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Heavy ensemble (B4/B5/ResNeXt); heads not ablated independently</w:t>
            </w:r>
          </w:p>
        </w:tc>
        <w:tc>
          <w:tcPr>
            <w:tcW w:type="dxa" w:w="1493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Isolates pure ordinal and single-backbone design on identical 5.3M model</w:t>
            </w:r>
          </w:p>
        </w:tc>
      </w:tr>
      <w:tr>
        <w:trPr>
          <w:cantSplit/>
        </w:trPr>
        <w:tc>
          <w:tcPr>
            <w:tcW w:type="dxa" w:w="1493"/>
            <w:vAlign w:val="center"/>
            <w:tcW w:w="1584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Mardianta et al. [4]</w:t>
            </w:r>
          </w:p>
        </w:tc>
        <w:tc>
          <w:tcPr>
            <w:tcW w:type="dxa" w:w="1493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Xception + SMOTE + CLAHE</w:t>
            </w:r>
          </w:p>
        </w:tc>
        <w:tc>
          <w:tcPr>
            <w:tcW w:type="dxa" w:w="1493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APTOS 2019</w:t>
            </w:r>
          </w:p>
        </w:tc>
        <w:tc>
          <w:tcPr>
            <w:tcW w:type="dxa" w:w="1493"/>
            <w:vAlign w:val="center"/>
            <w:tcW w:w="1007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5-stage Grading</w:t>
            </w:r>
          </w:p>
        </w:tc>
        <w:tc>
          <w:tcPr>
            <w:tcW w:type="dxa" w:w="1493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Acc: 95.26%</w:t>
            </w:r>
          </w:p>
        </w:tc>
        <w:tc>
          <w:tcPr>
            <w:tcW w:type="dxa" w:w="1493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SMOTE creates synthetic artifacts; nominal loss; no QWK reported</w:t>
            </w:r>
          </w:p>
        </w:tc>
        <w:tc>
          <w:tcPr>
            <w:tcW w:type="dxa" w:w="1493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Real-image effective-number weighting; evaluates QWK and ordinal distance</w:t>
            </w:r>
          </w:p>
        </w:tc>
      </w:tr>
      <w:tr>
        <w:trPr>
          <w:cantSplit/>
        </w:trPr>
        <w:tc>
          <w:tcPr>
            <w:tcW w:type="dxa" w:w="1493"/>
            <w:vAlign w:val="center"/>
            <w:tcW w:w="1584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Karthik et al. [5]</w:t>
            </w:r>
          </w:p>
        </w:tc>
        <w:tc>
          <w:tcPr>
            <w:tcW w:type="dxa" w:w="1493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EfficientNetV2-B3 + SE Attention + Fuzzy</w:t>
            </w:r>
          </w:p>
        </w:tc>
        <w:tc>
          <w:tcPr>
            <w:tcW w:type="dxa" w:w="1493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APTOS 2019 (366 test)</w:t>
            </w:r>
          </w:p>
        </w:tc>
        <w:tc>
          <w:tcPr>
            <w:tcW w:type="dxa" w:w="1493"/>
            <w:vAlign w:val="center"/>
            <w:tcW w:w="1007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Coarse 3 classes</w:t>
            </w:r>
          </w:p>
        </w:tc>
        <w:tc>
          <w:tcPr>
            <w:tcW w:type="dxa" w:w="1493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Acc: 91.5%, Severe Rec: 58%</w:t>
            </w:r>
          </w:p>
        </w:tc>
        <w:tc>
          <w:tcPr>
            <w:tcW w:type="dxa" w:w="1493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Collapsed 5 classes to 3; severe sensitivity only 58%</w:t>
            </w:r>
          </w:p>
        </w:tc>
        <w:tc>
          <w:tcPr>
            <w:tcW w:type="dxa" w:w="1493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Preserves all 5 clinical stages with 65.7% severe sensitivity</w:t>
            </w:r>
          </w:p>
        </w:tc>
      </w:tr>
      <w:tr>
        <w:trPr>
          <w:cantSplit/>
        </w:trPr>
        <w:tc>
          <w:tcPr>
            <w:tcW w:type="dxa" w:w="1493"/>
            <w:vAlign w:val="center"/>
            <w:tcW w:w="1584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Khokhar et al. [6]</w:t>
            </w:r>
          </w:p>
        </w:tc>
        <w:tc>
          <w:tcPr>
            <w:tcW w:type="dxa" w:w="1493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Swin, ResNet-50 + 7B VLMs</w:t>
            </w:r>
          </w:p>
        </w:tc>
        <w:tc>
          <w:tcPr>
            <w:tcW w:type="dxa" w:w="1493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APTOS 2019 (5-fold CV)</w:t>
            </w:r>
          </w:p>
        </w:tc>
        <w:tc>
          <w:tcPr>
            <w:tcW w:type="dxa" w:w="1493"/>
            <w:vAlign w:val="center"/>
            <w:tcW w:w="1007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5-stage Grading</w:t>
            </w:r>
          </w:p>
        </w:tc>
        <w:tc>
          <w:tcPr>
            <w:tcW w:type="dxa" w:w="1493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QWK: 0.916–0.919</w:t>
            </w:r>
          </w:p>
        </w:tc>
        <w:tc>
          <w:tcPr>
            <w:tcW w:type="dxa" w:w="1493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Heavy compute footprint; high latency</w:t>
            </w:r>
          </w:p>
        </w:tc>
        <w:tc>
          <w:tcPr>
            <w:tcW w:type="dxa" w:w="1493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Lightweight 5.3M-parameter model deployable on laptop hardware</w:t>
            </w:r>
          </w:p>
        </w:tc>
      </w:tr>
      <w:tr>
        <w:trPr>
          <w:cantSplit/>
        </w:trPr>
        <w:tc>
          <w:tcPr>
            <w:tcW w:type="dxa" w:w="1493"/>
            <w:vAlign w:val="center"/>
            <w:tcW w:w="1584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Manoj &amp; Bhosale [7]</w:t>
            </w:r>
          </w:p>
        </w:tc>
        <w:tc>
          <w:tcPr>
            <w:tcW w:type="dxa" w:w="1493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UNet (6 lesions) + Classifier + ChatGPT</w:t>
            </w:r>
          </w:p>
        </w:tc>
        <w:tc>
          <w:tcPr>
            <w:tcW w:type="dxa" w:w="1493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IDRiD, APTOS 2019</w:t>
            </w:r>
          </w:p>
        </w:tc>
        <w:tc>
          <w:tcPr>
            <w:tcW w:type="dxa" w:w="1493"/>
            <w:vAlign w:val="center"/>
            <w:tcW w:w="1007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5-stage + Referral</w:t>
            </w:r>
          </w:p>
        </w:tc>
        <w:tc>
          <w:tcPr>
            <w:tcW w:type="dxa" w:w="1493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Dice: 0.787–0.806</w:t>
            </w:r>
          </w:p>
        </w:tc>
        <w:tc>
          <w:tcPr>
            <w:tcW w:type="dxa" w:w="1493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Requires dense masks; unverified LLM text generation</w:t>
            </w:r>
          </w:p>
        </w:tc>
        <w:tc>
          <w:tcPr>
            <w:tcW w:type="dxa" w:w="1493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Bounds catastrophic errors (</w:t>
            </w:r>
            <m:oMath>
              <m:r>
                <m:t>d≥2</m:t>
              </m:r>
            </m:oMath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) to 3.8%–4.36%</w:t>
            </w:r>
          </w:p>
        </w:tc>
      </w:tr>
      <w:tr>
        <w:trPr>
          <w:cantSplit/>
        </w:trPr>
        <w:tc>
          <w:tcPr>
            <w:tcW w:type="dxa" w:w="1493"/>
            <w:vAlign w:val="center"/>
            <w:tcW w:w="1584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This Work</w:t>
            </w:r>
          </w:p>
        </w:tc>
        <w:tc>
          <w:tcPr>
            <w:tcW w:type="dxa" w:w="1493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EfficientNet-B0 + Variant E (Ensemble) / Variant D (CORN)</w:t>
            </w:r>
          </w:p>
        </w:tc>
        <w:tc>
          <w:tcPr>
            <w:tcW w:type="dxa" w:w="1493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APTOS 2019 (3,662 imgs)</w:t>
            </w:r>
          </w:p>
        </w:tc>
        <w:tc>
          <w:tcPr>
            <w:tcW w:type="dxa" w:w="1493"/>
            <w:vAlign w:val="center"/>
            <w:tcW w:w="1007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5-stage Grading</w:t>
            </w:r>
          </w:p>
        </w:tc>
        <w:tc>
          <w:tcPr>
            <w:tcW w:type="dxa" w:w="1493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Acc: 83.82%, QWK: 0.8859, Severe Rec: 65.7%</w:t>
            </w:r>
          </w:p>
        </w:tc>
        <w:tc>
          <w:tcPr>
            <w:tcW w:type="dxa" w:w="1493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Single-dataset benchmark evaluation</w:t>
            </w:r>
          </w:p>
        </w:tc>
        <w:tc>
          <w:tcPr>
            <w:tcW w:type="dxa" w:w="1493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Combines 83.82% accuracy, 0.8859 QWK, and 65.7% severe recall</w:t>
            </w:r>
          </w:p>
        </w:tc>
      </w:tr>
    </w:tbl>
    <w:p>
      <w:pPr>
        <w:spacing w:before="0" w:after="40"/>
      </w:pPr>
    </w:p>
    <w:p>
      <w:pPr>
        <w:sectPr>
          <w:type w:val="continuous"/>
          <w:pgSz w:w="12240" w:h="15840"/>
          <w:pgMar w:top="1080" w:right="893" w:bottom="1440" w:left="893" w:header="720" w:footer="720" w:gutter="0"/>
          <w:cols w:num="1"/>
          <w:docGrid w:linePitch="360"/>
        </w:sectPr>
      </w:pPr>
    </w:p>
    <w:p>
      <w:pPr>
        <w:keepNext/>
        <w:spacing w:before="160" w:after="50"/>
        <w:jc w:val="center"/>
      </w:pPr>
      <w:r>
        <w:rPr>
          <w:rFonts w:ascii="Times New Roman" w:hAnsi="Times New Roman"/>
          <w:b/>
          <w:color w:val="0F1E3C"/>
          <w:sz w:val="20"/>
        </w:rPr>
        <w:t>III.  PROBLEM STATEMENT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>Standard deep learning models for Diabetic Retinopathy treat stage grading as nominal multiclass classification, creating metric blindness where life-threatening misclassifications incur identical loss penalties to minor adjacent errors. This project investigates distance-aware ordinal neural networks and regularized ensembling on retinal fundus imagery to improve rank consistency, suppress catastrophic multi-grade triage errors (</w:t>
      </w:r>
      <m:oMath>
        <m:r>
          <m:t>|y−</m:t>
        </m:r>
        <m:acc>
          <m:accPr>
            <m:chr m:val="̂"/>
          </m:accPr>
          <m:e>
            <m:r>
              <m:t>y</m:t>
            </m:r>
          </m:e>
        </m:acc>
        <m:r>
          <m:t>|≥2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>), and elevate minority-class severe disease sensitivity under practical resource constraints.</w:t>
      </w:r>
    </w:p>
    <w:p>
      <w:pPr>
        <w:keepNext/>
        <w:spacing w:before="160" w:after="50"/>
        <w:jc w:val="center"/>
      </w:pPr>
      <w:r>
        <w:rPr>
          <w:rFonts w:ascii="Times New Roman" w:hAnsi="Times New Roman"/>
          <w:b/>
          <w:color w:val="0F1E3C"/>
          <w:sz w:val="20"/>
        </w:rPr>
        <w:t>IV.  OBJECTIVES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1. </w:t>
      </w:r>
      <w:r>
        <w:rPr>
          <w:rFonts w:ascii="Times New Roman" w:hAnsi="Times New Roman"/>
          <w:b w:val="0"/>
          <w:i w:val="0"/>
          <w:color w:val="1E1E1E"/>
          <w:sz w:val="19"/>
        </w:rPr>
        <w:t>Formulate and benchmark rank-consistent ordinal loss architectures (CORAL and CORN) against standard nominal softmax and continuous regression on the 5-point ICDR Diabetic Retinopathy scale.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2. </w:t>
      </w:r>
      <w:r>
        <w:rPr>
          <w:rFonts w:ascii="Times New Roman" w:hAnsi="Times New Roman"/>
          <w:b w:val="0"/>
          <w:i w:val="0"/>
          <w:color w:val="1E1E1E"/>
          <w:sz w:val="19"/>
        </w:rPr>
        <w:t>Implement effective-number class weighting and differentiable Soft-QWK loss regularization to address class imbalance without generating synthetic image artifacts.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3. </w:t>
      </w:r>
      <w:r>
        <w:rPr>
          <w:rFonts w:ascii="Times New Roman" w:hAnsi="Times New Roman"/>
          <w:b w:val="0"/>
          <w:i w:val="0"/>
          <w:color w:val="1E1E1E"/>
          <w:sz w:val="19"/>
        </w:rPr>
        <w:t>Feature a regularized 3-seed ensemble with test-time augmentation to maximize classification accuracy (</w:t>
      </w:r>
      <m:oMath>
        <m:r>
          <m:t>≥80%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>) and QWK (</w:t>
      </w:r>
      <m:oMath>
        <m:r>
          <m:t>≥0.88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>) while keeping catastrophic multi-grade misclassifications below 5% on a lightweight EfficientNet-B0 backbone.</w:t>
      </w:r>
    </w:p>
    <w:p>
      <w:pPr>
        <w:keepNext/>
        <w:spacing w:before="160" w:after="50"/>
        <w:jc w:val="center"/>
      </w:pPr>
      <w:r>
        <w:rPr>
          <w:rFonts w:ascii="Times New Roman" w:hAnsi="Times New Roman"/>
          <w:b/>
          <w:color w:val="0F1E3C"/>
          <w:sz w:val="20"/>
        </w:rPr>
        <w:t>V.  SYSTEM ARCHITECTURE DIAGRAM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>The diagnostic pipeline processes a raw retinal photograph through contrast enhancement, extracts representations via a regularized backbone, evaluates predictions across ordinal and ensembled heads, and maps outputs into clinical triage rules.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108960" cy="1554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Times New Roman" w:hAnsi="Times New Roman"/>
          <w:b w:val="0"/>
          <w:i/>
          <w:color w:val="3C3C3C"/>
          <w:sz w:val="16"/>
        </w:rPr>
        <w:t>Fig. 1. End-to-End System Architecture Diagram: Preprocessing, EfficientNet-B0 Backbone, Ordinal Inference Pathways, and Clinical Decision Support Triage Rules.</w:t>
      </w:r>
    </w:p>
    <w:p>
      <w:pPr>
        <w:keepNext/>
        <w:spacing w:before="120" w:after="40"/>
      </w:pPr>
      <w:r>
        <w:rPr>
          <w:rFonts w:ascii="Times New Roman" w:hAnsi="Times New Roman"/>
          <w:b/>
          <w:i/>
          <w:color w:val="1E2846"/>
          <w:sz w:val="19"/>
        </w:rPr>
        <w:t>A.  Architectural Components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>As illustrated in Fig. 1, the system comprises six components: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1. </w:t>
      </w:r>
      <w:r>
        <w:rPr>
          <w:rFonts w:ascii="Times New Roman" w:hAnsi="Times New Roman"/>
          <w:b/>
          <w:i w:val="0"/>
          <w:color w:val="1E1E1E"/>
          <w:sz w:val="19"/>
        </w:rPr>
        <w:t>Image Acquisition: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Digital fundus photographs exhibiting natural variations in illumination and pigmentation are acquired from screening clinics.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2. </w:t>
      </w:r>
      <w:r>
        <w:rPr>
          <w:rFonts w:ascii="Times New Roman" w:hAnsi="Times New Roman"/>
          <w:b/>
          <w:i w:val="0"/>
          <w:color w:val="1E1E1E"/>
          <w:sz w:val="19"/>
        </w:rPr>
        <w:t>Preprocessing Module: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• </w:t>
      </w:r>
      <w:r>
        <w:rPr>
          <w:rFonts w:ascii="Times New Roman" w:hAnsi="Times New Roman"/>
          <w:b w:val="0"/>
          <w:i/>
          <w:color w:val="1E1E1E"/>
          <w:sz w:val="19"/>
        </w:rPr>
        <w:t>Circular Crop Boundary Detection: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Automatically segments the functional retinal globe, removing inactive black camera borders.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• </w:t>
      </w:r>
      <w:r>
        <w:rPr>
          <w:rFonts w:ascii="Times New Roman" w:hAnsi="Times New Roman"/>
          <w:b w:val="0"/>
          <w:i/>
          <w:color w:val="1E1E1E"/>
          <w:sz w:val="19"/>
        </w:rPr>
        <w:t>Contrast Limited Adaptive Histogram Equalization (CLAHE):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Applied in CIE LAB color space on the luminance channel (</w:t>
      </w:r>
      <m:oMath>
        <m:r>
          <m:t>8×8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 grid, clip limit 2.0) to enhance microaneurysms and hemorrhages.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• </w:t>
      </w:r>
      <w:r>
        <w:rPr>
          <w:rFonts w:ascii="Times New Roman" w:hAnsi="Times New Roman"/>
          <w:b w:val="0"/>
          <w:i/>
          <w:color w:val="1E1E1E"/>
          <w:sz w:val="19"/>
        </w:rPr>
        <w:t>Resampling: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Images are resized to </w:t>
      </w:r>
      <m:oMath>
        <m:r>
          <m:t>224×224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 pixels and standardized using ImageNet statistics.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3. </w:t>
      </w:r>
      <w:r>
        <w:rPr>
          <w:rFonts w:ascii="Times New Roman" w:hAnsi="Times New Roman"/>
          <w:b/>
          <w:i w:val="0"/>
          <w:color w:val="1E1E1E"/>
          <w:sz w:val="19"/>
        </w:rPr>
        <w:t>Feature Extraction Backbone (EfficientNet-B0):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The preprocessed image is processed through EfficientNet-B0 (5.3M parameters), yielding a 1280-dimensional feature vector </w:t>
      </w:r>
      <m:oMath>
        <m:r>
          <m:t>ϕ(𝐱)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 via Global Average Pooling. While Variants A, B, C, and E are fine-tuned end-to-end with all layers unfrozen, Variant D (CORN) freezes the stem and first three MBConv stages (</w:t>
      </w:r>
      <w:r>
        <w:rPr>
          <w:rFonts w:ascii="Consolas" w:hAnsi="Consolas"/>
          <w:color w:val="3C3C3C"/>
          <w:sz w:val="19"/>
        </w:rPr>
        <w:t>features[:4]</w:t>
      </w:r>
      <w:r>
        <w:rPr>
          <w:rFonts w:ascii="Times New Roman" w:hAnsi="Times New Roman"/>
          <w:b w:val="0"/>
          <w:i w:val="0"/>
          <w:color w:val="1E1E1E"/>
          <w:sz w:val="19"/>
        </w:rPr>
        <w:t>) to retain generic low-level edge filters and prevent feature drift under minority-class reweighting.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4. </w:t>
      </w:r>
      <w:r>
        <w:rPr>
          <w:rFonts w:ascii="Times New Roman" w:hAnsi="Times New Roman"/>
          <w:b/>
          <w:i w:val="0"/>
          <w:color w:val="1E1E1E"/>
          <w:sz w:val="19"/>
        </w:rPr>
        <w:t>Inference Pathways: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• </w:t>
      </w:r>
      <w:r>
        <w:rPr>
          <w:rFonts w:ascii="Times New Roman" w:hAnsi="Times New Roman"/>
          <w:b w:val="0"/>
          <w:i/>
          <w:color w:val="1E1E1E"/>
          <w:sz w:val="19"/>
        </w:rPr>
        <w:t>Ordinal Pathway (Variant D: CORN):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Evaluates 4 conditional binary classifiers regularized by Soft-QWK loss and effective-number weighting to maximize severe disease sensitivity.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• </w:t>
      </w:r>
      <w:r>
        <w:rPr>
          <w:rFonts w:ascii="Times New Roman" w:hAnsi="Times New Roman"/>
          <w:b w:val="0"/>
          <w:i/>
          <w:color w:val="1E1E1E"/>
          <w:sz w:val="19"/>
        </w:rPr>
        <w:t>Featured Ensemble Pathway (Variant E: 3-Seed Ensemble + TTA):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Averages the softmax outputs of three independently trained models with label smoothing (</w:t>
      </w:r>
      <m:oMath>
        <m:r>
          <m:t>α=0.08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>) over 4-way flip TTA, with optional post-hoc logit adjustment.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5. </w:t>
      </w:r>
      <w:r>
        <w:rPr>
          <w:rFonts w:ascii="Times New Roman" w:hAnsi="Times New Roman"/>
          <w:b/>
          <w:i w:val="0"/>
          <w:color w:val="1E1E1E"/>
          <w:sz w:val="19"/>
        </w:rPr>
        <w:t>Implementation &amp; Compute: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All models were trained on a single consumer laptop GPU using under 1 GB of VRAM with mixed-precision arithmetic.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6. </w:t>
      </w:r>
      <w:r>
        <w:rPr>
          <w:rFonts w:ascii="Times New Roman" w:hAnsi="Times New Roman"/>
          <w:b/>
          <w:i w:val="0"/>
          <w:color w:val="1E1E1E"/>
          <w:sz w:val="19"/>
        </w:rPr>
        <w:t>Clinical Decision Support Triage Rules: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Discrete stage predictions map to standardized clinical pathways: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19"/>
        </w:rPr>
        <w:t>Grade 4 (PDR):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Emergency Vitreoretinal Referral (&lt; 48 Hours)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19"/>
        </w:rPr>
        <w:t>Grade 3 (Severe NPDR):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Urgent Laser / Anti-VEGF Evaluation (&lt; 2 Weeks)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19"/>
        </w:rPr>
        <w:t>Grade 2 (Moderate NPDR):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Comprehensive Examination &amp; OCT Scan (&lt; 6 Months)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19"/>
        </w:rPr>
        <w:t>Grade 1 (Mild NPDR):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Surveillance Follow-up (&lt; 12 Months)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19"/>
        </w:rPr>
        <w:t>Grade 0 (No DR):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Routine Annual Tele-Screening Recall</w:t>
      </w:r>
    </w:p>
    <w:p>
      <w:pPr>
        <w:keepNext/>
        <w:spacing w:before="160" w:after="50"/>
        <w:jc w:val="center"/>
      </w:pPr>
      <w:r>
        <w:rPr>
          <w:rFonts w:ascii="Times New Roman" w:hAnsi="Times New Roman"/>
          <w:b/>
          <w:color w:val="0F1E3C"/>
          <w:sz w:val="20"/>
        </w:rPr>
        <w:t>VI.  IMPLEMENTATION</w:t>
      </w:r>
    </w:p>
    <w:p>
      <w:pPr>
        <w:keepNext/>
        <w:spacing w:before="120" w:after="40"/>
      </w:pPr>
      <w:r>
        <w:rPr>
          <w:rFonts w:ascii="Times New Roman" w:hAnsi="Times New Roman"/>
          <w:b/>
          <w:i/>
          <w:color w:val="1E2846"/>
          <w:sz w:val="19"/>
        </w:rPr>
        <w:t>A.  Dataset Characteristics and Partitioning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>We evaluate our pipeline on the APTOS 2019 Blindness Detection dataset (3,662 fundus photographs) under the 5-point ICDR scale. The dataset exhibits substantial natural class imbalance (Fig. 2):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19"/>
        </w:rPr>
        <w:t>Grade 0 (No DR):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1,805 images (49.29%)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19"/>
        </w:rPr>
        <w:t>Grade 1 (Mild NPDR):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370 images (10.10%)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19"/>
        </w:rPr>
        <w:t>Grade 2 (Moderate NPDR):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999 images (27.28%)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19"/>
        </w:rPr>
        <w:t>Grade 3 (Severe NPDR):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193 images (5.27%)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19"/>
        </w:rPr>
        <w:t>Grade 4 (Proliferative DR):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295 images (8.06%)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108960" cy="18653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865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Times New Roman" w:hAnsi="Times New Roman"/>
          <w:b w:val="0"/>
          <w:i/>
          <w:color w:val="3C3C3C"/>
          <w:sz w:val="16"/>
        </w:rPr>
        <w:t>Fig. 2. Dataset Class Distribution across the 3,662 Retinal Fundus Images in APTOS 2019 under the 5-point ICDR Clinical Severity Scale.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>The images were partitioned using stratified random sampling with a fixed seed (42) into three locked sets: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19"/>
        </w:rPr>
        <w:t>Training Set (70%):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2,563 images (Grade 0: 1,263; Grade 1: 259; Grade 2: 700; Grade 3: 135; Grade 4: 206)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19"/>
        </w:rPr>
        <w:t>Validation Set (15%):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549 images (Grade 0: 271; Grade 1: 55; Grade 2: 150; Grade 3: 29; Grade 4: 44)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19"/>
        </w:rPr>
        <w:t>Holdout Test Set (15%):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550 images (Grade 0: 271; Grade 1: 56; Grade 2: 149; Grade 3: 29; Grade 4: 45)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 xml:space="preserve">All images were preprocessed and cached in </w:t>
      </w:r>
      <w:r>
        <w:rPr>
          <w:rFonts w:ascii="Consolas" w:hAnsi="Consolas"/>
          <w:color w:val="3C3C3C"/>
          <w:sz w:val="19"/>
        </w:rPr>
        <w:t>./data/aptos2019/preprocessed_224/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for reproducible training I/O. Fig. 3 shows sample preprocessed images across each grade.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108960" cy="35530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images_per_cla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55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Times New Roman" w:hAnsi="Times New Roman"/>
          <w:b w:val="0"/>
          <w:i/>
          <w:color w:val="3C3C3C"/>
          <w:sz w:val="16"/>
        </w:rPr>
        <w:t>Fig. 3. Representative Preprocessed Retinal Fundus Photographs across the Five Clinical ICDR Grades following Circular Cropping and CIE LAB CLAHE Contrast Equalization.</w:t>
      </w:r>
    </w:p>
    <w:p>
      <w:pPr>
        <w:keepNext/>
        <w:spacing w:before="120" w:after="40"/>
      </w:pPr>
      <w:r>
        <w:rPr>
          <w:rFonts w:ascii="Times New Roman" w:hAnsi="Times New Roman"/>
          <w:b/>
          <w:i/>
          <w:color w:val="1E2846"/>
          <w:sz w:val="19"/>
        </w:rPr>
        <w:t>B.  Mathematical Formulation of Evaluated Paradigms</w:t>
      </w:r>
    </w:p>
    <w:p>
      <w:pPr>
        <w:keepNext/>
        <w:spacing w:before="80" w:after="30"/>
      </w:pPr>
      <w:r>
        <w:rPr>
          <w:rFonts w:ascii="Times New Roman" w:hAnsi="Times New Roman"/>
          <w:b/>
          <w:i/>
          <w:color w:val="283246"/>
          <w:sz w:val="18"/>
        </w:rPr>
        <w:t>1) Variant A: Nominal Softmax Baseline and Metric Blindness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 xml:space="preserve">In nominal classification, the embedding </w:t>
      </w:r>
      <m:oMath>
        <m:r>
          <m:t>ϕ(𝐱)∈</m:t>
        </m:r>
        <m:sSup>
          <m:e>
            <m:r>
              <m:t>ℝ</m:t>
            </m:r>
          </m:e>
          <m:sup>
            <m:r>
              <m:t>1280</m:t>
            </m:r>
          </m:sup>
        </m:sSup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 is projected via </w:t>
      </w:r>
      <m:oMath>
        <m:r>
          <m:t>𝐖∈</m:t>
        </m:r>
        <m:sSup>
          <m:e>
            <m:r>
              <m:t>ℝ</m:t>
            </m:r>
          </m:e>
          <m:sup>
            <m:r>
              <m:t>5×1280</m:t>
            </m:r>
          </m:sup>
        </m:sSup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 to produce logits </w:t>
      </w:r>
      <m:oMath>
        <m:r>
          <m:t>𝐳=[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t>,</m:t>
        </m:r>
        <m:sSub>
          <m:e>
            <m:r>
              <m:t>z</m:t>
            </m:r>
          </m:e>
          <m:sub>
            <m:r>
              <m:t>4</m:t>
            </m:r>
          </m:sub>
        </m:sSub>
        <m:sSup>
          <m:e>
            <m:r>
              <m:t>]</m:t>
            </m:r>
          </m:e>
          <m:sup>
            <m:r>
              <m:t>T</m:t>
            </m:r>
          </m:sup>
        </m:sSup>
      </m:oMath>
      <w:r>
        <w:rPr>
          <w:rFonts w:ascii="Times New Roman" w:hAnsi="Times New Roman"/>
          <w:b w:val="0"/>
          <w:i w:val="0"/>
          <w:color w:val="1E1E1E"/>
          <w:sz w:val="19"/>
        </w:rPr>
        <w:t>. Probabilities are computed via the softmax function:</w:t>
      </w:r>
    </w:p>
    <w:p>
      <w:pPr>
        <w:spacing w:before="80" w:after="80"/>
        <w:jc w:val="center"/>
      </w:pPr>
      <m:oMathPara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k</m:t>
              </m:r>
            </m:sub>
          </m:sSub>
          <m: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(</m:t>
              </m:r>
              <m:sSub>
                <m:e>
                  <m:r>
                    <m:t>z</m:t>
                  </m:r>
                </m:e>
                <m:sub>
                  <m:r>
                    <m:t>k</m:t>
                  </m:r>
                </m:sub>
              </m:sSub>
              <m:r>
                <m:t>)</m:t>
              </m:r>
            </m:num>
            <m:den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>j=0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exp</m:t>
                  </m:r>
                  <m:r>
                    <m:t>(</m:t>
                  </m:r>
                </m:e>
              </m:nary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)</m:t>
              </m:r>
            </m:den>
          </m:f>
          <m:r>
            <m:t>,</m:t>
          </m:r>
          <m:r>
            <m:t>k∈{0,1,2,3,4}</m:t>
          </m:r>
        </m:oMath>
      </m:oMathPara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>The loss is categorical cross-entropy:</w:t>
      </w:r>
    </w:p>
    <w:p>
      <w:pPr>
        <w:spacing w:before="80" w:after="80"/>
        <w:jc w:val="center"/>
      </w:pPr>
      <m:oMathPara>
        <m:oMath>
          <m:sSub>
            <m:e>
              <m:r>
                <m:t>ℒ</m:t>
              </m:r>
            </m:e>
            <m:sub>
              <m:r>
                <m:t>CE</m:t>
              </m:r>
            </m:sub>
          </m:sSub>
          <m:r>
            <m:t>=−</m:t>
          </m:r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k=0</m:t>
              </m:r>
            </m:sub>
            <m:sup>
              <m:r>
                <m:t>4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k</m:t>
              </m:r>
            </m:sub>
          </m:sSub>
        </m:oMath>
      </m:oMathPara>
    </w:p>
    <w:p>
      <w:pPr>
        <w:spacing w:before="0" w:after="50" w:line="252" w:lineRule="auto"/>
        <w:jc w:val="both"/>
      </w:pPr>
      <w:r>
        <w:rPr>
          <w:rFonts w:ascii="Times New Roman" w:hAnsi="Times New Roman"/>
          <w:b/>
          <w:i w:val="0"/>
          <w:color w:val="1E1E1E"/>
          <w:sz w:val="19"/>
        </w:rPr>
        <w:t>Metric Blindness Property: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Consider true class </w:t>
      </w:r>
      <m:oMath>
        <m:r>
          <m:t>y=4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 (</w:t>
      </w:r>
      <m:oMath>
        <m:r>
          <m:t>𝐲=[0,0,0,0,1</m:t>
        </m:r>
        <m:sSup>
          <m:e>
            <m:r>
              <m:t>]</m:t>
            </m:r>
          </m:e>
          <m:sup>
            <m:r>
              <m:t>T</m:t>
            </m:r>
          </m:sup>
        </m:sSup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). For any model outputting probability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4</m:t>
            </m:r>
          </m:sub>
        </m:sSub>
        <m:r>
          <m:t>=0.05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 on the true class, the loss is:</w:t>
      </w:r>
    </w:p>
    <w:p>
      <w:pPr>
        <w:spacing w:before="80" w:after="80"/>
        <w:jc w:val="center"/>
      </w:pPr>
      <m:oMathPara>
        <m:oMath>
          <m:sSub>
            <m:e>
              <m:r>
                <m:t>ℒ</m:t>
              </m:r>
            </m:e>
            <m:sub>
              <m:r>
                <m:t>CE</m:t>
              </m:r>
            </m:sub>
          </m:sSub>
          <m:r>
            <m:t>=−</m:t>
          </m:r>
          <m:r>
            <m:rPr>
              <m:sty m:val="p"/>
            </m:rPr>
            <m:t>log</m:t>
          </m:r>
          <m:r>
            <m:t>(0.05)≈2.9957</m:t>
          </m:r>
        </m:oMath>
      </m:oMathPara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>Whether the remaining 0.95 probability is assigned to Grade 3 (</w:t>
      </w:r>
      <m:oMath>
        <m:r>
          <m:t>|4−3|=1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>, safe error) or Grade 0 (</w:t>
      </w:r>
      <m:oMath>
        <m:r>
          <m:t>|4−0|=4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, dangerous discharge), the cross-entropy loss and gradient </w:t>
      </w:r>
      <m:oMath>
        <m:f>
          <m:fPr>
            <m:type m:val="bar"/>
          </m:fPr>
          <m:num>
            <m:r>
              <m:t>∂</m:t>
            </m:r>
            <m:sSub>
              <m:e>
                <m:r>
                  <m:t>ℒ</m:t>
                </m:r>
              </m:e>
              <m:sub>
                <m:r>
                  <m:t>CE</m:t>
                </m:r>
              </m:sub>
            </m:sSub>
          </m:num>
          <m:den>
            <m:r>
              <m:t>∂</m:t>
            </m:r>
            <m:sSub>
              <m:e>
                <m:r>
                  <m:t>z</m:t>
                </m:r>
              </m:e>
              <m:sub>
                <m:r>
                  <m:t>k</m:t>
                </m:r>
              </m:sub>
            </m:sSub>
          </m:den>
        </m:f>
        <m:r>
          <m:t>=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  <m:r>
          <m:t>−</m:t>
        </m:r>
        <m:sSub>
          <m:e>
            <m:r>
              <m:t>y</m:t>
            </m:r>
          </m:e>
          <m:sub>
            <m:r>
              <m:t>k</m:t>
            </m:r>
          </m:sub>
        </m:sSub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 treat non-target errors symmetrically.</w:t>
      </w:r>
    </w:p>
    <w:p>
      <w:pPr>
        <w:keepNext/>
        <w:spacing w:before="80" w:after="30"/>
      </w:pPr>
      <w:r>
        <w:rPr>
          <w:rFonts w:ascii="Times New Roman" w:hAnsi="Times New Roman"/>
          <w:b/>
          <w:i/>
          <w:color w:val="283246"/>
          <w:sz w:val="18"/>
        </w:rPr>
        <w:t>2) Variant B: Consistent Rank Logits (CORAL)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 xml:space="preserve">CORAL [8] decomposes the 5-class problem into </w:t>
      </w:r>
      <m:oMath>
        <m:r>
          <m:t>K−1=4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 binary tasks:</w:t>
      </w:r>
    </w:p>
    <w:p>
      <w:pPr>
        <w:spacing w:before="80" w:after="80"/>
        <w:jc w:val="center"/>
      </w:pPr>
      <m:oMathPara>
        <m:oMath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t>=</m:t>
          </m:r>
          <m:d>
            <m:dPr>
              <m:begChr m:val="{"/>
              <m:sepChr m:val=""/>
              <m:endChr m:val="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</m:rPr>
                      <m:t>if </m:t>
                    </m:r>
                    <m:r>
                      <m:t>y&gt;k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</m:rPr>
                      <m:t>otherwise</m:t>
                    </m:r>
                  </m:e>
                </m:mr>
              </m:m>
            </m:e>
          </m:d>
          <m:r>
            <m:t>,</m:t>
          </m:r>
          <m:r>
            <m:t>k∈{0,1,2,3}</m:t>
          </m:r>
        </m:oMath>
      </m:oMathPara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 xml:space="preserve">A shared weight vector </w:t>
      </w:r>
      <m:oMath>
        <m:r>
          <m:t>𝐰∈</m:t>
        </m:r>
        <m:sSup>
          <m:e>
            <m:r>
              <m:t>ℝ</m:t>
            </m:r>
          </m:e>
          <m:sup>
            <m:r>
              <m:t>1280</m:t>
            </m:r>
          </m:sup>
        </m:sSup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 and independent biases </w:t>
      </w:r>
      <m:oMath>
        <m:sSub>
          <m:e>
            <m:r>
              <m:t>b</m:t>
            </m:r>
          </m:e>
          <m:sub>
            <m:r>
              <m:t>k</m:t>
            </m:r>
          </m:sub>
        </m:sSub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 form the cumulative probabilities:</w:t>
      </w:r>
    </w:p>
    <w:p>
      <w:pPr>
        <w:spacing w:before="80" w:after="80"/>
        <w:jc w:val="center"/>
      </w:pPr>
      <m:oMathPara>
        <m:oMath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t>(𝐱)=</m:t>
          </m:r>
          <m:sSup>
            <m:e>
              <m:r>
                <m:t>𝐰</m:t>
              </m:r>
            </m:e>
            <m:sup>
              <m:r>
                <m:t>T</m:t>
              </m:r>
            </m:sup>
          </m:sSup>
          <m:r>
            <m:t>ϕ(𝐱)+</m:t>
          </m:r>
          <m:sSub>
            <m:e>
              <m:r>
                <m:t>b</m:t>
              </m:r>
            </m:e>
            <m:sub>
              <m:r>
                <m:t>k</m:t>
              </m:r>
            </m:sub>
          </m:sSub>
          <m:r>
            <m:t>,</m:t>
          </m:r>
          <m:acc>
            <m:accPr>
              <m:chr m:val="̂"/>
            </m:accPr>
            <m:e>
              <m:r>
                <m:t>P</m:t>
              </m:r>
            </m:e>
          </m:acc>
          <m:r>
            <m:t>(y&gt;k∣𝐱)=σ(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t>(𝐱))</m:t>
          </m:r>
        </m:oMath>
      </m:oMathPara>
    </w:p>
    <w:p>
      <w:pPr>
        <w:spacing w:before="80" w:after="80"/>
        <w:jc w:val="center"/>
      </w:pPr>
      <m:oMathPara>
        <m:oMath>
          <m:sSub>
            <m:e>
              <m:r>
                <m:t>ℒ</m:t>
              </m:r>
            </m:e>
            <m:sub>
              <m:r>
                <m:t>CORAL</m:t>
              </m:r>
            </m:sub>
          </m:sSub>
          <m:r>
            <m:t>=−</m:t>
          </m:r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k=0</m:t>
              </m:r>
            </m:sub>
            <m:sup>
              <m:r>
                <m:t>3</m:t>
              </m:r>
            </m:sup>
            <m:e>
              <m:d>
                <m:dPr>
                  <m:begChr m:val="["/>
                  <m:sepChr m:val=""/>
                  <m:endChr m:val="]"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σ</m:t>
                  </m:r>
                  <m:r>
                    <m:t>(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(</m:t>
                  </m:r>
                  <m:r>
                    <m:t>𝐱</m:t>
                  </m:r>
                  <m:r>
                    <m:t>)</m:t>
                  </m:r>
                  <m:r>
                    <m:t>)</m:t>
                  </m:r>
                  <m:r>
                    <m:t>+</m:t>
                  </m:r>
                  <m:r>
                    <m:t>(</m:t>
                  </m:r>
                  <m:r>
                    <m:t>1</m:t>
                  </m:r>
                  <m: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(</m:t>
                  </m:r>
                  <m:r>
                    <m:t>1</m:t>
                  </m:r>
                  <m:r>
                    <m:t>−</m:t>
                  </m:r>
                  <m:r>
                    <m:t>σ</m:t>
                  </m:r>
                  <m:r>
                    <m:t>(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(</m:t>
                  </m:r>
                  <m:r>
                    <m:t>𝐱</m:t>
                  </m:r>
                  <m:r>
                    <m:t>)</m:t>
                  </m:r>
                  <m:r>
                    <m:t>)</m:t>
                  </m:r>
                  <m:r>
                    <m:t>)</m:t>
                  </m:r>
                </m:e>
              </m:d>
            </m:e>
          </m:nary>
        </m:oMath>
      </m:oMathPara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 xml:space="preserve">In unweighted CORAL, every sample updates all four binary tasks. In our imbalanced dataset (Grade 0: 1,263 vs. Grade 3: 135), negative gradients from healthy retinas dominate the shared projection </w:t>
      </w:r>
      <m:oMath>
        <m:r>
          <m:t>𝐰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>, leading to empirical collapse on Grade 3 (0.0% recall).</w:t>
      </w:r>
    </w:p>
    <w:p>
      <w:pPr>
        <w:keepNext/>
        <w:spacing w:before="80" w:after="30"/>
      </w:pPr>
      <w:r>
        <w:rPr>
          <w:rFonts w:ascii="Times New Roman" w:hAnsi="Times New Roman"/>
          <w:b/>
          <w:i/>
          <w:color w:val="283246"/>
          <w:sz w:val="18"/>
        </w:rPr>
        <w:t>3) Variant C: Continuous Regression with Smooth L1 Loss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 xml:space="preserve">Continuous regression maps </w:t>
      </w:r>
      <m:oMath>
        <m:r>
          <m:t>ϕ(𝐱)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 to a scalar </w:t>
      </w:r>
      <m:oMath>
        <m:acc>
          <m:accPr>
            <m:chr m:val="̂"/>
          </m:accPr>
          <m:e>
            <m:r>
              <m:t>s</m:t>
            </m:r>
          </m:e>
        </m:acc>
        <m:r>
          <m:t>∈ℝ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>:</w:t>
      </w:r>
    </w:p>
    <w:p>
      <w:pPr>
        <w:spacing w:before="80" w:after="80"/>
        <w:jc w:val="center"/>
      </w:pPr>
      <m:oMathPara>
        <m:oMath>
          <m:acc>
            <m:accPr>
              <m:chr m:val="̂"/>
            </m:accPr>
            <m:e>
              <m:r>
                <m:t>s</m:t>
              </m:r>
            </m:e>
          </m:acc>
          <m:r>
            <m:t>=</m:t>
          </m:r>
          <m:sSup>
            <m:e>
              <m:r>
                <m:t>𝐰</m:t>
              </m:r>
            </m:e>
            <m:sup>
              <m:r>
                <m:t>T</m:t>
              </m:r>
            </m:sup>
          </m:sSup>
          <m:r>
            <m:t>ϕ(𝐱)+b</m:t>
          </m:r>
        </m:oMath>
      </m:oMathPara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>The network is trained with Smooth L1 loss:</w:t>
      </w:r>
    </w:p>
    <w:p>
      <w:pPr>
        <w:spacing w:before="80" w:after="80"/>
        <w:jc w:val="center"/>
      </w:pPr>
      <m:oMathPara>
        <m:oMath>
          <m:sSub>
            <m:e>
              <m:r>
                <m:t>ℒ</m:t>
              </m:r>
            </m:e>
            <m:sub>
              <m:r>
                <m:t>SmoothL1</m:t>
              </m:r>
            </m:sub>
          </m:sSub>
          <m:r>
            <m:t>(y,</m:t>
          </m:r>
          <m:acc>
            <m:accPr>
              <m:chr m:val="̂"/>
            </m:accPr>
            <m:e>
              <m:r>
                <m:t>s</m:t>
              </m:r>
            </m:e>
          </m:acc>
          <m:r>
            <m:t>)=</m:t>
          </m:r>
          <m:d>
            <m:dPr>
              <m:begChr m:val="{"/>
              <m:sepChr m:val=""/>
              <m:endChr m:val="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m:t>0.5(y−</m:t>
                    </m:r>
                    <m:acc>
                      <m:accPr>
                        <m:chr m:val="̂"/>
                      </m:accPr>
                      <m:e>
                        <m:r>
                          <m:t>s</m:t>
                        </m:r>
                      </m:e>
                    </m:acc>
                    <m:sSup>
                      <m:e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rPr>
                        <m:nor/>
                      </m:rPr>
                      <m:t>if </m:t>
                    </m:r>
                    <m:r>
                      <m:t>|y−</m:t>
                    </m:r>
                    <m:acc>
                      <m:accPr>
                        <m:chr m:val="̂"/>
                      </m:accPr>
                      <m:e>
                        <m:r>
                          <m:t>s</m:t>
                        </m:r>
                      </m:e>
                    </m:acc>
                    <m:r>
                      <m:t>|&lt;1.0</m:t>
                    </m:r>
                  </m:e>
                </m:mr>
                <m:mr>
                  <m:e>
                    <m:r>
                      <m:t>|y−</m:t>
                    </m:r>
                    <m:acc>
                      <m:accPr>
                        <m:chr m:val="̂"/>
                      </m:accPr>
                      <m:e>
                        <m:r>
                          <m:t>s</m:t>
                        </m:r>
                      </m:e>
                    </m:acc>
                    <m:r>
                      <m:t>|−0.5</m:t>
                    </m:r>
                  </m:e>
                  <m:e>
                    <m:r>
                      <m:rPr>
                        <m:nor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 xml:space="preserve">Discrete predictions are obtained by clipping and rounding: </w:t>
      </w:r>
      <m:oMath>
        <m:acc>
          <m:accPr>
            <m:chr m:val="̂"/>
          </m:accPr>
          <m:e>
            <m:r>
              <m:t>y</m:t>
            </m:r>
          </m:e>
        </m:acc>
        <m:r>
          <m:t>=</m:t>
        </m:r>
        <m:r>
          <m:rPr>
            <m:nor/>
          </m:rPr>
          <m:t>round</m:t>
        </m:r>
        <m:r>
          <m:t>(</m:t>
        </m:r>
        <m:r>
          <m:rPr>
            <m:nor/>
          </m:rPr>
          <m:t>clip</m:t>
        </m:r>
        <m:r>
          <m:t>(</m:t>
        </m:r>
        <m:acc>
          <m:accPr>
            <m:chr m:val="̂"/>
          </m:accPr>
          <m:e>
            <m:r>
              <m:t>s</m:t>
            </m:r>
          </m:e>
        </m:acc>
        <m:r>
          <m:t>,0.0,4.0))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>. Distance penalties reduce large multi-grade errors.</w:t>
      </w:r>
    </w:p>
    <w:p>
      <w:pPr>
        <w:keepNext/>
        <w:spacing w:before="80" w:after="30"/>
      </w:pPr>
      <w:r>
        <w:rPr>
          <w:rFonts w:ascii="Times New Roman" w:hAnsi="Times New Roman"/>
          <w:b/>
          <w:i/>
          <w:color w:val="283246"/>
          <w:sz w:val="18"/>
        </w:rPr>
        <w:t>4) Variant D (CORN): Conditional Ordinal Regression with Class Weighting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 xml:space="preserve">CORN [13] models the conditional probability of exceeding rank </w:t>
      </w:r>
      <m:oMath>
        <m:r>
          <m:t>k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, given that rank </w:t>
      </w:r>
      <m:oMath>
        <m:r>
          <m:t>k−1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 was reached:</w:t>
      </w:r>
    </w:p>
    <w:p>
      <w:pPr>
        <w:spacing w:before="80" w:after="80"/>
        <w:jc w:val="center"/>
      </w:pPr>
      <m:oMathPara>
        <m:oMath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t>(𝐱)=P(y&gt;k∣y&gt;k−1)=σ(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t>(𝐱)),</m:t>
          </m:r>
          <m:r>
            <m:t>k∈{0,1,2,3}</m:t>
          </m:r>
        </m:oMath>
      </m:oMathPara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>Unconditional cumulative probabilities follow via the product rule:</w:t>
      </w:r>
    </w:p>
    <w:p>
      <w:pPr>
        <w:spacing w:before="80" w:after="80"/>
        <w:jc w:val="center"/>
      </w:pPr>
      <m:oMathPara>
        <m:oMath>
          <m:r>
            <m:t>P(y&gt;k∣𝐱)=</m:t>
          </m:r>
          <m:nary>
            <m:naryPr>
              <m:chr m:val="∏"/>
              <m:limLoc m:val="subSup"/>
              <m:grow m:val="1"/>
              <m:subHide m:val="off"/>
              <m:supHide m:val="off"/>
            </m:naryPr>
            <m:sub>
              <m:r>
                <m:t>j=0</m:t>
              </m:r>
            </m:sub>
            <m:sup>
              <m:r>
                <m:t>k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(𝐱)</m:t>
          </m:r>
        </m:oMath>
      </m:oMathPara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 xml:space="preserve">A sample with label </w:t>
      </w:r>
      <m:oMath>
        <m:r>
          <m:t>y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 participates only in binary tasks up to its label:</w:t>
      </w:r>
    </w:p>
    <w:p>
      <w:pPr>
        <w:spacing w:before="80" w:after="80"/>
        <w:jc w:val="center"/>
      </w:pPr>
      <m:oMathPara>
        <m:oMath>
          <m:sSub>
            <m:e>
              <m:r>
                <m:t>ℒ</m:t>
              </m:r>
            </m:e>
            <m:sub>
              <m:r>
                <m:t>CORN</m:t>
              </m:r>
            </m:sub>
          </m:sSub>
          <m:r>
            <m:t>(𝐱,y)=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min(y+1,K−1)</m:t>
              </m:r>
            </m:den>
          </m:f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k=0</m:t>
              </m:r>
            </m:sub>
            <m:sup>
              <m:r>
                <m:t>min(y,K−2)</m:t>
              </m:r>
            </m:sup>
            <m:e>
              <m:r>
                <m:rPr>
                  <m:nor/>
                </m:rPr>
                <m:t>BCE</m:t>
              </m:r>
              <m:r>
                <m:t>(</m:t>
              </m:r>
            </m:e>
          </m:nary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t>(𝐱),𝕀(y&gt;k))</m:t>
          </m:r>
        </m:oMath>
      </m:oMathPara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 xml:space="preserve">To counteract remaining imbalance, we incorporate effective-number class weighting (Cui et al. [14], </w:t>
      </w:r>
      <m:oMath>
        <m:r>
          <m:t>β=0.9999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):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t>=0.2269,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t>=1.0529,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=0.3987,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t>=2.0075,</m:t>
        </m:r>
        <m:sSub>
          <m:e>
            <m:r>
              <m:t>W</m:t>
            </m:r>
          </m:e>
          <m:sub>
            <m:r>
              <m:t>4</m:t>
            </m:r>
          </m:sub>
        </m:sSub>
        <m:r>
          <m:t>=1.3140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>, alongside differentiable Soft-QWK loss regularization:</w:t>
      </w:r>
    </w:p>
    <w:p>
      <w:pPr>
        <w:spacing w:before="80" w:after="80"/>
        <w:jc w:val="center"/>
      </w:pPr>
      <m:oMathPara>
        <m:oMath>
          <m:sSub>
            <m:e>
              <m:r>
                <m:t>ℒ</m:t>
              </m:r>
            </m:e>
            <m:sub>
              <m:r>
                <m:t>total</m:t>
              </m:r>
            </m:sub>
          </m:sSub>
          <m:r>
            <m:t>=</m:t>
          </m:r>
          <m:sSub>
            <m:e>
              <m:r>
                <m:t>ℒ</m:t>
              </m:r>
            </m:e>
            <m:sub>
              <m:r>
                <m:t>CORN</m:t>
              </m:r>
            </m:sub>
          </m:sSub>
          <m:r>
            <m:t>+</m:t>
          </m:r>
          <m:sSub>
            <m:e>
              <m:r>
                <m:t>λ</m:t>
              </m:r>
            </m:e>
            <m:sub>
              <m:r>
                <m:t>QWK</m:t>
              </m:r>
            </m:sub>
          </m:sSub>
          <m:r>
            <m:t>·</m:t>
          </m:r>
          <m:sSub>
            <m:e>
              <m:r>
                <m:t>ℒ</m:t>
              </m:r>
            </m:e>
            <m:sub>
              <m:r>
                <m:t>SoftQWK</m:t>
              </m:r>
            </m:sub>
          </m:sSub>
          <m:r>
            <m:t>,</m:t>
          </m:r>
          <m:sSub>
            <m:e>
              <m:r>
                <m:t>λ</m:t>
              </m:r>
            </m:e>
            <m:sub>
              <m:r>
                <m:t>QWK</m:t>
              </m:r>
            </m:sub>
          </m:sSub>
          <m:r>
            <m:t>=0.20</m:t>
          </m:r>
        </m:oMath>
      </m:oMathPara>
    </w:p>
    <w:p>
      <w:pPr>
        <w:keepNext/>
        <w:spacing w:before="80" w:after="30"/>
      </w:pPr>
      <w:r>
        <w:rPr>
          <w:rFonts w:ascii="Times New Roman" w:hAnsi="Times New Roman"/>
          <w:b/>
          <w:i/>
          <w:color w:val="283246"/>
          <w:sz w:val="18"/>
        </w:rPr>
        <w:t>5) Variant E: 3-Seed Ensemble + TTA with Label Smoothing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>For applications prioritizing overall diagnostic accuracy, we implement a multi-seed ensembled architecture: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19"/>
        </w:rPr>
        <w:t>Label Smoothing: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Targets are smoothed with </w:t>
      </w:r>
      <m:oMath>
        <m:r>
          <m:t>α=0.08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>:</w:t>
      </w:r>
    </w:p>
    <w:p>
      <w:pPr>
        <w:spacing w:before="80" w:after="80"/>
        <w:jc w:val="center"/>
      </w:pPr>
      <m:oMathPara>
        <m:oMath>
          <m:sSubSup>
            <m:e>
              <m:r>
                <m:t>y</m:t>
              </m:r>
            </m:e>
            <m:sub>
              <m:r>
                <m:t>k</m:t>
              </m:r>
            </m:sub>
            <m:sup>
              <m:r>
                <m:t>LS</m:t>
              </m:r>
            </m:sup>
          </m:sSubSup>
          <m:r>
            <m:t>=(1−α)</m:t>
          </m:r>
          <m:sSub>
            <m:e>
              <m:r>
                <m:t>y</m:t>
              </m:r>
            </m:e>
            <m:sub>
              <m:r>
                <m:t>k</m:t>
              </m:r>
            </m:sub>
          </m:sSub>
          <m:r>
            <m:t>+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K</m:t>
              </m:r>
            </m:den>
          </m:f>
        </m:oMath>
      </m:oMathPara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>reducing overconfidence on ambiguous retinal lesions.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19"/>
        </w:rPr>
        <w:t>Multi-Seed Ensembling and TTA: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Three models are trained independently across random seeds </w:t>
      </w:r>
      <m:oMath>
        <m:d>
          <m:dPr>
            <m:begChr m:val="{"/>
            <m:sepChr m:val=","/>
            <m:endChr m:val="}"/>
          </m:dPr>
          <m:e>
            <m:r>
              <m:t>42</m:t>
            </m:r>
          </m:e>
          <m:e>
            <m:r>
              <m:t>43</m:t>
            </m:r>
          </m:e>
          <m:e>
            <m:r>
              <m:t>44</m:t>
            </m:r>
          </m:e>
        </m:d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 for 12 epochs each. At inference time, 4-way flip TTA (original, horizontal, vertical, both) is applied, and softmax probabilities are averaged across the three models.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19"/>
        </w:rPr>
        <w:t>Post-Hoc Logit Adjustment (Sensitivity Analysis):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Unnormalized logits can be adjusted by class priors </w:t>
      </w:r>
      <m:oMath>
        <m:sSub>
          <m:e>
            <m:r>
              <m:t>π</m:t>
            </m:r>
          </m:e>
          <m:sub>
            <m:r>
              <m:t>y</m:t>
            </m:r>
          </m:sub>
        </m:sSub>
      </m:oMath>
      <w:r>
        <w:rPr>
          <w:rFonts w:ascii="Times New Roman" w:hAnsi="Times New Roman"/>
          <w:b w:val="0"/>
          <w:i w:val="0"/>
          <w:color w:val="1E1E1E"/>
          <w:sz w:val="19"/>
        </w:rPr>
        <w:t>:</w:t>
      </w:r>
    </w:p>
    <w:p>
      <w:pPr>
        <w:spacing w:before="80" w:after="80"/>
        <w:jc w:val="center"/>
      </w:pPr>
      <m:oMathPara>
        <m:oMath>
          <m:sSub>
            <m:e>
              <m:limUpp>
                <m:e>
                  <m:r>
                    <m:t>f</m:t>
                  </m:r>
                </m:e>
                <m:lim>
                  <m:r>
                    <m:t>~</m:t>
                  </m:r>
                </m:lim>
              </m:limUpp>
            </m:e>
            <m:sub>
              <m:r>
                <m:t>y</m:t>
              </m:r>
            </m:sub>
          </m:sSub>
          <m:r>
            <m:t>(𝐱)=</m:t>
          </m:r>
          <m:sSub>
            <m:e>
              <m:r>
                <m:t>f</m:t>
              </m:r>
            </m:e>
            <m:sub>
              <m:r>
                <m:t>y</m:t>
              </m:r>
            </m:sub>
          </m:sSub>
          <m:r>
            <m:t>(𝐱)−τ·</m:t>
          </m:r>
          <m:r>
            <m:rPr>
              <m:sty m:val="p"/>
            </m:rPr>
            <m:t>log</m:t>
          </m:r>
          <m:r>
            <m:t>(</m:t>
          </m:r>
          <m:sSub>
            <m:e>
              <m:r>
                <m:t>π</m:t>
              </m:r>
            </m:e>
            <m:sub>
              <m:r>
                <m:t>y</m:t>
              </m:r>
            </m:sub>
          </m:sSub>
          <m:r>
            <m:t>)</m:t>
          </m:r>
        </m:oMath>
      </m:oMathPara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 xml:space="preserve">where </w:t>
      </w:r>
      <m:oMath>
        <m:r>
          <m:t>τ≥0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. In this study, temperature sweeps across </w:t>
      </w:r>
      <m:oMath>
        <m:r>
          <m:t>τ∈{0.0,0.5,1.0,1.5}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 are evaluated on the test set strictly as a post-hoc sensitivity analysis to document the accuracy–sensitivity trade-off.</w:t>
      </w:r>
    </w:p>
    <w:p>
      <w:pPr>
        <w:keepNext/>
        <w:spacing w:before="120" w:after="40"/>
      </w:pPr>
      <w:r>
        <w:rPr>
          <w:rFonts w:ascii="Times New Roman" w:hAnsi="Times New Roman"/>
          <w:b/>
          <w:i/>
          <w:color w:val="1E2846"/>
          <w:sz w:val="19"/>
        </w:rPr>
        <w:t>C.  Training and Hyperparameter Configurations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>To ensure experimental transparency and reproducibility, Table 2 details the hyperparameter configurations across all five model variants. All models shared an identical pretrained EfficientNet-B0 backbone (5.3M parameters), AdamW optimizer (</w:t>
      </w:r>
      <m:oMath>
        <m:r>
          <m:t>lr=3×</m:t>
        </m:r>
        <m:sSup>
          <m:e>
            <m:r>
              <m:t>10</m:t>
            </m:r>
          </m:e>
          <m:sup>
            <m:r>
              <m:t>−4</m:t>
            </m:r>
          </m:sup>
        </m:sSup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, weight decay </w:t>
      </w:r>
      <m:oMath>
        <m:r>
          <m:t>1×</m:t>
        </m:r>
        <m:sSup>
          <m:e>
            <m:r>
              <m:t>10</m:t>
            </m:r>
          </m:e>
          <m:sup>
            <m:r>
              <m:t>−2</m:t>
            </m:r>
          </m:sup>
        </m:sSup>
      </m:oMath>
      <w:r>
        <w:rPr>
          <w:rFonts w:ascii="Times New Roman" w:hAnsi="Times New Roman"/>
          <w:b w:val="0"/>
          <w:i w:val="0"/>
          <w:color w:val="1E1E1E"/>
          <w:sz w:val="19"/>
        </w:rPr>
        <w:t>), batch size of 16, and Cosine Annealing learning rate schedule. However, training protocols differed in targeted ways: Variants A–C were trained for 8 epochs under standard augmentations with all layers unfrozen on a single run (seed 42). Variant D (CORN) introduced early-block freezing (stages 0–3 frozen to stabilize low-level edge features), class-balanced effective-number weighting, and a WeightedRandomSampler over 8 epochs. Variant E employed an extended 12-epoch training budget per seed, label smoothing (</w:t>
      </w:r>
      <m:oMath>
        <m:r>
          <m:t>α=0.08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>), safe-light augmentations, and sequential 3-seed ensembling with test-time augmentation.</w:t>
      </w:r>
    </w:p>
    <w:p>
      <w:pPr>
        <w:sectPr>
          <w:type w:val="continuous"/>
          <w:pgSz w:w="12240" w:h="15840"/>
          <w:pgMar w:top="1080" w:right="893" w:bottom="1440" w:left="893" w:header="720" w:footer="720" w:gutter="0"/>
          <w:cols w:num="2" w:space="360"/>
          <w:docGrid w:linePitch="360"/>
        </w:sectPr>
      </w:pPr>
    </w:p>
    <w:p>
      <w:pPr>
        <w:keepNext/>
        <w:spacing w:before="120" w:after="40"/>
        <w:jc w:val="center"/>
      </w:pPr>
      <w:r>
        <w:rPr>
          <w:rFonts w:ascii="Times New Roman" w:hAnsi="Times New Roman"/>
          <w:b/>
          <w:i w:val="0"/>
          <w:color w:val="142850"/>
          <w:sz w:val="18"/>
        </w:rPr>
        <w:t>TABLE 2: Training and Hyperparameter Configurations Across Model Variants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B5C8F"/>
          <w:bottom w:val="single" w:sz="8" w:space="0" w:color="333333"/>
          <w:insideH w:val="single" w:sz="4" w:space="0" w:color="E0E0E0"/>
          <w:insideV w:val="none"/>
          <w:left w:val="none"/>
          <w:right w:val="none"/>
        </w:tblBorders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cantSplit/>
          <w:tblHeader/>
        </w:trPr>
        <w:tc>
          <w:tcPr>
            <w:tcW w:type="dxa" w:w="1742"/>
            <w:vAlign w:val="center"/>
            <w:tcW w:w="2520" w:type="dxa"/>
            <w:tcMar>
              <w:top w:w="55" w:type="dxa"/>
              <w:bottom w:w="55" w:type="dxa"/>
              <w:left w:w="55" w:type="dxa"/>
              <w:right w:w="55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Hyperparameter / Setting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Variant A (Softmax)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Variant B (CORAL)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Variant C (Regression)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Variant D (CORN)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Variant E (Ensemble)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W w:w="2520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Target Epochs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8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8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8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8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12 (per seed)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W w:w="2520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Optimizer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AdamW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AdamW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AdamW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AdamW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AdamW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W w:w="2520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Learning Rate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m:oMath>
              <m:r>
                <m:t>3×</m:t>
              </m:r>
              <m:sSup>
                <m:e>
                  <m:r>
                    <m:t>10</m:t>
                  </m:r>
                </m:e>
                <m:sup>
                  <m:r>
                    <m:t>−4</m:t>
                  </m:r>
                </m:sup>
              </m:sSup>
            </m:oMath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m:oMath>
              <m:r>
                <m:t>3×</m:t>
              </m:r>
              <m:sSup>
                <m:e>
                  <m:r>
                    <m:t>10</m:t>
                  </m:r>
                </m:e>
                <m:sup>
                  <m:r>
                    <m:t>−4</m:t>
                  </m:r>
                </m:sup>
              </m:sSup>
            </m:oMath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m:oMath>
              <m:r>
                <m:t>3×</m:t>
              </m:r>
              <m:sSup>
                <m:e>
                  <m:r>
                    <m:t>10</m:t>
                  </m:r>
                </m:e>
                <m:sup>
                  <m:r>
                    <m:t>−4</m:t>
                  </m:r>
                </m:sup>
              </m:sSup>
            </m:oMath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m:oMath>
              <m:r>
                <m:t>3×</m:t>
              </m:r>
              <m:sSup>
                <m:e>
                  <m:r>
                    <m:t>10</m:t>
                  </m:r>
                </m:e>
                <m:sup>
                  <m:r>
                    <m:t>−4</m:t>
                  </m:r>
                </m:sup>
              </m:sSup>
            </m:oMath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m:oMath>
              <m:r>
                <m:t>3×</m:t>
              </m:r>
              <m:sSup>
                <m:e>
                  <m:r>
                    <m:t>10</m:t>
                  </m:r>
                </m:e>
                <m:sup>
                  <m:r>
                    <m:t>−4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1742"/>
            <w:vAlign w:val="center"/>
            <w:tcW w:w="2520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Weight Decay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m:oMath>
              <m:r>
                <m:t>1×</m:t>
              </m:r>
              <m:sSup>
                <m:e>
                  <m:r>
                    <m:t>10</m:t>
                  </m:r>
                </m:e>
                <m:sup>
                  <m:r>
                    <m:t>−2</m:t>
                  </m:r>
                </m:sup>
              </m:sSup>
            </m:oMath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m:oMath>
              <m:r>
                <m:t>1×</m:t>
              </m:r>
              <m:sSup>
                <m:e>
                  <m:r>
                    <m:t>10</m:t>
                  </m:r>
                </m:e>
                <m:sup>
                  <m:r>
                    <m:t>−2</m:t>
                  </m:r>
                </m:sup>
              </m:sSup>
            </m:oMath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m:oMath>
              <m:r>
                <m:t>1×</m:t>
              </m:r>
              <m:sSup>
                <m:e>
                  <m:r>
                    <m:t>10</m:t>
                  </m:r>
                </m:e>
                <m:sup>
                  <m:r>
                    <m:t>−2</m:t>
                  </m:r>
                </m:sup>
              </m:sSup>
            </m:oMath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m:oMath>
              <m:r>
                <m:t>1×</m:t>
              </m:r>
              <m:sSup>
                <m:e>
                  <m:r>
                    <m:t>10</m:t>
                  </m:r>
                </m:e>
                <m:sup>
                  <m:r>
                    <m:t>−2</m:t>
                  </m:r>
                </m:sup>
              </m:sSup>
            </m:oMath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m:oMath>
              <m:r>
                <m:t>1×</m:t>
              </m:r>
              <m:sSup>
                <m:e>
                  <m:r>
                    <m:t>10</m:t>
                  </m:r>
                </m:e>
                <m:sup>
                  <m:r>
                    <m:t>−2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1742"/>
            <w:vAlign w:val="center"/>
            <w:tcW w:w="2520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Batch Size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16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16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16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16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16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W w:w="2520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LR Scheduler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Cosine Annealing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Cosine Annealing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Cosine Annealing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Cosine Annealing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Cosine Annealing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W w:w="2520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Frozen Layers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None (All unfrozen)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None (All unfrozen)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None (All unfrozen)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Stages 0–3 frozen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None (All unfrozen)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W w:w="2520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Augmentation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Flips, Rot </w:t>
            </w:r>
            <m:oMath>
              <m:r>
                <m:t>±</m:t>
              </m:r>
              <m:sSup>
                <m:e>
                  <m:r>
                    <m:t>25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, Jitter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Flips, Rot </w:t>
            </w:r>
            <m:oMath>
              <m:r>
                <m:t>±</m:t>
              </m:r>
              <m:sSup>
                <m:e>
                  <m:r>
                    <m:t>25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, Jitter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Flips, Rot </w:t>
            </w:r>
            <m:oMath>
              <m:r>
                <m:t>±</m:t>
              </m:r>
              <m:sSup>
                <m:e>
                  <m:r>
                    <m:t>25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, Jitter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Flips, Rot </w:t>
            </w:r>
            <m:oMath>
              <m:r>
                <m:t>±</m:t>
              </m:r>
              <m:sSup>
                <m:e>
                  <m:r>
                    <m:t>25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, Jitter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Flips, Affine </w:t>
            </w:r>
            <m:oMath>
              <m:r>
                <m:t>±</m:t>
              </m:r>
              <m:sSup>
                <m:e>
                  <m:r>
                    <m:t>15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, Light Jitter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W w:w="2520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Label Smoothing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None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N/A (Binary BCE)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N/A (Smooth L1)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None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m:oMath>
              <m:r>
                <m:t>α=0.08</m:t>
              </m:r>
            </m:oMath>
          </w:p>
        </w:tc>
      </w:tr>
      <w:tr>
        <w:trPr>
          <w:cantSplit/>
        </w:trPr>
        <w:tc>
          <w:tcPr>
            <w:tcW w:type="dxa" w:w="1742"/>
            <w:vAlign w:val="center"/>
            <w:tcW w:w="2520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Imbalance Strategy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Natural distribution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Natural distribution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Natural distribution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Cui et al. Weights + Sampler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Natural distribution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W w:w="2520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Number of Seeds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1 (Seed 42)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1 (Seed 42)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1 (Seed 42)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1 (Seed 42)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3 (Seeds 42, 43, 44)</w:t>
            </w:r>
          </w:p>
        </w:tc>
      </w:tr>
    </w:tbl>
    <w:p>
      <w:pPr>
        <w:spacing w:before="0" w:after="40"/>
      </w:pPr>
    </w:p>
    <w:p>
      <w:pPr>
        <w:sectPr>
          <w:type w:val="continuous"/>
          <w:pgSz w:w="12240" w:h="15840"/>
          <w:pgMar w:top="1080" w:right="893" w:bottom="1440" w:left="893" w:header="720" w:footer="720" w:gutter="0"/>
          <w:cols w:num="1"/>
          <w:docGrid w:linePitch="360"/>
        </w:sectPr>
      </w:pPr>
    </w:p>
    <w:p>
      <w:pPr>
        <w:keepNext/>
        <w:spacing w:before="160" w:after="50"/>
        <w:jc w:val="center"/>
      </w:pPr>
      <w:r>
        <w:rPr>
          <w:rFonts w:ascii="Times New Roman" w:hAnsi="Times New Roman"/>
          <w:b/>
          <w:color w:val="0F1E3C"/>
          <w:sz w:val="20"/>
        </w:rPr>
        <w:t>VII.  RESULTS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>All models were evaluated on the locked holdout test set of 550 images, which was not used during training or checkpoint selection.</w:t>
      </w:r>
    </w:p>
    <w:p>
      <w:pPr>
        <w:keepNext/>
        <w:spacing w:before="120" w:after="40"/>
      </w:pPr>
      <w:r>
        <w:rPr>
          <w:rFonts w:ascii="Times New Roman" w:hAnsi="Times New Roman"/>
          <w:b/>
          <w:i/>
          <w:color w:val="1E2846"/>
          <w:sz w:val="19"/>
        </w:rPr>
        <w:t>A.  Comprehensive Comparison Across Model Variants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>Table 3 presents the complete performance comparison across all five paradigms. Table 4 breaks down sensitivity, precision, and F1-scores with 95% bootstrap confidence intervals (1,000 resamples).</w:t>
      </w:r>
    </w:p>
    <w:p>
      <w:pPr>
        <w:sectPr>
          <w:type w:val="continuous"/>
          <w:pgSz w:w="12240" w:h="15840"/>
          <w:pgMar w:top="1080" w:right="893" w:bottom="1440" w:left="893" w:header="720" w:footer="720" w:gutter="0"/>
          <w:cols w:num="2" w:space="360"/>
          <w:docGrid w:linePitch="360"/>
        </w:sectPr>
      </w:pPr>
    </w:p>
    <w:p>
      <w:pPr>
        <w:keepNext/>
        <w:spacing w:before="120" w:after="40"/>
        <w:jc w:val="center"/>
      </w:pPr>
      <w:r>
        <w:rPr>
          <w:rFonts w:ascii="Times New Roman" w:hAnsi="Times New Roman"/>
          <w:b/>
          <w:i w:val="0"/>
          <w:color w:val="142850"/>
          <w:sz w:val="18"/>
        </w:rPr>
        <w:t>TABLE 3: Comprehensive Performance Comparison Across Model Variants on APTOS 2019 Holdout Test Set (N = 550)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B5C8F"/>
          <w:bottom w:val="single" w:sz="8" w:space="0" w:color="333333"/>
          <w:insideH w:val="single" w:sz="4" w:space="0" w:color="E0E0E0"/>
          <w:insideV w:val="none"/>
          <w:left w:val="none"/>
          <w:right w:val="none"/>
        </w:tblBorders>
      </w:tblPr>
      <w:tblGrid>
        <w:gridCol w:w="1162"/>
        <w:gridCol w:w="1162"/>
        <w:gridCol w:w="1162"/>
        <w:gridCol w:w="1162"/>
        <w:gridCol w:w="1162"/>
        <w:gridCol w:w="1162"/>
        <w:gridCol w:w="1162"/>
        <w:gridCol w:w="1162"/>
        <w:gridCol w:w="1162"/>
      </w:tblGrid>
      <w:tr>
        <w:trPr>
          <w:cantSplit/>
          <w:tblHeader/>
        </w:trPr>
        <w:tc>
          <w:tcPr>
            <w:tcW w:type="dxa" w:w="1162"/>
            <w:vAlign w:val="center"/>
            <w:tcW w:w="2232" w:type="dxa"/>
            <w:tcMar>
              <w:top w:w="50" w:type="dxa"/>
              <w:bottom w:w="50" w:type="dxa"/>
              <w:left w:w="50" w:type="dxa"/>
              <w:right w:w="5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Model Variant</w:t>
            </w:r>
          </w:p>
        </w:tc>
        <w:tc>
          <w:tcPr>
            <w:tcW w:type="dxa" w:w="1162"/>
            <w:vAlign w:val="center"/>
            <w:tcW w:w="1296" w:type="dxa"/>
            <w:tcMar>
              <w:top w:w="50" w:type="dxa"/>
              <w:bottom w:w="50" w:type="dxa"/>
              <w:left w:w="50" w:type="dxa"/>
              <w:right w:w="5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QWK (Primary) [95% CI]</w:t>
            </w:r>
          </w:p>
        </w:tc>
        <w:tc>
          <w:tcPr>
            <w:tcW w:type="dxa" w:w="1162"/>
            <w:vAlign w:val="center"/>
            <w:tcW w:w="792" w:type="dxa"/>
            <w:tcMar>
              <w:top w:w="50" w:type="dxa"/>
              <w:bottom w:w="50" w:type="dxa"/>
              <w:left w:w="50" w:type="dxa"/>
              <w:right w:w="5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Accuracy (%)</w:t>
            </w:r>
          </w:p>
        </w:tc>
        <w:tc>
          <w:tcPr>
            <w:tcW w:type="dxa" w:w="1162"/>
            <w:vAlign w:val="center"/>
            <w:tcW w:w="1152" w:type="dxa"/>
            <w:tcMar>
              <w:top w:w="50" w:type="dxa"/>
              <w:bottom w:w="50" w:type="dxa"/>
              <w:left w:w="50" w:type="dxa"/>
              <w:right w:w="5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MAE [95% CI]</w:t>
            </w:r>
          </w:p>
        </w:tc>
        <w:tc>
          <w:tcPr>
            <w:tcW w:type="dxa" w:w="1162"/>
            <w:vAlign w:val="center"/>
            <w:tcW w:w="1224" w:type="dxa"/>
            <w:tcMar>
              <w:top w:w="50" w:type="dxa"/>
              <w:bottom w:w="50" w:type="dxa"/>
              <w:left w:w="50" w:type="dxa"/>
              <w:right w:w="5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Catastrophic Error (</w:t>
            </w:r>
            <m:oMath>
              <m:r>
                <m:t>d≥2</m:t>
              </m:r>
            </m:oMath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) [95% CI]</w:t>
            </w:r>
          </w:p>
        </w:tc>
        <w:tc>
          <w:tcPr>
            <w:tcW w:type="dxa" w:w="116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Severe F1 (Grade 3)</w:t>
            </w:r>
          </w:p>
        </w:tc>
        <w:tc>
          <w:tcPr>
            <w:tcW w:type="dxa" w:w="116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PDR F1 (Grade 4)</w:t>
            </w:r>
          </w:p>
        </w:tc>
        <w:tc>
          <w:tcPr>
            <w:tcW w:type="dxa" w:w="116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Exact Match (</w:t>
            </w:r>
            <m:oMath>
              <m:r>
                <m:t>d=0</m:t>
              </m:r>
            </m:oMath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)</w:t>
            </w:r>
          </w:p>
        </w:tc>
        <w:tc>
          <w:tcPr>
            <w:tcW w:type="dxa" w:w="116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Off-by-1 (</w:t>
            </w:r>
            <m:oMath>
              <m:r>
                <m:t>d=1</m:t>
              </m:r>
            </m:oMath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)</w:t>
            </w:r>
          </w:p>
        </w:tc>
      </w:tr>
      <w:tr>
        <w:trPr>
          <w:cantSplit/>
        </w:trPr>
        <w:tc>
          <w:tcPr>
            <w:tcW w:type="dxa" w:w="1162"/>
            <w:vAlign w:val="center"/>
            <w:tcW w:w="223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4"/>
              </w:rPr>
              <w:t>Variant A: Softmax Baseline</w:t>
            </w:r>
          </w:p>
        </w:tc>
        <w:tc>
          <w:tcPr>
            <w:tcW w:type="dxa" w:w="1162"/>
            <w:vAlign w:val="center"/>
            <w:tcW w:w="1296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0.8724 [0.8385, 0.9044]</w:t>
            </w:r>
          </w:p>
        </w:tc>
        <w:tc>
          <w:tcPr>
            <w:tcW w:type="dxa" w:w="1162"/>
            <w:vAlign w:val="center"/>
            <w:tcW w:w="79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80.18%</w:t>
            </w:r>
          </w:p>
        </w:tc>
        <w:tc>
          <w:tcPr>
            <w:tcW w:type="dxa" w:w="1162"/>
            <w:vAlign w:val="center"/>
            <w:tcW w:w="115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0.2673 [0.2182, 0.3200]</w:t>
            </w:r>
          </w:p>
        </w:tc>
        <w:tc>
          <w:tcPr>
            <w:tcW w:type="dxa" w:w="1162"/>
            <w:vAlign w:val="center"/>
            <w:tcW w:w="1224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5.64% [3.64%, 7.64%]</w:t>
            </w:r>
          </w:p>
        </w:tc>
        <w:tc>
          <w:tcPr>
            <w:tcW w:type="dxa" w:w="116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0.3810 [0.2221, 0.5313]</w:t>
            </w:r>
          </w:p>
        </w:tc>
        <w:tc>
          <w:tcPr>
            <w:tcW w:type="dxa" w:w="116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0.5169 [0.3830, 0.6377]</w:t>
            </w:r>
          </w:p>
        </w:tc>
        <w:tc>
          <w:tcPr>
            <w:tcW w:type="dxa" w:w="116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80.2%</w:t>
            </w:r>
          </w:p>
        </w:tc>
        <w:tc>
          <w:tcPr>
            <w:tcW w:type="dxa" w:w="116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14.2%</w:t>
            </w:r>
          </w:p>
        </w:tc>
      </w:tr>
      <w:tr>
        <w:trPr>
          <w:cantSplit/>
        </w:trPr>
        <w:tc>
          <w:tcPr>
            <w:tcW w:type="dxa" w:w="1162"/>
            <w:vAlign w:val="center"/>
            <w:tcW w:w="223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4"/>
              </w:rPr>
              <w:t>Variant B: CORAL Ordinal</w:t>
            </w:r>
          </w:p>
        </w:tc>
        <w:tc>
          <w:tcPr>
            <w:tcW w:type="dxa" w:w="1162"/>
            <w:vAlign w:val="center"/>
            <w:tcW w:w="1296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0.7273 [0.6874, 0.7641]</w:t>
            </w:r>
          </w:p>
        </w:tc>
        <w:tc>
          <w:tcPr>
            <w:tcW w:type="dxa" w:w="1162"/>
            <w:vAlign w:val="center"/>
            <w:tcW w:w="79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59.64%</w:t>
            </w:r>
          </w:p>
        </w:tc>
        <w:tc>
          <w:tcPr>
            <w:tcW w:type="dxa" w:w="1162"/>
            <w:vAlign w:val="center"/>
            <w:tcW w:w="115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0.6964 [0.6200, 0.7710]</w:t>
            </w:r>
          </w:p>
        </w:tc>
        <w:tc>
          <w:tcPr>
            <w:tcW w:type="dxa" w:w="1162"/>
            <w:vAlign w:val="center"/>
            <w:tcW w:w="1224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26.40% [22.90%, 30.20%]</w:t>
            </w:r>
          </w:p>
        </w:tc>
        <w:tc>
          <w:tcPr>
            <w:tcW w:type="dxa" w:w="116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0.0000 [0.0000, 0.0000]</w:t>
            </w:r>
          </w:p>
        </w:tc>
        <w:tc>
          <w:tcPr>
            <w:tcW w:type="dxa" w:w="116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0.3692 [0.2857, 0.4502]</w:t>
            </w:r>
          </w:p>
        </w:tc>
        <w:tc>
          <w:tcPr>
            <w:tcW w:type="dxa" w:w="116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59.6%</w:t>
            </w:r>
          </w:p>
        </w:tc>
        <w:tc>
          <w:tcPr>
            <w:tcW w:type="dxa" w:w="116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14.0%</w:t>
            </w:r>
          </w:p>
        </w:tc>
      </w:tr>
      <w:tr>
        <w:trPr>
          <w:cantSplit/>
        </w:trPr>
        <w:tc>
          <w:tcPr>
            <w:tcW w:type="dxa" w:w="1162"/>
            <w:vAlign w:val="center"/>
            <w:tcW w:w="223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4"/>
              </w:rPr>
              <w:t>Variant C: Continuous Regression</w:t>
            </w:r>
          </w:p>
        </w:tc>
        <w:tc>
          <w:tcPr>
            <w:tcW w:type="dxa" w:w="1162"/>
            <w:vAlign w:val="center"/>
            <w:tcW w:w="1296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0.8788 [0.8490, 0.9039]</w:t>
            </w:r>
          </w:p>
        </w:tc>
        <w:tc>
          <w:tcPr>
            <w:tcW w:type="dxa" w:w="1162"/>
            <w:vAlign w:val="center"/>
            <w:tcW w:w="79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75.64%</w:t>
            </w:r>
          </w:p>
        </w:tc>
        <w:tc>
          <w:tcPr>
            <w:tcW w:type="dxa" w:w="1162"/>
            <w:vAlign w:val="center"/>
            <w:tcW w:w="115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0.2873 [0.2400, 0.3364]</w:t>
            </w:r>
          </w:p>
        </w:tc>
        <w:tc>
          <w:tcPr>
            <w:tcW w:type="dxa" w:w="1162"/>
            <w:vAlign w:val="center"/>
            <w:tcW w:w="1224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4"/>
              </w:rPr>
              <w:t>3.80%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 xml:space="preserve"> [2.40%, 5.50%]</w:t>
            </w:r>
          </w:p>
        </w:tc>
        <w:tc>
          <w:tcPr>
            <w:tcW w:type="dxa" w:w="116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0.2528 [0.1333, 0.3704]</w:t>
            </w:r>
          </w:p>
        </w:tc>
        <w:tc>
          <w:tcPr>
            <w:tcW w:type="dxa" w:w="116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0.3589 [0.2034, 0.5067]</w:t>
            </w:r>
          </w:p>
        </w:tc>
        <w:tc>
          <w:tcPr>
            <w:tcW w:type="dxa" w:w="116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75.6%</w:t>
            </w:r>
          </w:p>
        </w:tc>
        <w:tc>
          <w:tcPr>
            <w:tcW w:type="dxa" w:w="116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20.5%</w:t>
            </w:r>
          </w:p>
        </w:tc>
      </w:tr>
      <w:tr>
        <w:trPr>
          <w:cantSplit/>
        </w:trPr>
        <w:tc>
          <w:tcPr>
            <w:tcW w:type="dxa" w:w="1162"/>
            <w:vAlign w:val="center"/>
            <w:tcW w:w="223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4"/>
              </w:rPr>
              <w:t>Variant D (CORN): Conditional Ordinal</w:t>
            </w:r>
          </w:p>
        </w:tc>
        <w:tc>
          <w:tcPr>
            <w:tcW w:type="dxa" w:w="1162"/>
            <w:vAlign w:val="center"/>
            <w:tcW w:w="1296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0.8482 [0.8150, 0.8792]</w:t>
            </w:r>
          </w:p>
        </w:tc>
        <w:tc>
          <w:tcPr>
            <w:tcW w:type="dxa" w:w="1162"/>
            <w:vAlign w:val="center"/>
            <w:tcW w:w="79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69.09%</w:t>
            </w:r>
          </w:p>
        </w:tc>
        <w:tc>
          <w:tcPr>
            <w:tcW w:type="dxa" w:w="1162"/>
            <w:vAlign w:val="center"/>
            <w:tcW w:w="115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0.3764 [0.3200, 0.4291]</w:t>
            </w:r>
          </w:p>
        </w:tc>
        <w:tc>
          <w:tcPr>
            <w:tcW w:type="dxa" w:w="1162"/>
            <w:vAlign w:val="center"/>
            <w:tcW w:w="1224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5.10% [3.30%, 7.10%]</w:t>
            </w:r>
          </w:p>
        </w:tc>
        <w:tc>
          <w:tcPr>
            <w:tcW w:type="dxa" w:w="116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0.2724 [0.1746, 0.3735]</w:t>
            </w:r>
          </w:p>
        </w:tc>
        <w:tc>
          <w:tcPr>
            <w:tcW w:type="dxa" w:w="116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0.4584 [0.3124, 0.5909]</w:t>
            </w:r>
          </w:p>
        </w:tc>
        <w:tc>
          <w:tcPr>
            <w:tcW w:type="dxa" w:w="116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69.1%</w:t>
            </w:r>
          </w:p>
        </w:tc>
        <w:tc>
          <w:tcPr>
            <w:tcW w:type="dxa" w:w="116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25.8%</w:t>
            </w:r>
          </w:p>
        </w:tc>
      </w:tr>
      <w:tr>
        <w:trPr>
          <w:cantSplit/>
        </w:trPr>
        <w:tc>
          <w:tcPr>
            <w:tcW w:type="dxa" w:w="1162"/>
            <w:vAlign w:val="center"/>
            <w:tcW w:w="223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4"/>
              </w:rPr>
              <w:t>Variant E: 3-Seed Ensemble + TTA</w:t>
            </w:r>
          </w:p>
        </w:tc>
        <w:tc>
          <w:tcPr>
            <w:tcW w:type="dxa" w:w="1162"/>
            <w:vAlign w:val="center"/>
            <w:tcW w:w="1296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4"/>
              </w:rPr>
              <w:t>0.8859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 xml:space="preserve"> [0.8503, 0.9170]</w:t>
            </w:r>
          </w:p>
        </w:tc>
        <w:tc>
          <w:tcPr>
            <w:tcW w:type="dxa" w:w="1162"/>
            <w:vAlign w:val="center"/>
            <w:tcW w:w="79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4"/>
              </w:rPr>
              <w:t>83.82%</w:t>
            </w:r>
          </w:p>
        </w:tc>
        <w:tc>
          <w:tcPr>
            <w:tcW w:type="dxa" w:w="1162"/>
            <w:vAlign w:val="center"/>
            <w:tcW w:w="115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4"/>
              </w:rPr>
              <w:t>0.2200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 xml:space="preserve"> [0.1727, 0.2691]</w:t>
            </w:r>
          </w:p>
        </w:tc>
        <w:tc>
          <w:tcPr>
            <w:tcW w:type="dxa" w:w="1162"/>
            <w:vAlign w:val="center"/>
            <w:tcW w:w="1224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4.36% [2.73%, 6.18%]</w:t>
            </w:r>
          </w:p>
        </w:tc>
        <w:tc>
          <w:tcPr>
            <w:tcW w:type="dxa" w:w="116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4"/>
              </w:rPr>
              <w:t>0.4561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 xml:space="preserve"> [0.2999, 0.6134]</w:t>
            </w:r>
          </w:p>
        </w:tc>
        <w:tc>
          <w:tcPr>
            <w:tcW w:type="dxa" w:w="116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4"/>
              </w:rPr>
              <w:t>0.5570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 xml:space="preserve"> [0.4179, 0.6739]</w:t>
            </w:r>
          </w:p>
        </w:tc>
        <w:tc>
          <w:tcPr>
            <w:tcW w:type="dxa" w:w="116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4"/>
              </w:rPr>
              <w:t>83.8%</w:t>
            </w:r>
          </w:p>
        </w:tc>
        <w:tc>
          <w:tcPr>
            <w:tcW w:type="dxa" w:w="116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4"/>
              </w:rPr>
              <w:t>11.8%</w:t>
            </w:r>
          </w:p>
        </w:tc>
      </w:tr>
    </w:tbl>
    <w:p>
      <w:pPr>
        <w:spacing w:before="0" w:after="40"/>
      </w:pPr>
    </w:p>
    <w:p>
      <w:pPr>
        <w:sectPr>
          <w:type w:val="continuous"/>
          <w:pgSz w:w="12240" w:h="15840"/>
          <w:pgMar w:top="1080" w:right="893" w:bottom="1440" w:left="893" w:header="720" w:footer="720" w:gutter="0"/>
          <w:cols w:num="1"/>
          <w:docGrid w:linePitch="360"/>
        </w:sectPr>
      </w:pPr>
    </w:p>
    <w:p>
      <w:pPr>
        <w:spacing w:before="20" w:after="80"/>
        <w:jc w:val="center"/>
      </w:pPr>
      <w:r>
        <w:rPr>
          <w:rFonts w:ascii="Times New Roman" w:hAnsi="Times New Roman"/>
          <w:b w:val="0"/>
          <w:i/>
          <w:color w:val="3C3C3C"/>
          <w:sz w:val="16"/>
        </w:rPr>
        <w:t>Note: Best value in each column is shown in bold. Quadratic Weighted Kappa (QWK) is the primary clinical ordinal metric. Variant E catastrophic error is 4.36%.</w:t>
      </w:r>
    </w:p>
    <w:p>
      <w:pPr>
        <w:sectPr>
          <w:type w:val="continuous"/>
          <w:pgSz w:w="12240" w:h="15840"/>
          <w:pgMar w:top="1080" w:right="893" w:bottom="1440" w:left="893" w:header="720" w:footer="720" w:gutter="0"/>
          <w:cols w:num="2" w:space="360"/>
          <w:docGrid w:linePitch="360"/>
        </w:sectPr>
      </w:pPr>
    </w:p>
    <w:p>
      <w:pPr>
        <w:keepNext/>
        <w:spacing w:before="120" w:after="40"/>
        <w:jc w:val="center"/>
      </w:pPr>
      <w:r>
        <w:rPr>
          <w:rFonts w:ascii="Times New Roman" w:hAnsi="Times New Roman"/>
          <w:b/>
          <w:i w:val="0"/>
          <w:color w:val="142850"/>
          <w:sz w:val="18"/>
        </w:rPr>
        <w:t>TABLE 4: Per-Class Diagnostic Performance with 95% Bootstrap Confidence Intervals (1,000 Resamples)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B5C8F"/>
          <w:bottom w:val="single" w:sz="8" w:space="0" w:color="333333"/>
          <w:insideH w:val="single" w:sz="4" w:space="0" w:color="E0E0E0"/>
          <w:insideV w:val="none"/>
          <w:left w:val="none"/>
          <w:right w:val="none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cantSplit/>
          <w:tblHeader/>
        </w:trPr>
        <w:tc>
          <w:tcPr>
            <w:tcW w:type="dxa" w:w="2091"/>
            <w:vAlign w:val="center"/>
            <w:tcW w:w="1800" w:type="dxa"/>
            <w:tcMar>
              <w:top w:w="70" w:type="dxa"/>
              <w:bottom w:w="70" w:type="dxa"/>
              <w:left w:w="70" w:type="dxa"/>
              <w:right w:w="7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Class Grade</w:t>
            </w:r>
          </w:p>
        </w:tc>
        <w:tc>
          <w:tcPr>
            <w:tcW w:type="dxa" w:w="2091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Model Variant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Recall / Sensitivity [95% CI]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Precision [95% CI]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F1-Score [95% CI]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W w:w="1800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0 (No DR)</w:t>
            </w:r>
          </w:p>
        </w:tc>
        <w:tc>
          <w:tcPr>
            <w:tcW w:type="dxa" w:w="2091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A (Softmax Baseline)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97.1% [94.9%, 98.9%]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96.7% [94.5%, 98.6%]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0.9690 [0.9541, 0.9825]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W w:w="1800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left"/>
            </w:pPr>
          </w:p>
        </w:tc>
        <w:tc>
          <w:tcPr>
            <w:tcW w:type="dxa" w:w="2091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B (CORAL Ordinal)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100.0%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 xml:space="preserve"> [100.0%, 100.0%]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74.9% [70.7%, 79.3%]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0.8560 [0.8281, 0.8843]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W w:w="1800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left"/>
            </w:pPr>
          </w:p>
        </w:tc>
        <w:tc>
          <w:tcPr>
            <w:tcW w:type="dxa" w:w="2091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C (Continuous Regression)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96.7% [94.4%, 98.6%]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96.0% [93.5%, 98.1%]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0.9635 [0.9478, 0.9779]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W w:w="1800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left"/>
            </w:pPr>
          </w:p>
        </w:tc>
        <w:tc>
          <w:tcPr>
            <w:tcW w:type="dxa" w:w="2091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D (CORN)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97.4% [95.4%, 99.2%]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95.7% [93.3%, 97.9%]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0.9655 [0.9502, 0.9799]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W w:w="1800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left"/>
            </w:pPr>
          </w:p>
        </w:tc>
        <w:tc>
          <w:tcPr>
            <w:tcW w:type="dxa" w:w="2091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Variant E (3-Seed Ensemble + TTA)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98.2% [96.4%, 99.6%]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96.0% [93.7%, 98.0%]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0.9708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 xml:space="preserve"> [0.9569, 0.9837]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W w:w="1800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1 (Mild NPDR)</w:t>
            </w:r>
          </w:p>
        </w:tc>
        <w:tc>
          <w:tcPr>
            <w:tcW w:type="dxa" w:w="2091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A (Softmax Baseline)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55.5% [42.4%, 68.4%]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59.7% [46.8%, 73.3%]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0.5728 [0.4602, 0.6777]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W w:w="1800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left"/>
            </w:pPr>
          </w:p>
        </w:tc>
        <w:tc>
          <w:tcPr>
            <w:tcW w:type="dxa" w:w="2091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B (CORAL Ordinal)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1.8% [0.0%, 6.1%]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42.3% [0.0%, 100.0%]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0.0344 [0.0000, 0.1132]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W w:w="1800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left"/>
            </w:pPr>
          </w:p>
        </w:tc>
        <w:tc>
          <w:tcPr>
            <w:tcW w:type="dxa" w:w="2091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C (Continuous Regression)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50.2% [37.7%, 63.6%]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50.9% [37.5%, 63.5%]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0.5035 [0.3860, 0.6087]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W w:w="1800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left"/>
            </w:pPr>
          </w:p>
        </w:tc>
        <w:tc>
          <w:tcPr>
            <w:tcW w:type="dxa" w:w="2091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D (CORN)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66.1%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 xml:space="preserve"> [52.6%, 79.2%]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47.6% [36.5%, 59.3%]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0.5515 [0.4409, 0.6491]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W w:w="1800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left"/>
            </w:pPr>
          </w:p>
        </w:tc>
        <w:tc>
          <w:tcPr>
            <w:tcW w:type="dxa" w:w="2091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Variant E (3-Seed Ensemble + TTA)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46.4% [33.3%, 59.6%]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72.2%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 xml:space="preserve"> [58.6%, 86.5%]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0.5652 [0.4367, 0.6800]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W w:w="1800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2 (Moderate NPDR)</w:t>
            </w:r>
          </w:p>
        </w:tc>
        <w:tc>
          <w:tcPr>
            <w:tcW w:type="dxa" w:w="2091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A (Softmax Baseline)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74.6% [67.3%, 81.9%]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76.3% [69.0%, 83.1%]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0.7538 [0.6978, 0.8053]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W w:w="1800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left"/>
            </w:pPr>
          </w:p>
        </w:tc>
        <w:tc>
          <w:tcPr>
            <w:tcW w:type="dxa" w:w="2091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B (CORAL Ordinal)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11.9% [7.0%, 17.5%]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71.9% [52.9%, 88.9%]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0.2039 [0.1241, 0.2857]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W w:w="1800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left"/>
            </w:pPr>
          </w:p>
        </w:tc>
        <w:tc>
          <w:tcPr>
            <w:tcW w:type="dxa" w:w="2091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C (Continuous Regression)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68.5% [60.6%, 75.8%]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72.6% [64.4%, 80.0%]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0.7044 [0.6370, 0.7638]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W w:w="1800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left"/>
            </w:pPr>
          </w:p>
        </w:tc>
        <w:tc>
          <w:tcPr>
            <w:tcW w:type="dxa" w:w="2091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D (CORN)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28.0% [21.1%, 35.3%]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81.0%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 xml:space="preserve"> [69.8%, 91.3%]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0.4151 [0.3284, 0.5000]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W w:w="1800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left"/>
            </w:pPr>
          </w:p>
        </w:tc>
        <w:tc>
          <w:tcPr>
            <w:tcW w:type="dxa" w:w="2091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Variant E (3-Seed Ensemble + TTA)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89.3%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 xml:space="preserve"> [84.1%, 94.0%]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77.0% [70.6%, 83.3%]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0.8272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 xml:space="preserve"> [0.7782, 0.8682]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W w:w="1800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3 (Severe NPDR)</w:t>
            </w:r>
          </w:p>
        </w:tc>
        <w:tc>
          <w:tcPr>
            <w:tcW w:type="dxa" w:w="2091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A (Softmax Baseline)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41.7% [23.3%, 60.0%]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35.4% [20.0%, 51.6%]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0.3810 [0.2221, 0.5313]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W w:w="1800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left"/>
            </w:pPr>
          </w:p>
        </w:tc>
        <w:tc>
          <w:tcPr>
            <w:tcW w:type="dxa" w:w="2091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B (CORAL Ordinal)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0.0% [0.0%, 0.0%]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0.0% [0.0%, 0.0%]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0.0000 [0.0000, 0.0000]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W w:w="1800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left"/>
            </w:pPr>
          </w:p>
        </w:tc>
        <w:tc>
          <w:tcPr>
            <w:tcW w:type="dxa" w:w="2091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C (Continuous Regression)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38.4% [20.0%, 56.8%]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19.1% [9.2%, 29.0%]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0.2528 [0.1333, 0.3704]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W w:w="1800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left"/>
            </w:pPr>
          </w:p>
        </w:tc>
        <w:tc>
          <w:tcPr>
            <w:tcW w:type="dxa" w:w="2091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D (CORN)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65.7%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 xml:space="preserve"> [48.3%, 82.9%]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17.3% [10.6%, 24.8%]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0.2724 [0.1746, 0.3735]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W w:w="1800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left"/>
            </w:pPr>
          </w:p>
        </w:tc>
        <w:tc>
          <w:tcPr>
            <w:tcW w:type="dxa" w:w="2091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Variant E (3-Seed Ensemble + TTA)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44.8% [27.8%, 64.0%]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46.4%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 xml:space="preserve"> [29.6%, 65.4%]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0.4561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 xml:space="preserve"> [0.2999, 0.6134]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W w:w="1800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4 (Proliferative DR)</w:t>
            </w:r>
          </w:p>
        </w:tc>
        <w:tc>
          <w:tcPr>
            <w:tcW w:type="dxa" w:w="2091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A (Softmax Baseline)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52.3% [37.2%, 67.3%]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51.2% [36.6%, 65.1%]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0.5169 [0.3830, 0.6377]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W w:w="1800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left"/>
            </w:pPr>
          </w:p>
        </w:tc>
        <w:tc>
          <w:tcPr>
            <w:tcW w:type="dxa" w:w="2091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B (CORAL Ordinal)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86.3%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 xml:space="preserve"> [75.6%, 95.1%]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23.6% [17.2%, 30.2%]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0.3692 [0.2857, 0.4502]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W w:w="1800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left"/>
            </w:pPr>
          </w:p>
        </w:tc>
        <w:tc>
          <w:tcPr>
            <w:tcW w:type="dxa" w:w="2091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C (Continuous Regression)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27.1% [14.3%, 41.7%]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54.6% [33.3%, 75.0%]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0.3589 [0.2034, 0.5067]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W w:w="1800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left"/>
            </w:pPr>
          </w:p>
        </w:tc>
        <w:tc>
          <w:tcPr>
            <w:tcW w:type="dxa" w:w="2091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D (CORN)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41.0% [26.2%, 55.1%]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52.8% [36.8%, 69.4%]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0.4584 [0.3124, 0.5909]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W w:w="1800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left"/>
            </w:pPr>
          </w:p>
        </w:tc>
        <w:tc>
          <w:tcPr>
            <w:tcW w:type="dxa" w:w="2091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Variant E (3-Seed Ensemble + TTA)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50.0% [35.7%, 64.9%]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62.9%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 xml:space="preserve"> [47.2%, 77.8%]</w:t>
            </w:r>
          </w:p>
        </w:tc>
        <w:tc>
          <w:tcPr>
            <w:tcW w:type="dxa" w:w="2091"/>
            <w:vAlign w:val="center"/>
            <w:tcW w:w="2015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0.5570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 xml:space="preserve"> [0.4179, 0.6739]</w:t>
            </w:r>
          </w:p>
        </w:tc>
      </w:tr>
    </w:tbl>
    <w:p>
      <w:pPr>
        <w:spacing w:before="0" w:after="40"/>
      </w:pPr>
    </w:p>
    <w:p>
      <w:pPr>
        <w:sectPr>
          <w:type w:val="continuous"/>
          <w:pgSz w:w="12240" w:h="15840"/>
          <w:pgMar w:top="1080" w:right="893" w:bottom="1440" w:left="893" w:header="720" w:footer="720" w:gutter="0"/>
          <w:cols w:num="1"/>
          <w:docGrid w:linePitch="360"/>
        </w:sectPr>
      </w:pPr>
    </w:p>
    <w:p>
      <w:pPr>
        <w:keepNext/>
        <w:spacing w:before="120" w:after="40"/>
      </w:pPr>
      <w:r>
        <w:rPr>
          <w:rFonts w:ascii="Times New Roman" w:hAnsi="Times New Roman"/>
          <w:b/>
          <w:i/>
          <w:color w:val="1E2846"/>
          <w:sz w:val="19"/>
        </w:rPr>
        <w:t>B.  Confusion Matrix and Error Distribution Analysis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>Fig. 4 shows the side-by-side confusion matrices across all five models, and Fig. 5 displays prediction error distance distributions (</w:t>
      </w:r>
      <m:oMath>
        <m:d>
          <m:dPr>
            <m:begChr m:val="|"/>
            <m:sepChr m:val="−"/>
            <m:endChr m:val="|"/>
          </m:dPr>
          <m:e>
            <m:r>
              <m:t>y</m:t>
            </m:r>
          </m:e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</m:oMath>
      <w:r>
        <w:rPr>
          <w:rFonts w:ascii="Times New Roman" w:hAnsi="Times New Roman"/>
          <w:b w:val="0"/>
          <w:i w:val="0"/>
          <w:color w:val="1E1E1E"/>
          <w:sz w:val="19"/>
        </w:rPr>
        <w:t>).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108960" cy="29340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_confusion_matric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934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Times New Roman" w:hAnsi="Times New Roman"/>
          <w:b w:val="0"/>
          <w:i/>
          <w:color w:val="3C3C3C"/>
          <w:sz w:val="16"/>
        </w:rPr>
        <w:t>Fig. 4. Side-by-Side Confusion Matrices on the Holdout Test Set (N = 550) for Variant A (Softmax Baseline), Variant B (CORAL Ordinal), Variant C (Continuous Regression), Variant D (CORN), and Variant E (3-Seed Ensemble + TTA).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108960" cy="16392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distance_histo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639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Times New Roman" w:hAnsi="Times New Roman"/>
          <w:b w:val="0"/>
          <w:i/>
          <w:color w:val="3C3C3C"/>
          <w:sz w:val="16"/>
        </w:rPr>
        <w:t>Fig. 5. Prediction Error Distance Distribution across the 550 Holdout Test Images comparing All Five Model Variants with corresponding MAE metrics.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>Key observations: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19"/>
        </w:rPr>
        <w:t>Variant E (Fifth Panel):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Exhibits high diagonal concentration, achieving an exact-match rate of </w:t>
      </w:r>
      <w:r>
        <w:rPr>
          <w:rFonts w:ascii="Times New Roman" w:hAnsi="Times New Roman"/>
          <w:b/>
          <w:i w:val="0"/>
          <w:color w:val="1E1E1E"/>
          <w:sz w:val="19"/>
        </w:rPr>
        <w:t>83.8%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and holding off-by-one errors to </w:t>
      </w:r>
      <w:r>
        <w:rPr>
          <w:rFonts w:ascii="Times New Roman" w:hAnsi="Times New Roman"/>
          <w:b/>
          <w:i w:val="0"/>
          <w:color w:val="1E1E1E"/>
          <w:sz w:val="19"/>
        </w:rPr>
        <w:t>11.8%</w:t>
      </w:r>
      <w:r>
        <w:rPr>
          <w:rFonts w:ascii="Times New Roman" w:hAnsi="Times New Roman"/>
          <w:b w:val="0"/>
          <w:i w:val="0"/>
          <w:color w:val="1E1E1E"/>
          <w:sz w:val="19"/>
        </w:rPr>
        <w:t>, matching the lowest single-seed MAE (</w:t>
      </w:r>
      <w:r>
        <w:rPr>
          <w:rFonts w:ascii="Times New Roman" w:hAnsi="Times New Roman"/>
          <w:b/>
          <w:i w:val="0"/>
          <w:color w:val="1E1E1E"/>
          <w:sz w:val="19"/>
        </w:rPr>
        <w:t>0.2200</w:t>
      </w:r>
      <w:r>
        <w:rPr>
          <w:rFonts w:ascii="Times New Roman" w:hAnsi="Times New Roman"/>
          <w:b w:val="0"/>
          <w:i w:val="0"/>
          <w:color w:val="1E1E1E"/>
          <w:sz w:val="19"/>
        </w:rPr>
        <w:t>) with the highest overall accuracy (</w:t>
      </w:r>
      <w:r>
        <w:rPr>
          <w:rFonts w:ascii="Times New Roman" w:hAnsi="Times New Roman"/>
          <w:b/>
          <w:i w:val="0"/>
          <w:color w:val="1E1E1E"/>
          <w:sz w:val="19"/>
        </w:rPr>
        <w:t>83.82%</w:t>
      </w:r>
      <w:r>
        <w:rPr>
          <w:rFonts w:ascii="Times New Roman" w:hAnsi="Times New Roman"/>
          <w:b w:val="0"/>
          <w:i w:val="0"/>
          <w:color w:val="1E1E1E"/>
          <w:sz w:val="19"/>
        </w:rPr>
        <w:t>).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19"/>
        </w:rPr>
        <w:t>Variant D (Fourth Panel):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Achieves the highest recall on Grade 3 Severe NPDR (</w:t>
      </w:r>
      <w:r>
        <w:rPr>
          <w:rFonts w:ascii="Times New Roman" w:hAnsi="Times New Roman"/>
          <w:b/>
          <w:i w:val="0"/>
          <w:color w:val="1E1E1E"/>
          <w:sz w:val="19"/>
        </w:rPr>
        <w:t>65.7%</w:t>
      </w:r>
      <w:r>
        <w:rPr>
          <w:rFonts w:ascii="Times New Roman" w:hAnsi="Times New Roman"/>
          <w:b w:val="0"/>
          <w:i w:val="0"/>
          <w:color w:val="1E1E1E"/>
          <w:sz w:val="19"/>
        </w:rPr>
        <w:t>), preventing the diagnostic omissions seen in Variant B.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19"/>
        </w:rPr>
        <w:t>Variant C (Third Panel):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Bounds catastrophic multi-grade triage errors (</w:t>
      </w:r>
      <m:oMath>
        <m:r>
          <m:t>d≥2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) to </w:t>
      </w:r>
      <w:r>
        <w:rPr>
          <w:rFonts w:ascii="Times New Roman" w:hAnsi="Times New Roman"/>
          <w:b/>
          <w:i w:val="0"/>
          <w:color w:val="1E1E1E"/>
          <w:sz w:val="19"/>
        </w:rPr>
        <w:t>3.8%</w:t>
      </w:r>
      <w:r>
        <w:rPr>
          <w:rFonts w:ascii="Times New Roman" w:hAnsi="Times New Roman"/>
          <w:b w:val="0"/>
          <w:i w:val="0"/>
          <w:color w:val="1E1E1E"/>
          <w:sz w:val="19"/>
        </w:rPr>
        <w:t>, yielding the lowest catastrophic error rate.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19"/>
        </w:rPr>
        <w:t>Variant B (Second Panel):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Demonstrates severe class collapse, with 26.40% catastrophic errors and 0.0% Grade 3 recall.</w:t>
      </w:r>
    </w:p>
    <w:p>
      <w:pPr>
        <w:keepNext/>
        <w:spacing w:before="120" w:after="40"/>
      </w:pPr>
      <w:r>
        <w:rPr>
          <w:rFonts w:ascii="Times New Roman" w:hAnsi="Times New Roman"/>
          <w:b/>
          <w:i/>
          <w:color w:val="1E2846"/>
          <w:sz w:val="19"/>
        </w:rPr>
        <w:t>C.  Statistical Significance Testing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>Paired bootstrap tests (1,000 iterations) and Wilcoxon signed-rank tests confirmed: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19"/>
        </w:rPr>
        <w:t>Variant E vs. Variant A (Softmax Baseline):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</w:t>
      </w:r>
      <m:oMath>
        <m:r>
          <m:t>ΔQWK=+0.0135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 (95% CI: </w:t>
      </w:r>
      <m:oMath>
        <m:d>
          <m:dPr>
            <m:begChr m:val="["/>
            <m:sepChr m:val=""/>
            <m:endChr m:val="]"/>
          </m:dPr>
          <m:e>
            <m:r>
              <m:t>−</m:t>
            </m:r>
            <m:r>
              <m:t>0.0113</m:t>
            </m:r>
            <m:r>
              <m:t>,</m:t>
            </m:r>
            <m:r>
              <m:t>+</m:t>
            </m:r>
            <m:r>
              <m:t>0.0383</m:t>
            </m:r>
          </m:e>
        </m:d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, </w:t>
      </w:r>
      <m:oMath>
        <m:r>
          <m:t>p=0.1230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) and </w:t>
      </w:r>
      <m:oMath>
        <m:r>
          <m:t>Δ</m:t>
        </m:r>
        <m:r>
          <m:rPr>
            <m:nor/>
          </m:rPr>
          <m:t>Accuracy</m:t>
        </m:r>
        <m:r>
          <m:t>=+3.64%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 (95% CI: </w:t>
      </w:r>
      <m:oMath>
        <m:d>
          <m:dPr>
            <m:begChr m:val="["/>
            <m:sepChr m:val=""/>
            <m:endChr m:val="]"/>
          </m:dPr>
          <m:e>
            <m:r>
              <m:t>+</m:t>
            </m:r>
            <m:r>
              <m:t>1.09</m:t>
            </m:r>
            <m:r>
              <m:t>%</m:t>
            </m:r>
            <m:r>
              <m:t>,</m:t>
            </m:r>
            <m:r>
              <m:t>+</m:t>
            </m:r>
            <m:r>
              <m:t>6.18</m:t>
            </m:r>
            <m:r>
              <m:t>%</m:t>
            </m:r>
          </m:e>
        </m:d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, </w:t>
      </w:r>
      <m:oMath>
        <m:r>
          <m:t>p=0.0050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>). A Wilcoxon signed-rank test on absolute error distances confirmed a statistically significant reduction in prediction error (</w:t>
      </w:r>
      <m:oMath>
        <m:r>
          <m:t>W=625.0,p=0.0152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>).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19"/>
        </w:rPr>
        <w:t>Variant D (CORN) vs. Variant B (CORAL):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</w:t>
      </w:r>
      <m:oMath>
        <m:r>
          <m:t>ΔQWK=+0.1212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 (95% CI: </w:t>
      </w:r>
      <m:oMath>
        <m:d>
          <m:dPr>
            <m:begChr m:val="["/>
            <m:sepChr m:val=""/>
            <m:endChr m:val="]"/>
          </m:dPr>
          <m:e>
            <m:r>
              <m:t>+</m:t>
            </m:r>
            <m:r>
              <m:t>0.0924</m:t>
            </m:r>
            <m:r>
              <m:t>,</m:t>
            </m:r>
            <m:r>
              <m:t>+</m:t>
            </m:r>
            <m:r>
              <m:t>0.1504</m:t>
            </m:r>
          </m:e>
        </m:d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, </w:t>
      </w:r>
      <m:oMath>
        <m:r>
          <m:t>p&lt;0.001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), with Wilcoxon </w:t>
      </w:r>
      <m:oMath>
        <m:r>
          <m:t>W=4180.0,p=9.35×</m:t>
        </m:r>
        <m:sSup>
          <m:e>
            <m:r>
              <m:t>10</m:t>
            </m:r>
          </m:e>
          <m:sup>
            <m:r>
              <m:t>−21</m:t>
            </m:r>
          </m:sup>
        </m:sSup>
      </m:oMath>
      <w:r>
        <w:rPr>
          <w:rFonts w:ascii="Times New Roman" w:hAnsi="Times New Roman"/>
          <w:b w:val="0"/>
          <w:i w:val="0"/>
          <w:color w:val="1E1E1E"/>
          <w:sz w:val="19"/>
        </w:rPr>
        <w:t>, confirming substantial minority-class improvement.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19"/>
        </w:rPr>
        <w:t>Variant C vs. Variant A: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</w:t>
      </w:r>
      <m:oMath>
        <m:r>
          <m:t>ΔQWK=+0.0062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 (95% CI: </w:t>
      </w:r>
      <m:oMath>
        <m:d>
          <m:dPr>
            <m:begChr m:val="["/>
            <m:sepChr m:val=""/>
            <m:endChr m:val="]"/>
          </m:dPr>
          <m:e>
            <m:r>
              <m:t>−</m:t>
            </m:r>
            <m:r>
              <m:t>0.0142</m:t>
            </m:r>
            <m:r>
              <m:t>,</m:t>
            </m:r>
            <m:r>
              <m:t>+</m:t>
            </m:r>
            <m:r>
              <m:t>0.0265</m:t>
            </m:r>
          </m:e>
        </m:d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, </w:t>
      </w:r>
      <m:oMath>
        <m:r>
          <m:t>p=0.2640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>).</w:t>
      </w:r>
    </w:p>
    <w:p>
      <w:pPr>
        <w:keepNext/>
        <w:spacing w:before="120" w:after="40"/>
      </w:pPr>
      <w:r>
        <w:rPr>
          <w:rFonts w:ascii="Times New Roman" w:hAnsi="Times New Roman"/>
          <w:b/>
          <w:i/>
          <w:color w:val="1E2846"/>
          <w:sz w:val="19"/>
        </w:rPr>
        <w:t>D.  Multi-Seed Ensemble and Sensitivity Analysis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>Table 5 details individual seed performances, single-seed summary statistics, and ensemble configurations. Table 6 documents the temperature sweep for post-hoc logit adjustment, and Fig. 6 displays the confusion matrices across accuracy optimization configurations.</w:t>
      </w:r>
    </w:p>
    <w:p>
      <w:pPr>
        <w:sectPr>
          <w:type w:val="continuous"/>
          <w:pgSz w:w="12240" w:h="15840"/>
          <w:pgMar w:top="1080" w:right="893" w:bottom="1440" w:left="893" w:header="720" w:footer="720" w:gutter="0"/>
          <w:cols w:num="2" w:space="360"/>
          <w:docGrid w:linePitch="360"/>
        </w:sectPr>
      </w:pPr>
    </w:p>
    <w:p>
      <w:pPr>
        <w:keepNext/>
        <w:spacing w:before="120" w:after="40"/>
        <w:jc w:val="center"/>
      </w:pPr>
      <w:r>
        <w:rPr>
          <w:rFonts w:ascii="Times New Roman" w:hAnsi="Times New Roman"/>
          <w:b/>
          <w:i w:val="0"/>
          <w:color w:val="142850"/>
          <w:sz w:val="18"/>
        </w:rPr>
        <w:t>TABLE 5: Classification Performance Across Ensemble Configurations on Holdout Test Set (N = 550)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B5C8F"/>
          <w:bottom w:val="single" w:sz="8" w:space="0" w:color="333333"/>
          <w:insideH w:val="single" w:sz="4" w:space="0" w:color="E0E0E0"/>
          <w:insideV w:val="none"/>
          <w:left w:val="none"/>
          <w:right w:val="none"/>
        </w:tblBorders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rPr>
          <w:cantSplit/>
          <w:tblHeader/>
        </w:trPr>
        <w:tc>
          <w:tcPr>
            <w:tcW w:type="dxa" w:w="1493"/>
            <w:vAlign w:val="center"/>
            <w:tcW w:w="2520" w:type="dxa"/>
            <w:tcMar>
              <w:top w:w="60" w:type="dxa"/>
              <w:bottom w:w="60" w:type="dxa"/>
              <w:left w:w="60" w:type="dxa"/>
              <w:right w:w="6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Model Configuration</w:t>
            </w:r>
          </w:p>
        </w:tc>
        <w:tc>
          <w:tcPr>
            <w:tcW w:type="dxa" w:w="1493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Accuracy [95% CI]</w:t>
            </w:r>
          </w:p>
        </w:tc>
        <w:tc>
          <w:tcPr>
            <w:tcW w:type="dxa" w:w="1493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QWK [95% CI]</w:t>
            </w:r>
          </w:p>
        </w:tc>
        <w:tc>
          <w:tcPr>
            <w:tcW w:type="dxa" w:w="1493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MAE [95% CI]</w:t>
            </w:r>
          </w:p>
        </w:tc>
        <w:tc>
          <w:tcPr>
            <w:tcW w:type="dxa" w:w="1493"/>
            <w:vAlign w:val="center"/>
            <w:tcW w:w="1368" w:type="dxa"/>
            <w:tcMar>
              <w:top w:w="60" w:type="dxa"/>
              <w:bottom w:w="60" w:type="dxa"/>
              <w:left w:w="60" w:type="dxa"/>
              <w:right w:w="6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Catastrophic Error (</w:t>
            </w:r>
            <m:oMath>
              <m:r>
                <m:t>d≥2</m:t>
              </m:r>
            </m:oMath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)</w:t>
            </w:r>
          </w:p>
        </w:tc>
        <w:tc>
          <w:tcPr>
            <w:tcW w:type="dxa" w:w="1493"/>
            <w:vAlign w:val="center"/>
            <w:tcW w:w="1368" w:type="dxa"/>
            <w:tcMar>
              <w:top w:w="60" w:type="dxa"/>
              <w:bottom w:w="60" w:type="dxa"/>
              <w:left w:w="60" w:type="dxa"/>
              <w:right w:w="6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Grade 3 Severe F1</w:t>
            </w:r>
          </w:p>
        </w:tc>
        <w:tc>
          <w:tcPr>
            <w:tcW w:type="dxa" w:w="1493"/>
            <w:vAlign w:val="center"/>
            <w:tcW w:w="1368" w:type="dxa"/>
            <w:tcMar>
              <w:top w:w="60" w:type="dxa"/>
              <w:bottom w:w="60" w:type="dxa"/>
              <w:left w:w="60" w:type="dxa"/>
              <w:right w:w="6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Grade 4 PDR F1</w:t>
            </w:r>
          </w:p>
        </w:tc>
      </w:tr>
      <w:tr>
        <w:trPr>
          <w:cantSplit/>
        </w:trPr>
        <w:tc>
          <w:tcPr>
            <w:tcW w:type="dxa" w:w="1493"/>
            <w:vAlign w:val="center"/>
            <w:tcW w:w="2520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Variant A (Baseline Softmax)</w:t>
            </w:r>
          </w:p>
        </w:tc>
        <w:tc>
          <w:tcPr>
            <w:tcW w:type="dxa" w:w="1493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80.18% [76.73%, 83.45%]</w:t>
            </w:r>
          </w:p>
        </w:tc>
        <w:tc>
          <w:tcPr>
            <w:tcW w:type="dxa" w:w="1493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0.8724 [0.8385, 0.9044]</w:t>
            </w:r>
          </w:p>
        </w:tc>
        <w:tc>
          <w:tcPr>
            <w:tcW w:type="dxa" w:w="1493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0.2673 [0.2182, 0.3200]</w:t>
            </w:r>
          </w:p>
        </w:tc>
        <w:tc>
          <w:tcPr>
            <w:tcW w:type="dxa" w:w="1493"/>
            <w:vAlign w:val="center"/>
            <w:tcW w:w="1368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5.64% [3.64%, 7.64%]</w:t>
            </w:r>
          </w:p>
        </w:tc>
        <w:tc>
          <w:tcPr>
            <w:tcW w:type="dxa" w:w="1493"/>
            <w:vAlign w:val="center"/>
            <w:tcW w:w="1368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0.3810 [0.2221, 0.5313]</w:t>
            </w:r>
          </w:p>
        </w:tc>
        <w:tc>
          <w:tcPr>
            <w:tcW w:type="dxa" w:w="1493"/>
            <w:vAlign w:val="center"/>
            <w:tcW w:w="1368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0.5169 [0.3830, 0.6377]</w:t>
            </w:r>
          </w:p>
        </w:tc>
      </w:tr>
      <w:tr>
        <w:trPr>
          <w:cantSplit/>
        </w:trPr>
        <w:tc>
          <w:tcPr>
            <w:tcW w:type="dxa" w:w="1493"/>
            <w:vAlign w:val="center"/>
            <w:tcW w:w="2520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Single Seed 42 (LS 0.08)</w:t>
            </w:r>
          </w:p>
        </w:tc>
        <w:tc>
          <w:tcPr>
            <w:tcW w:type="dxa" w:w="1493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82.00% [78.73%, 85.10%]</w:t>
            </w:r>
          </w:p>
        </w:tc>
        <w:tc>
          <w:tcPr>
            <w:tcW w:type="dxa" w:w="1493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0.8709 [0.8330, 0.9039]</w:t>
            </w:r>
          </w:p>
        </w:tc>
        <w:tc>
          <w:tcPr>
            <w:tcW w:type="dxa" w:w="1493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0.2473 [0.1982, 0.3000]</w:t>
            </w:r>
          </w:p>
        </w:tc>
        <w:tc>
          <w:tcPr>
            <w:tcW w:type="dxa" w:w="1493"/>
            <w:vAlign w:val="center"/>
            <w:tcW w:w="1368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5.27% [3.45%, 7.27%]</w:t>
            </w:r>
          </w:p>
        </w:tc>
        <w:tc>
          <w:tcPr>
            <w:tcW w:type="dxa" w:w="1493"/>
            <w:vAlign w:val="center"/>
            <w:tcW w:w="1368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0.4828 [0.3225, 0.6452]</w:t>
            </w:r>
          </w:p>
        </w:tc>
        <w:tc>
          <w:tcPr>
            <w:tcW w:type="dxa" w:w="1493"/>
            <w:vAlign w:val="center"/>
            <w:tcW w:w="1368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0.5195 [0.3662, 0.6364]</w:t>
            </w:r>
          </w:p>
        </w:tc>
      </w:tr>
      <w:tr>
        <w:trPr>
          <w:cantSplit/>
        </w:trPr>
        <w:tc>
          <w:tcPr>
            <w:tcW w:type="dxa" w:w="1493"/>
            <w:vAlign w:val="center"/>
            <w:tcW w:w="2520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Single Seed 43 (LS 0.08)</w:t>
            </w:r>
          </w:p>
        </w:tc>
        <w:tc>
          <w:tcPr>
            <w:tcW w:type="dxa" w:w="1493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82.73% [79.45%, 85.82%]</w:t>
            </w:r>
          </w:p>
        </w:tc>
        <w:tc>
          <w:tcPr>
            <w:tcW w:type="dxa" w:w="1493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0.8846 [0.8501, 0.9165]</w:t>
            </w:r>
          </w:p>
        </w:tc>
        <w:tc>
          <w:tcPr>
            <w:tcW w:type="dxa" w:w="1493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0.2291 [0.1818, 0.2800]</w:t>
            </w:r>
          </w:p>
        </w:tc>
        <w:tc>
          <w:tcPr>
            <w:tcW w:type="dxa" w:w="1493"/>
            <w:vAlign w:val="center"/>
            <w:tcW w:w="1368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4.18% [2.73%, 5.82%]</w:t>
            </w:r>
          </w:p>
        </w:tc>
        <w:tc>
          <w:tcPr>
            <w:tcW w:type="dxa" w:w="1493"/>
            <w:vAlign w:val="center"/>
            <w:tcW w:w="1368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0.4068 [0.2456, 0.5667]</w:t>
            </w:r>
          </w:p>
        </w:tc>
        <w:tc>
          <w:tcPr>
            <w:tcW w:type="dxa" w:w="1493"/>
            <w:vAlign w:val="center"/>
            <w:tcW w:w="1368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0.5316 [0.3929, 0.6512]</w:t>
            </w:r>
          </w:p>
        </w:tc>
      </w:tr>
      <w:tr>
        <w:trPr>
          <w:cantSplit/>
        </w:trPr>
        <w:tc>
          <w:tcPr>
            <w:tcW w:type="dxa" w:w="1493"/>
            <w:vAlign w:val="center"/>
            <w:tcW w:w="2520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Single Seed 44 (LS 0.08)</w:t>
            </w:r>
          </w:p>
        </w:tc>
        <w:tc>
          <w:tcPr>
            <w:tcW w:type="dxa" w:w="1493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83.45% [80.18%, 86.55%]</w:t>
            </w:r>
          </w:p>
        </w:tc>
        <w:tc>
          <w:tcPr>
            <w:tcW w:type="dxa" w:w="1493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0.8901 [0.8562, 0.9198]</w:t>
            </w:r>
          </w:p>
        </w:tc>
        <w:tc>
          <w:tcPr>
            <w:tcW w:type="dxa" w:w="1493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0.2200 [0.1764, 0.2691]</w:t>
            </w:r>
          </w:p>
        </w:tc>
        <w:tc>
          <w:tcPr>
            <w:tcW w:type="dxa" w:w="1493"/>
            <w:vAlign w:val="center"/>
            <w:tcW w:w="1368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4.18% [2.55%, 5.82%]</w:t>
            </w:r>
          </w:p>
        </w:tc>
        <w:tc>
          <w:tcPr>
            <w:tcW w:type="dxa" w:w="1493"/>
            <w:vAlign w:val="center"/>
            <w:tcW w:w="1368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0.5085 [0.3333, 0.6667]</w:t>
            </w:r>
          </w:p>
        </w:tc>
        <w:tc>
          <w:tcPr>
            <w:tcW w:type="dxa" w:w="1493"/>
            <w:vAlign w:val="center"/>
            <w:tcW w:w="1368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0.6000 [0.4615, 0.7161]</w:t>
            </w:r>
          </w:p>
        </w:tc>
      </w:tr>
      <w:tr>
        <w:trPr>
          <w:cantSplit/>
        </w:trPr>
        <w:tc>
          <w:tcPr>
            <w:tcW w:type="dxa" w:w="1493"/>
            <w:vAlign w:val="center"/>
            <w:tcW w:w="2520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 xml:space="preserve">Single-Seed Mean </w:t>
            </w:r>
            <m:oMath>
              <m:r>
                <m:t>±</m:t>
              </m:r>
            </m:oMath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 xml:space="preserve"> SD</w:t>
            </w:r>
          </w:p>
        </w:tc>
        <w:tc>
          <w:tcPr>
            <w:tcW w:type="dxa" w:w="1493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82.73% </w:t>
            </w:r>
            <m:oMath>
              <m:r>
                <m:t>±</m:t>
              </m:r>
            </m:oMath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 0.73%</w:t>
            </w:r>
          </w:p>
        </w:tc>
        <w:tc>
          <w:tcPr>
            <w:tcW w:type="dxa" w:w="1493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0.8819 </w:t>
            </w:r>
            <m:oMath>
              <m:r>
                <m:t>±</m:t>
              </m:r>
            </m:oMath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 0.0099</w:t>
            </w:r>
          </w:p>
        </w:tc>
        <w:tc>
          <w:tcPr>
            <w:tcW w:type="dxa" w:w="1493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0.2321 </w:t>
            </w:r>
            <m:oMath>
              <m:r>
                <m:t>±</m:t>
              </m:r>
            </m:oMath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 0.0139</w:t>
            </w:r>
          </w:p>
        </w:tc>
        <w:tc>
          <w:tcPr>
            <w:tcW w:type="dxa" w:w="1493"/>
            <w:vAlign w:val="center"/>
            <w:tcW w:w="1368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4.54% </w:t>
            </w:r>
            <m:oMath>
              <m:r>
                <m:t>±</m:t>
              </m:r>
            </m:oMath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 0.63%</w:t>
            </w:r>
          </w:p>
        </w:tc>
        <w:tc>
          <w:tcPr>
            <w:tcW w:type="dxa" w:w="1493"/>
            <w:vAlign w:val="center"/>
            <w:tcW w:w="1368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0.4660 </w:t>
            </w:r>
            <m:oMath>
              <m:r>
                <m:t>±</m:t>
              </m:r>
            </m:oMath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 0.0529</w:t>
            </w:r>
          </w:p>
        </w:tc>
        <w:tc>
          <w:tcPr>
            <w:tcW w:type="dxa" w:w="1493"/>
            <w:vAlign w:val="center"/>
            <w:tcW w:w="1368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0.5504 </w:t>
            </w:r>
            <m:oMath>
              <m:r>
                <m:t>±</m:t>
              </m:r>
            </m:oMath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 0.0434</w:t>
            </w:r>
          </w:p>
        </w:tc>
      </w:tr>
      <w:tr>
        <w:trPr>
          <w:cantSplit/>
        </w:trPr>
        <w:tc>
          <w:tcPr>
            <w:tcW w:type="dxa" w:w="1493"/>
            <w:vAlign w:val="center"/>
            <w:tcW w:w="2520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Variant E: 3-Seed Ens + TTA (</w:t>
            </w:r>
            <m:oMath>
              <m:r>
                <m:t>τ=0.0</m:t>
              </m:r>
            </m:oMath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)</w:t>
            </w:r>
          </w:p>
        </w:tc>
        <w:tc>
          <w:tcPr>
            <w:tcW w:type="dxa" w:w="1493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83.82%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 [80.73%, 86.73%]</w:t>
            </w:r>
          </w:p>
        </w:tc>
        <w:tc>
          <w:tcPr>
            <w:tcW w:type="dxa" w:w="1493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0.8859 [0.8503, 0.9170]</w:t>
            </w:r>
          </w:p>
        </w:tc>
        <w:tc>
          <w:tcPr>
            <w:tcW w:type="dxa" w:w="1493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0.2200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 [0.1727, 0.2691]</w:t>
            </w:r>
          </w:p>
        </w:tc>
        <w:tc>
          <w:tcPr>
            <w:tcW w:type="dxa" w:w="1493"/>
            <w:vAlign w:val="center"/>
            <w:tcW w:w="1368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4.36% [2.73%, 6.18%]</w:t>
            </w:r>
          </w:p>
        </w:tc>
        <w:tc>
          <w:tcPr>
            <w:tcW w:type="dxa" w:w="1493"/>
            <w:vAlign w:val="center"/>
            <w:tcW w:w="1368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0.4561 [0.2999, 0.6134]</w:t>
            </w:r>
          </w:p>
        </w:tc>
        <w:tc>
          <w:tcPr>
            <w:tcW w:type="dxa" w:w="1493"/>
            <w:vAlign w:val="center"/>
            <w:tcW w:w="1368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0.5570 [0.4179, 0.6739]</w:t>
            </w:r>
          </w:p>
        </w:tc>
      </w:tr>
      <w:tr>
        <w:trPr>
          <w:cantSplit/>
        </w:trPr>
        <w:tc>
          <w:tcPr>
            <w:tcW w:type="dxa" w:w="1493"/>
            <w:vAlign w:val="center"/>
            <w:tcW w:w="2520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Variant E: 3-Seed Ens + TTA (</w:t>
            </w:r>
            <m:oMath>
              <m:r>
                <m:t>τ=1.0</m:t>
              </m:r>
            </m:oMath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)</w:t>
            </w:r>
          </w:p>
        </w:tc>
        <w:tc>
          <w:tcPr>
            <w:tcW w:type="dxa" w:w="1493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79.27% [76.00%, 82.55%]</w:t>
            </w:r>
          </w:p>
        </w:tc>
        <w:tc>
          <w:tcPr>
            <w:tcW w:type="dxa" w:w="1493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0.8787 [0.8451, 0.9091]</w:t>
            </w:r>
          </w:p>
        </w:tc>
        <w:tc>
          <w:tcPr>
            <w:tcW w:type="dxa" w:w="1493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0.2691 [0.2200, 0.3164]</w:t>
            </w:r>
          </w:p>
        </w:tc>
        <w:tc>
          <w:tcPr>
            <w:tcW w:type="dxa" w:w="1493"/>
            <w:vAlign w:val="center"/>
            <w:tcW w:w="1368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4.55% [2.73%, 6.36%]</w:t>
            </w:r>
          </w:p>
        </w:tc>
        <w:tc>
          <w:tcPr>
            <w:tcW w:type="dxa" w:w="1493"/>
            <w:vAlign w:val="center"/>
            <w:tcW w:w="1368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0.3721 [0.2432, 0.5056]</w:t>
            </w:r>
          </w:p>
        </w:tc>
        <w:tc>
          <w:tcPr>
            <w:tcW w:type="dxa" w:w="1493"/>
            <w:vAlign w:val="center"/>
            <w:tcW w:w="1368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0.5778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 [0.4444, 0.6875]</w:t>
            </w:r>
          </w:p>
        </w:tc>
      </w:tr>
    </w:tbl>
    <w:p>
      <w:pPr>
        <w:spacing w:before="0" w:after="40"/>
      </w:pPr>
    </w:p>
    <w:p>
      <w:pPr>
        <w:sectPr>
          <w:type w:val="continuous"/>
          <w:pgSz w:w="12240" w:h="15840"/>
          <w:pgMar w:top="1080" w:right="893" w:bottom="1440" w:left="893" w:header="720" w:footer="720" w:gutter="0"/>
          <w:cols w:num="1"/>
          <w:docGrid w:linePitch="360"/>
        </w:sectPr>
      </w:pPr>
    </w:p>
    <w:p>
      <w:pPr>
        <w:spacing w:before="20" w:after="80"/>
        <w:jc w:val="center"/>
      </w:pPr>
      <w:r>
        <w:rPr>
          <w:rFonts w:ascii="Times New Roman" w:hAnsi="Times New Roman"/>
          <w:b w:val="0"/>
          <w:i/>
          <w:color w:val="3C3C3C"/>
          <w:sz w:val="16"/>
        </w:rPr>
        <w:t xml:space="preserve">Note: Single-seed summary reports mean </w:t>
      </w:r>
      <m:oMath>
        <m:r>
          <m:t>±</m:t>
        </m:r>
      </m:oMath>
      <w:r>
        <w:rPr>
          <w:rFonts w:ascii="Times New Roman" w:hAnsi="Times New Roman"/>
          <w:b w:val="0"/>
          <w:i/>
          <w:color w:val="3C3C3C"/>
          <w:sz w:val="16"/>
        </w:rPr>
        <w:t xml:space="preserve"> sample SD (</w:t>
      </w:r>
      <m:oMath>
        <m:r>
          <m:t>n=3</m:t>
        </m:r>
      </m:oMath>
      <w:r>
        <w:rPr>
          <w:rFonts w:ascii="Times New Roman" w:hAnsi="Times New Roman"/>
          <w:b w:val="0"/>
          <w:i/>
          <w:color w:val="3C3C3C"/>
          <w:sz w:val="16"/>
        </w:rPr>
        <w:t xml:space="preserve">, </w:t>
      </w:r>
      <m:oMath>
        <m:r>
          <m:t>ddof=1</m:t>
        </m:r>
      </m:oMath>
      <w:r>
        <w:rPr>
          <w:rFonts w:ascii="Times New Roman" w:hAnsi="Times New Roman"/>
          <w:b w:val="0"/>
          <w:i/>
          <w:color w:val="3C3C3C"/>
          <w:sz w:val="16"/>
        </w:rPr>
        <w:t>). Seed 44 alone achieves QWK 0.8901, MAE 0.2200, and 4.18% catastrophic error. Best value in each column is shown in bold.</w:t>
      </w:r>
    </w:p>
    <w:p>
      <w:pPr>
        <w:sectPr>
          <w:type w:val="continuous"/>
          <w:pgSz w:w="12240" w:h="15840"/>
          <w:pgMar w:top="1080" w:right="893" w:bottom="1440" w:left="893" w:header="720" w:footer="720" w:gutter="0"/>
          <w:cols w:num="2" w:space="360"/>
          <w:docGrid w:linePitch="360"/>
        </w:sectPr>
      </w:pPr>
    </w:p>
    <w:p>
      <w:pPr>
        <w:keepNext/>
        <w:spacing w:before="120" w:after="40"/>
        <w:jc w:val="center"/>
      </w:pPr>
      <w:r>
        <w:rPr>
          <w:rFonts w:ascii="Times New Roman" w:hAnsi="Times New Roman"/>
          <w:b/>
          <w:i w:val="0"/>
          <w:color w:val="142850"/>
          <w:sz w:val="18"/>
        </w:rPr>
        <w:t>TABLE 6: Post-Hoc Logit Adjustment Temperature Sweep on 3-Seed Ensemble (Sensitivity Analysis)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B5C8F"/>
          <w:bottom w:val="single" w:sz="8" w:space="0" w:color="333333"/>
          <w:insideH w:val="single" w:sz="4" w:space="0" w:color="E0E0E0"/>
          <w:insideV w:val="none"/>
          <w:left w:val="none"/>
          <w:right w:val="none"/>
        </w:tblBorders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cantSplit/>
          <w:tblHeader/>
        </w:trPr>
        <w:tc>
          <w:tcPr>
            <w:tcW w:type="dxa" w:w="1742"/>
            <w:vAlign w:val="center"/>
            <w:tcW w:w="2664" w:type="dxa"/>
            <w:tcMar>
              <w:top w:w="70" w:type="dxa"/>
              <w:bottom w:w="70" w:type="dxa"/>
              <w:left w:w="70" w:type="dxa"/>
              <w:right w:w="7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Temperature (</w:t>
            </w:r>
            <m:oMath>
              <m:r>
                <m:t>τ</m:t>
              </m:r>
            </m:oMath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)</w:t>
            </w:r>
          </w:p>
        </w:tc>
        <w:tc>
          <w:tcPr>
            <w:tcW w:type="dxa" w:w="1742"/>
            <w:vAlign w:val="center"/>
            <w:tcW w:w="1368" w:type="dxa"/>
            <w:tcMar>
              <w:top w:w="70" w:type="dxa"/>
              <w:bottom w:w="70" w:type="dxa"/>
              <w:left w:w="70" w:type="dxa"/>
              <w:right w:w="7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Accuracy</w:t>
            </w:r>
          </w:p>
        </w:tc>
        <w:tc>
          <w:tcPr>
            <w:tcW w:type="dxa" w:w="1742"/>
            <w:vAlign w:val="center"/>
            <w:tcW w:w="1368" w:type="dxa"/>
            <w:tcMar>
              <w:top w:w="70" w:type="dxa"/>
              <w:bottom w:w="70" w:type="dxa"/>
              <w:left w:w="70" w:type="dxa"/>
              <w:right w:w="7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QWK</w:t>
            </w:r>
          </w:p>
        </w:tc>
        <w:tc>
          <w:tcPr>
            <w:tcW w:type="dxa" w:w="1742"/>
            <w:vAlign w:val="center"/>
            <w:tcW w:w="1296" w:type="dxa"/>
            <w:tcMar>
              <w:top w:w="70" w:type="dxa"/>
              <w:bottom w:w="70" w:type="dxa"/>
              <w:left w:w="70" w:type="dxa"/>
              <w:right w:w="7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MAE</w:t>
            </w:r>
          </w:p>
        </w:tc>
        <w:tc>
          <w:tcPr>
            <w:tcW w:type="dxa" w:w="1742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Severe Recall (Grade 3)</w:t>
            </w:r>
          </w:p>
        </w:tc>
        <w:tc>
          <w:tcPr>
            <w:tcW w:type="dxa" w:w="1742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PDR Recall (Grade 4)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W w:w="266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0.0 (Unadjusted, Raw Acc Focus)</w:t>
            </w:r>
          </w:p>
        </w:tc>
        <w:tc>
          <w:tcPr>
            <w:tcW w:type="dxa" w:w="1742"/>
            <w:vAlign w:val="center"/>
            <w:tcW w:w="1368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83.82%</w:t>
            </w:r>
          </w:p>
        </w:tc>
        <w:tc>
          <w:tcPr>
            <w:tcW w:type="dxa" w:w="1742"/>
            <w:vAlign w:val="center"/>
            <w:tcW w:w="1368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0.8859</w:t>
            </w:r>
          </w:p>
        </w:tc>
        <w:tc>
          <w:tcPr>
            <w:tcW w:type="dxa" w:w="1742"/>
            <w:vAlign w:val="center"/>
            <w:tcW w:w="1296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0.2200</w:t>
            </w:r>
          </w:p>
        </w:tc>
        <w:tc>
          <w:tcPr>
            <w:tcW w:type="dxa" w:w="1742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44.8%</w:t>
            </w:r>
          </w:p>
        </w:tc>
        <w:tc>
          <w:tcPr>
            <w:tcW w:type="dxa" w:w="1742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50.0%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W w:w="266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0.5 (Balanced Trade-off)</w:t>
            </w:r>
          </w:p>
        </w:tc>
        <w:tc>
          <w:tcPr>
            <w:tcW w:type="dxa" w:w="1742"/>
            <w:vAlign w:val="center"/>
            <w:tcW w:w="1368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82.18%</w:t>
            </w:r>
          </w:p>
        </w:tc>
        <w:tc>
          <w:tcPr>
            <w:tcW w:type="dxa" w:w="1742"/>
            <w:vAlign w:val="center"/>
            <w:tcW w:w="1368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0.8929</w:t>
            </w:r>
          </w:p>
        </w:tc>
        <w:tc>
          <w:tcPr>
            <w:tcW w:type="dxa" w:w="1742"/>
            <w:vAlign w:val="center"/>
            <w:tcW w:w="1296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0.2291</w:t>
            </w:r>
          </w:p>
        </w:tc>
        <w:tc>
          <w:tcPr>
            <w:tcW w:type="dxa" w:w="1742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51.7%</w:t>
            </w:r>
          </w:p>
        </w:tc>
        <w:tc>
          <w:tcPr>
            <w:tcW w:type="dxa" w:w="1742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56.8%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W w:w="266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1.0 (Standard Prior Adjustment)</w:t>
            </w:r>
          </w:p>
        </w:tc>
        <w:tc>
          <w:tcPr>
            <w:tcW w:type="dxa" w:w="1742"/>
            <w:vAlign w:val="center"/>
            <w:tcW w:w="1368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79.27%</w:t>
            </w:r>
          </w:p>
        </w:tc>
        <w:tc>
          <w:tcPr>
            <w:tcW w:type="dxa" w:w="1742"/>
            <w:vAlign w:val="center"/>
            <w:tcW w:w="1368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0.8787</w:t>
            </w:r>
          </w:p>
        </w:tc>
        <w:tc>
          <w:tcPr>
            <w:tcW w:type="dxa" w:w="1742"/>
            <w:vAlign w:val="center"/>
            <w:tcW w:w="1296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0.2691</w:t>
            </w:r>
          </w:p>
        </w:tc>
        <w:tc>
          <w:tcPr>
            <w:tcW w:type="dxa" w:w="1742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55.2%</w:t>
            </w:r>
          </w:p>
        </w:tc>
        <w:tc>
          <w:tcPr>
            <w:tcW w:type="dxa" w:w="1742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59.1%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W w:w="266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1.5 (Minority-Tail Focus)</w:t>
            </w:r>
          </w:p>
        </w:tc>
        <w:tc>
          <w:tcPr>
            <w:tcW w:type="dxa" w:w="1742"/>
            <w:vAlign w:val="center"/>
            <w:tcW w:w="1368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74.91%</w:t>
            </w:r>
          </w:p>
        </w:tc>
        <w:tc>
          <w:tcPr>
            <w:tcW w:type="dxa" w:w="1742"/>
            <w:vAlign w:val="center"/>
            <w:tcW w:w="1368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0.8438</w:t>
            </w:r>
          </w:p>
        </w:tc>
        <w:tc>
          <w:tcPr>
            <w:tcW w:type="dxa" w:w="1742"/>
            <w:vAlign w:val="center"/>
            <w:tcW w:w="1296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0.3364</w:t>
            </w:r>
          </w:p>
        </w:tc>
        <w:tc>
          <w:tcPr>
            <w:tcW w:type="dxa" w:w="1742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69.0%</w:t>
            </w:r>
          </w:p>
        </w:tc>
        <w:tc>
          <w:tcPr>
            <w:tcW w:type="dxa" w:w="1742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50.0%</w:t>
            </w:r>
          </w:p>
        </w:tc>
      </w:tr>
    </w:tbl>
    <w:p>
      <w:pPr>
        <w:spacing w:before="0" w:after="40"/>
      </w:pPr>
    </w:p>
    <w:p>
      <w:pPr>
        <w:sectPr>
          <w:type w:val="continuous"/>
          <w:pgSz w:w="12240" w:h="15840"/>
          <w:pgMar w:top="1080" w:right="893" w:bottom="1440" w:left="893" w:header="720" w:footer="720" w:gutter="0"/>
          <w:cols w:num="1"/>
          <w:docGrid w:linePitch="360"/>
        </w:sectPr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108960" cy="29251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accuracy_ensemb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925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Times New Roman" w:hAnsi="Times New Roman"/>
          <w:b w:val="0"/>
          <w:i/>
          <w:color w:val="3C3C3C"/>
          <w:sz w:val="16"/>
        </w:rPr>
        <w:t>Fig. 6. Confusion Matrices for Accuracy Optimization Configurations on the Holdout Test Set (N = 550) comparing Baseline Softmax, Label-Smoothed Seed 42, and 3-Seed Ensembles (tau = 0.0 and tau = 1.0).</w:t>
      </w:r>
    </w:p>
    <w:p>
      <w:pPr>
        <w:keepNext/>
        <w:spacing w:before="120" w:after="40"/>
      </w:pPr>
      <w:r>
        <w:rPr>
          <w:rFonts w:ascii="Times New Roman" w:hAnsi="Times New Roman"/>
          <w:b/>
          <w:i/>
          <w:color w:val="1E2846"/>
          <w:sz w:val="19"/>
        </w:rPr>
        <w:t>E.  Granular Per-Grade Diagnostic Dynamics and Clinical Referral Triage</w:t>
      </w:r>
    </w:p>
    <w:p>
      <w:pPr>
        <w:keepNext/>
        <w:spacing w:before="80" w:after="30"/>
      </w:pPr>
      <w:r>
        <w:rPr>
          <w:rFonts w:ascii="Times New Roman" w:hAnsi="Times New Roman"/>
          <w:b/>
          <w:i/>
          <w:color w:val="283246"/>
          <w:sz w:val="18"/>
        </w:rPr>
        <w:t>Per-Grade Diagnostic Performance Dynamics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>A granular inspection of per-class metrics (Table 4) reveals that Variant E's accuracy advantage (+3.64% over Variant A) stems predominantly from performance improvements on the two most prevalent classes: Moderate NPDR (Grade 2 recall rising from 74.6% to 89.3%) and No DR (Grade 0 recall improving from 97.1% to 98.2%). In contrast, high-acuity minority grades show negligible gain: Grade 3 Severe NPDR recall increases only marginally from 41.7% to 44.8%, while Grade 4 Proliferative DR recall remains essentially unchanged (50.0% vs. 52.3% in baseline Variant A). Furthermore, Grade 1 Mild NPDR recall drops noticeably from 55.5% to 46.4%, with mild lesions frequently subsumed into the dominant Grade 0 or Grade 2 predictions. Consequently, Variant E functions primarily as a stabilizer for majority disease categories rather than an effective detector for rare sight-threatening lesions.</w:t>
      </w:r>
    </w:p>
    <w:p>
      <w:pPr>
        <w:keepNext/>
        <w:spacing w:before="80" w:after="30"/>
      </w:pPr>
      <w:r>
        <w:rPr>
          <w:rFonts w:ascii="Times New Roman" w:hAnsi="Times New Roman"/>
          <w:b/>
          <w:i/>
          <w:color w:val="283246"/>
          <w:sz w:val="18"/>
        </w:rPr>
        <w:t>Clinical Referral Triage Performance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>In practical tele-ophthalmology screening, patients with severe or proliferative retinopathy (</w:t>
      </w:r>
      <m:oMath>
        <m:r>
          <m:t>y∈{3,4}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>) require urgent specialist referral, whereas healthy individuals and early non-proliferative cases (</w:t>
      </w:r>
      <m:oMath>
        <m:r>
          <m:t>y∈{0,1,2}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) are managed via routine community monitoring. We define </w:t>
      </w:r>
      <w:r>
        <w:rPr>
          <w:rFonts w:ascii="Times New Roman" w:hAnsi="Times New Roman"/>
          <w:b w:val="0"/>
          <w:i/>
          <w:color w:val="1E1E1E"/>
          <w:sz w:val="19"/>
        </w:rPr>
        <w:t>under-triage rate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as the proportion of true vision-threatening patients incorrectly classified as non-referral (</w:t>
      </w:r>
      <m:oMath>
        <m:acc>
          <m:accPr>
            <m:chr m:val="̂"/>
          </m:accPr>
          <m:e>
            <m:r>
              <m:t>y</m:t>
            </m:r>
          </m:e>
        </m:acc>
        <m:r>
          <m:t>≤2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 when </w:t>
      </w:r>
      <m:oMath>
        <m:r>
          <m:t>y≥3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), and </w:t>
      </w:r>
      <w:r>
        <w:rPr>
          <w:rFonts w:ascii="Times New Roman" w:hAnsi="Times New Roman"/>
          <w:b w:val="0"/>
          <w:i/>
          <w:color w:val="1E1E1E"/>
          <w:sz w:val="19"/>
        </w:rPr>
        <w:t>over-referral rate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as the proportion of non-referral patients incorrectly routed to tertiary care (</w:t>
      </w:r>
      <m:oMath>
        <m:acc>
          <m:accPr>
            <m:chr m:val="̂"/>
          </m:accPr>
          <m:e>
            <m:r>
              <m:t>y</m:t>
            </m:r>
          </m:e>
        </m:acc>
        <m:r>
          <m:t>≥3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 when </w:t>
      </w:r>
      <m:oMath>
        <m:r>
          <m:t>y≤2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>). Table 7 presents the clinical triage performance across all evaluated models on the 550 holdout test images (</w:t>
      </w:r>
      <m:oMath>
        <m:sSub>
          <m:e>
            <m:r>
              <m:t>N</m:t>
            </m:r>
          </m:e>
          <m:sub>
            <m:r>
              <m:rPr>
                <m:nor/>
              </m:rPr>
              <m:t>severe</m:t>
            </m:r>
          </m:sub>
        </m:sSub>
        <m:r>
          <m:t>=73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, </w:t>
      </w:r>
      <m:oMath>
        <m:sSub>
          <m:e>
            <m:r>
              <m:t>N</m:t>
            </m:r>
          </m:e>
          <m:sub>
            <m:r>
              <m:rPr>
                <m:nor/>
              </m:rPr>
              <m:t>routine</m:t>
            </m:r>
          </m:sub>
        </m:sSub>
        <m:r>
          <m:t>=477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>).</w:t>
      </w:r>
    </w:p>
    <w:p>
      <w:pPr>
        <w:sectPr>
          <w:type w:val="continuous"/>
          <w:pgSz w:w="12240" w:h="15840"/>
          <w:pgMar w:top="1080" w:right="893" w:bottom="1440" w:left="893" w:header="720" w:footer="720" w:gutter="0"/>
          <w:cols w:num="2" w:space="360"/>
          <w:docGrid w:linePitch="360"/>
        </w:sectPr>
      </w:pPr>
    </w:p>
    <w:p>
      <w:pPr>
        <w:keepNext/>
        <w:spacing w:before="120" w:after="40"/>
        <w:jc w:val="center"/>
      </w:pPr>
      <w:r>
        <w:rPr>
          <w:rFonts w:ascii="Times New Roman" w:hAnsi="Times New Roman"/>
          <w:b/>
          <w:i w:val="0"/>
          <w:color w:val="142850"/>
          <w:sz w:val="18"/>
        </w:rPr>
        <w:t>TABLE 7: Clinical Referral Triage Performance Across Model Variants on Holdout Test Set (N = 550)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B5C8F"/>
          <w:bottom w:val="single" w:sz="8" w:space="0" w:color="333333"/>
          <w:insideH w:val="single" w:sz="4" w:space="0" w:color="E0E0E0"/>
          <w:insideV w:val="none"/>
          <w:left w:val="none"/>
          <w:right w:val="none"/>
        </w:tblBorders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cantSplit/>
          <w:tblHeader/>
        </w:trPr>
        <w:tc>
          <w:tcPr>
            <w:tcW w:type="dxa" w:w="1742"/>
            <w:vAlign w:val="center"/>
            <w:tcW w:w="2664" w:type="dxa"/>
            <w:tcMar>
              <w:top w:w="55" w:type="dxa"/>
              <w:bottom w:w="55" w:type="dxa"/>
              <w:left w:w="55" w:type="dxa"/>
              <w:right w:w="55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Model Variant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Under-Triage Count (</w:t>
            </w:r>
            <m:oMath>
              <m:r>
                <m:t>y≥3→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≤2</m:t>
              </m:r>
            </m:oMath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)</w:t>
            </w:r>
          </w:p>
        </w:tc>
        <w:tc>
          <w:tcPr>
            <w:tcW w:type="dxa" w:w="1742"/>
            <w:vAlign w:val="center"/>
            <w:tcW w:w="1368" w:type="dxa"/>
            <w:tcMar>
              <w:top w:w="55" w:type="dxa"/>
              <w:bottom w:w="55" w:type="dxa"/>
              <w:left w:w="55" w:type="dxa"/>
              <w:right w:w="55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Under-Triage Rate (%)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Over-Referral Count (</w:t>
            </w:r>
            <m:oMath>
              <m:r>
                <m:t>y≤2→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≥3</m:t>
              </m:r>
            </m:oMath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)</w:t>
            </w:r>
          </w:p>
        </w:tc>
        <w:tc>
          <w:tcPr>
            <w:tcW w:type="dxa" w:w="1742"/>
            <w:vAlign w:val="center"/>
            <w:tcW w:w="1368" w:type="dxa"/>
            <w:tcMar>
              <w:top w:w="55" w:type="dxa"/>
              <w:bottom w:w="55" w:type="dxa"/>
              <w:left w:w="55" w:type="dxa"/>
              <w:right w:w="55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Over-Referral Rate (%)</w:t>
            </w:r>
          </w:p>
        </w:tc>
        <w:tc>
          <w:tcPr>
            <w:tcW w:type="dxa" w:w="1742"/>
            <w:vAlign w:val="center"/>
            <w:tcW w:w="1872" w:type="dxa"/>
            <w:tcMar>
              <w:top w:w="55" w:type="dxa"/>
              <w:bottom w:w="55" w:type="dxa"/>
              <w:left w:w="55" w:type="dxa"/>
              <w:right w:w="55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Clinical Trade-off Profile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W w:w="266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Variant A: Softmax Baseline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21 / 73</w:t>
            </w:r>
          </w:p>
        </w:tc>
        <w:tc>
          <w:tcPr>
            <w:tcW w:type="dxa" w:w="1742"/>
            <w:vAlign w:val="center"/>
            <w:tcW w:w="1368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28.77%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27 / 477</w:t>
            </w:r>
          </w:p>
        </w:tc>
        <w:tc>
          <w:tcPr>
            <w:tcW w:type="dxa" w:w="1742"/>
            <w:vAlign w:val="center"/>
            <w:tcW w:w="1368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5.66%</w:t>
            </w:r>
          </w:p>
        </w:tc>
        <w:tc>
          <w:tcPr>
            <w:tcW w:type="dxa" w:w="1742"/>
            <w:vAlign w:val="center"/>
            <w:tcW w:w="1872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Unweighted multiclass baseline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W w:w="266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Variant B: CORAL Ordinal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8 / 73</w:t>
            </w:r>
          </w:p>
        </w:tc>
        <w:tc>
          <w:tcPr>
            <w:tcW w:type="dxa" w:w="1742"/>
            <w:vAlign w:val="center"/>
            <w:tcW w:w="1368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10.96%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96 / 477</w:t>
            </w:r>
          </w:p>
        </w:tc>
        <w:tc>
          <w:tcPr>
            <w:tcW w:type="dxa" w:w="1742"/>
            <w:vAlign w:val="center"/>
            <w:tcW w:w="1368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20.13%</w:t>
            </w:r>
          </w:p>
        </w:tc>
        <w:tc>
          <w:tcPr>
            <w:tcW w:type="dxa" w:w="1742"/>
            <w:vAlign w:val="center"/>
            <w:tcW w:w="1872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High false referrals from class collapse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W w:w="266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Variant C: Continuous Regression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23 / 73</w:t>
            </w:r>
          </w:p>
        </w:tc>
        <w:tc>
          <w:tcPr>
            <w:tcW w:type="dxa" w:w="1742"/>
            <w:vAlign w:val="center"/>
            <w:tcW w:w="1368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31.51%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30 / 477</w:t>
            </w:r>
          </w:p>
        </w:tc>
        <w:tc>
          <w:tcPr>
            <w:tcW w:type="dxa" w:w="1742"/>
            <w:vAlign w:val="center"/>
            <w:tcW w:w="1368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6.29%</w:t>
            </w:r>
          </w:p>
        </w:tc>
        <w:tc>
          <w:tcPr>
            <w:tcW w:type="dxa" w:w="1742"/>
            <w:vAlign w:val="center"/>
            <w:tcW w:w="1872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Conservative; bounds multi-grade drift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W w:w="266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Variant D (CORN): Conditional Ordinal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11 / 73</w:t>
            </w:r>
          </w:p>
        </w:tc>
        <w:tc>
          <w:tcPr>
            <w:tcW w:type="dxa" w:w="1742"/>
            <w:vAlign w:val="center"/>
            <w:tcW w:w="1368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15.07%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82 / 477</w:t>
            </w:r>
          </w:p>
        </w:tc>
        <w:tc>
          <w:tcPr>
            <w:tcW w:type="dxa" w:w="1742"/>
            <w:vAlign w:val="center"/>
            <w:tcW w:w="1368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17.19%</w:t>
            </w:r>
          </w:p>
        </w:tc>
        <w:tc>
          <w:tcPr>
            <w:tcW w:type="dxa" w:w="1742"/>
            <w:vAlign w:val="center"/>
            <w:tcW w:w="1872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High-sensitivity screening specialist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W w:w="266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Variant E: 3-Seed Ens + TTA (</w:t>
            </w:r>
            <m:oMath>
              <m:r>
                <m:t>τ=0.0</m:t>
              </m:r>
            </m:oMath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)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22 / 73</w:t>
            </w:r>
          </w:p>
        </w:tc>
        <w:tc>
          <w:tcPr>
            <w:tcW w:type="dxa" w:w="1742"/>
            <w:vAlign w:val="center"/>
            <w:tcW w:w="1368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30.14%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12 / 477</w:t>
            </w:r>
          </w:p>
        </w:tc>
        <w:tc>
          <w:tcPr>
            <w:tcW w:type="dxa" w:w="1742"/>
            <w:vAlign w:val="center"/>
            <w:tcW w:w="1368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2.52%</w:t>
            </w:r>
          </w:p>
        </w:tc>
        <w:tc>
          <w:tcPr>
            <w:tcW w:type="dxa" w:w="1742"/>
            <w:vAlign w:val="center"/>
            <w:tcW w:w="1872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Minimum false referrals; confirmatory focus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W w:w="266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Variant E: 3-Seed Ens + TTA (</w:t>
            </w:r>
            <m:oMath>
              <m:r>
                <m:t>τ=1.0</m:t>
              </m:r>
            </m:oMath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)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14 / 73</w:t>
            </w:r>
          </w:p>
        </w:tc>
        <w:tc>
          <w:tcPr>
            <w:tcW w:type="dxa" w:w="1742"/>
            <w:vAlign w:val="center"/>
            <w:tcW w:w="1368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19.18%</w:t>
            </w:r>
          </w:p>
        </w:tc>
        <w:tc>
          <w:tcPr>
            <w:tcW w:type="dxa" w:w="1742"/>
            <w:vAlign w:val="center"/>
            <w:tcW w:w="1584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44 / 477</w:t>
            </w:r>
          </w:p>
        </w:tc>
        <w:tc>
          <w:tcPr>
            <w:tcW w:type="dxa" w:w="1742"/>
            <w:vAlign w:val="center"/>
            <w:tcW w:w="1368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9.22%</w:t>
            </w:r>
          </w:p>
        </w:tc>
        <w:tc>
          <w:tcPr>
            <w:tcW w:type="dxa" w:w="1742"/>
            <w:vAlign w:val="center"/>
            <w:tcW w:w="1872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Balanced trade-off via logit adjustment</w:t>
            </w:r>
          </w:p>
        </w:tc>
      </w:tr>
    </w:tbl>
    <w:p>
      <w:pPr>
        <w:spacing w:before="0" w:after="40"/>
      </w:pPr>
    </w:p>
    <w:p>
      <w:pPr>
        <w:sectPr>
          <w:type w:val="continuous"/>
          <w:pgSz w:w="12240" w:h="15840"/>
          <w:pgMar w:top="1080" w:right="893" w:bottom="1440" w:left="893" w:header="720" w:footer="720" w:gutter="0"/>
          <w:cols w:num="1"/>
          <w:docGrid w:linePitch="360"/>
        </w:sectPr>
      </w:pPr>
    </w:p>
    <w:p>
      <w:pPr>
        <w:spacing w:before="20" w:after="80"/>
        <w:jc w:val="center"/>
      </w:pPr>
      <w:r>
        <w:rPr>
          <w:rFonts w:ascii="Times New Roman" w:hAnsi="Times New Roman"/>
          <w:b w:val="0"/>
          <w:i/>
          <w:color w:val="3C3C3C"/>
          <w:sz w:val="16"/>
        </w:rPr>
        <w:t>Note: Sight-threatening cases (Grades 3–4): N = 73; non-referral cases (Grades 0–2): N = 477. Best values in bold.</w:t>
      </w:r>
    </w:p>
    <w:p>
      <w:pPr>
        <w:keepNext/>
        <w:spacing w:before="120" w:after="40"/>
      </w:pPr>
      <w:r>
        <w:rPr>
          <w:rFonts w:ascii="Times New Roman" w:hAnsi="Times New Roman"/>
          <w:b/>
          <w:i/>
          <w:color w:val="1E2846"/>
          <w:sz w:val="19"/>
        </w:rPr>
        <w:t>F.  Strengths and Limitations of the 3-Seed Ensemble</w:t>
      </w:r>
    </w:p>
    <w:p>
      <w:pPr>
        <w:keepNext/>
        <w:spacing w:before="80" w:after="30"/>
      </w:pPr>
      <w:r>
        <w:rPr>
          <w:rFonts w:ascii="Times New Roman" w:hAnsi="Times New Roman"/>
          <w:b/>
          <w:i/>
          <w:color w:val="283246"/>
          <w:sz w:val="18"/>
        </w:rPr>
        <w:t>1) Architectural and Operational Strengths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1. </w:t>
      </w:r>
      <w:r>
        <w:rPr>
          <w:rFonts w:ascii="Times New Roman" w:hAnsi="Times New Roman"/>
          <w:b/>
          <w:i w:val="0"/>
          <w:color w:val="1E1E1E"/>
          <w:sz w:val="19"/>
        </w:rPr>
        <w:t>High Overall Accuracy and Multi-Seed Stability: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Variant E achieves the highest classification accuracy (</w:t>
      </w:r>
      <w:r>
        <w:rPr>
          <w:rFonts w:ascii="Times New Roman" w:hAnsi="Times New Roman"/>
          <w:b/>
          <w:i w:val="0"/>
          <w:color w:val="1E1E1E"/>
          <w:sz w:val="19"/>
        </w:rPr>
        <w:t>83.82%</w:t>
      </w:r>
      <w:r>
        <w:rPr>
          <w:rFonts w:ascii="Times New Roman" w:hAnsi="Times New Roman"/>
          <w:b w:val="0"/>
          <w:i w:val="0"/>
          <w:color w:val="1E1E1E"/>
          <w:sz w:val="19"/>
        </w:rPr>
        <w:t>, vs. 83.45% for the best single seed), with QWK (</w:t>
      </w:r>
      <w:r>
        <w:rPr>
          <w:rFonts w:ascii="Times New Roman" w:hAnsi="Times New Roman"/>
          <w:b/>
          <w:i w:val="0"/>
          <w:color w:val="1E1E1E"/>
          <w:sz w:val="19"/>
        </w:rPr>
        <w:t>0.8859</w:t>
      </w:r>
      <w:r>
        <w:rPr>
          <w:rFonts w:ascii="Times New Roman" w:hAnsi="Times New Roman"/>
          <w:b w:val="0"/>
          <w:i w:val="0"/>
          <w:color w:val="1E1E1E"/>
          <w:sz w:val="19"/>
        </w:rPr>
        <w:t>) and MAE (</w:t>
      </w:r>
      <w:r>
        <w:rPr>
          <w:rFonts w:ascii="Times New Roman" w:hAnsi="Times New Roman"/>
          <w:b/>
          <w:i w:val="0"/>
          <w:color w:val="1E1E1E"/>
          <w:sz w:val="19"/>
        </w:rPr>
        <w:t>0.2200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) comparable to the best single seed (Seed 44: QWK 0.8901, MAE 0.2200). Its primary benefit is mitigating stochastic training variance across seeds (single-seed mean 82.73% </w:t>
      </w:r>
      <m:oMath>
        <m:r>
          <m:t>→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 83.82%) rather than delivering large gains over the top seed.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2. </w:t>
      </w:r>
      <w:r>
        <w:rPr>
          <w:rFonts w:ascii="Times New Roman" w:hAnsi="Times New Roman"/>
          <w:b/>
          <w:i w:val="0"/>
          <w:color w:val="1E1E1E"/>
          <w:sz w:val="19"/>
        </w:rPr>
        <w:t>Lowest Over-Referral Rate: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Variant E yields the lowest over-referral rate (</w:t>
      </w:r>
      <w:r>
        <w:rPr>
          <w:rFonts w:ascii="Times New Roman" w:hAnsi="Times New Roman"/>
          <w:b/>
          <w:i w:val="0"/>
          <w:color w:val="1E1E1E"/>
          <w:sz w:val="19"/>
        </w:rPr>
        <w:t>2.52%</w:t>
      </w:r>
      <w:r>
        <w:rPr>
          <w:rFonts w:ascii="Times New Roman" w:hAnsi="Times New Roman"/>
          <w:b w:val="0"/>
          <w:i w:val="0"/>
          <w:color w:val="1E1E1E"/>
          <w:sz w:val="19"/>
        </w:rPr>
        <w:t>, 12/477), substantially reducing unnecessary secondary clinic visits and clinic overburden.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3. </w:t>
      </w:r>
      <w:r>
        <w:rPr>
          <w:rFonts w:ascii="Times New Roman" w:hAnsi="Times New Roman"/>
          <w:b/>
          <w:i w:val="0"/>
          <w:color w:val="1E1E1E"/>
          <w:sz w:val="19"/>
        </w:rPr>
        <w:t>Resource Efficiency and Tunability: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The ensemble reuses the identical 5.3M-parameter EfficientNet-B0 backbone with no external data. Post-hoc logit adjustment provides an adjustable operating curve between accuracy and severe recall without retraining.</w:t>
      </w:r>
    </w:p>
    <w:p>
      <w:pPr>
        <w:keepNext/>
        <w:spacing w:before="80" w:after="30"/>
      </w:pPr>
      <w:r>
        <w:rPr>
          <w:rFonts w:ascii="Times New Roman" w:hAnsi="Times New Roman"/>
          <w:b/>
          <w:i/>
          <w:color w:val="283246"/>
          <w:sz w:val="18"/>
        </w:rPr>
        <w:t>2) Clinical and Computational Limitations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1. </w:t>
      </w:r>
      <w:r>
        <w:rPr>
          <w:rFonts w:ascii="Times New Roman" w:hAnsi="Times New Roman"/>
          <w:b/>
          <w:i w:val="0"/>
          <w:color w:val="1E1E1E"/>
          <w:sz w:val="19"/>
        </w:rPr>
        <w:t>Elevated Under-Triage Rate: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At </w:t>
      </w:r>
      <m:oMath>
        <m:r>
          <m:t>τ=0.0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, Severe NPDR recall is only 44.8% and under-triage is </w:t>
      </w:r>
      <w:r>
        <w:rPr>
          <w:rFonts w:ascii="Times New Roman" w:hAnsi="Times New Roman"/>
          <w:b/>
          <w:i w:val="0"/>
          <w:color w:val="1E1E1E"/>
          <w:sz w:val="19"/>
        </w:rPr>
        <w:t>30.14%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(22/73 missed severe/PDR cases), compared to 15.07% (11/73) for Variant D.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2. </w:t>
      </w:r>
      <w:r>
        <w:rPr>
          <w:rFonts w:ascii="Times New Roman" w:hAnsi="Times New Roman"/>
          <w:b/>
          <w:i w:val="0"/>
          <w:color w:val="1E1E1E"/>
          <w:sz w:val="19"/>
        </w:rPr>
        <w:t>Modest Gain Over Best Seed: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The accuracy gain over Seed 44 (83.45% to 83.82%) is small, and individual seeds exhibit competitive QWK (Seed 44: 0.8901) and catastrophic error rates (Seeds 43 and 44: 4.18% vs. 4.36% for the ensemble).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3. </w:t>
      </w:r>
      <w:r>
        <w:rPr>
          <w:rFonts w:ascii="Times New Roman" w:hAnsi="Times New Roman"/>
          <w:b/>
          <w:i w:val="0"/>
          <w:color w:val="1E1E1E"/>
          <w:sz w:val="19"/>
        </w:rPr>
        <w:t>Inference Overhead: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Evaluating three ensemble members with 4-way TTA requires approximately </w:t>
      </w:r>
      <m:oMath>
        <m:r>
          <m:t>3×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 FLOPs compared to a single forward pass.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4. </w:t>
      </w:r>
      <w:r>
        <w:rPr>
          <w:rFonts w:ascii="Times New Roman" w:hAnsi="Times New Roman"/>
          <w:b/>
          <w:i w:val="0"/>
          <w:color w:val="1E1E1E"/>
          <w:sz w:val="19"/>
        </w:rPr>
        <w:t>Dataset Scope: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All evaluations are conducted on a single 550-image test split with 29 Severe NPDR cases.</w:t>
      </w:r>
    </w:p>
    <w:p>
      <w:pPr>
        <w:keepNext/>
        <w:spacing w:before="80" w:after="30"/>
      </w:pPr>
      <w:r>
        <w:rPr>
          <w:rFonts w:ascii="Times New Roman" w:hAnsi="Times New Roman"/>
          <w:b/>
          <w:i/>
          <w:color w:val="283246"/>
          <w:sz w:val="18"/>
        </w:rPr>
        <w:t>3) Future Research Directions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>Future iterations will evaluate: (a) ensembling heterogeneous backbones (e.g., ConvNeXt with EfficientNet); (b) integrating CORN ordinal heads directly into the ensemble members; (c) higher input resolutions (e.g., 384x384); (d) cross-validation and calibration analysis (ECE); (e) external validation on Messidor-2 and IDRiD; and (f) knowledge distillation into a single compact inference student model.</w:t>
      </w:r>
    </w:p>
    <w:p>
      <w:pPr>
        <w:keepNext/>
        <w:spacing w:before="160" w:after="50"/>
        <w:jc w:val="center"/>
      </w:pPr>
      <w:r>
        <w:rPr>
          <w:rFonts w:ascii="Times New Roman" w:hAnsi="Times New Roman"/>
          <w:b/>
          <w:color w:val="0F1E3C"/>
          <w:sz w:val="20"/>
        </w:rPr>
        <w:t>VIII.  DISCUSSION AND CLINICAL TRIAGE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>Our empirical results demonstrate that no single model configuration universally optimizes all clinical criteria: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1. </w:t>
      </w:r>
      <w:r>
        <w:rPr>
          <w:rFonts w:ascii="Times New Roman" w:hAnsi="Times New Roman"/>
          <w:b/>
          <w:i w:val="0"/>
          <w:color w:val="1E1E1E"/>
          <w:sz w:val="19"/>
        </w:rPr>
        <w:t>Confirmatory Screening and Triage Efficiency: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Variant E (3-Seed Ensemble + TTA) is optimal when overall classification accuracy (</w:t>
      </w:r>
      <w:r>
        <w:rPr>
          <w:rFonts w:ascii="Times New Roman" w:hAnsi="Times New Roman"/>
          <w:b/>
          <w:i w:val="0"/>
          <w:color w:val="1E1E1E"/>
          <w:sz w:val="19"/>
        </w:rPr>
        <w:t>83.82%</w:t>
      </w:r>
      <w:r>
        <w:rPr>
          <w:rFonts w:ascii="Times New Roman" w:hAnsi="Times New Roman"/>
          <w:b w:val="0"/>
          <w:i w:val="0"/>
          <w:color w:val="1E1E1E"/>
          <w:sz w:val="19"/>
        </w:rPr>
        <w:t>) and high specificity across common grades are required. As quantified in Table 7, Variant E achieves the lowest over-referral rate (</w:t>
      </w:r>
      <w:r>
        <w:rPr>
          <w:rFonts w:ascii="Times New Roman" w:hAnsi="Times New Roman"/>
          <w:b/>
          <w:i w:val="0"/>
          <w:color w:val="1E1E1E"/>
          <w:sz w:val="19"/>
        </w:rPr>
        <w:t>2.52%</w:t>
      </w:r>
      <w:r>
        <w:rPr>
          <w:rFonts w:ascii="Times New Roman" w:hAnsi="Times New Roman"/>
          <w:b w:val="0"/>
          <w:i w:val="0"/>
          <w:color w:val="1E1E1E"/>
          <w:sz w:val="19"/>
        </w:rPr>
        <w:t>, 12/477), minimizing unnecessary hospital visits and reducing clinical burden on overstretched eye clinics. However, its unadjusted under-triage rate (</w:t>
      </w:r>
      <w:r>
        <w:rPr>
          <w:rFonts w:ascii="Times New Roman" w:hAnsi="Times New Roman"/>
          <w:b/>
          <w:i w:val="0"/>
          <w:color w:val="1E1E1E"/>
          <w:sz w:val="19"/>
        </w:rPr>
        <w:t>30.14%</w:t>
      </w:r>
      <w:r>
        <w:rPr>
          <w:rFonts w:ascii="Times New Roman" w:hAnsi="Times New Roman"/>
          <w:b w:val="0"/>
          <w:i w:val="0"/>
          <w:color w:val="1E1E1E"/>
          <w:sz w:val="19"/>
        </w:rPr>
        <w:t>) necessitates post-hoc logit adjustment (</w:t>
      </w:r>
      <m:oMath>
        <m:r>
          <m:t>τ=1.0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>, reducing under-triage to 19.18%) or dual-route screening when deployed for primary screening.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2. </w:t>
      </w:r>
      <w:r>
        <w:rPr>
          <w:rFonts w:ascii="Times New Roman" w:hAnsi="Times New Roman"/>
          <w:b/>
          <w:i w:val="0"/>
          <w:color w:val="1E1E1E"/>
          <w:sz w:val="19"/>
        </w:rPr>
        <w:t>Early Disease Detection and Sight Preservation: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Variant D (CORN) is preferable when maximizing sensitivity for vision-threatening Severe NPDR (</w:t>
      </w:r>
      <w:r>
        <w:rPr>
          <w:rFonts w:ascii="Times New Roman" w:hAnsi="Times New Roman"/>
          <w:b/>
          <w:i w:val="0"/>
          <w:color w:val="1E1E1E"/>
          <w:sz w:val="19"/>
        </w:rPr>
        <w:t>65.7%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) and minimizing missed sight-threatening diagnoses is paramount, reducing under-triage to </w:t>
      </w:r>
      <w:r>
        <w:rPr>
          <w:rFonts w:ascii="Times New Roman" w:hAnsi="Times New Roman"/>
          <w:b/>
          <w:i w:val="0"/>
          <w:color w:val="1E1E1E"/>
          <w:sz w:val="19"/>
        </w:rPr>
        <w:t>15.07%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(11/73).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3. </w:t>
      </w:r>
      <w:r>
        <w:rPr>
          <w:rFonts w:ascii="Times New Roman" w:hAnsi="Times New Roman"/>
          <w:b/>
          <w:i w:val="0"/>
          <w:color w:val="1E1E1E"/>
          <w:sz w:val="19"/>
        </w:rPr>
        <w:t>Safety Envelope: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Variant C (Continuous Regression) provides the lowest catastrophic multi-grade error rate (</w:t>
      </w:r>
      <w:r>
        <w:rPr>
          <w:rFonts w:ascii="Times New Roman" w:hAnsi="Times New Roman"/>
          <w:b/>
          <w:i w:val="0"/>
          <w:color w:val="1E1E1E"/>
          <w:sz w:val="19"/>
        </w:rPr>
        <w:t>3.8%</w:t>
      </w:r>
      <w:r>
        <w:rPr>
          <w:rFonts w:ascii="Times New Roman" w:hAnsi="Times New Roman"/>
          <w:b w:val="0"/>
          <w:i w:val="0"/>
          <w:color w:val="1E1E1E"/>
          <w:sz w:val="19"/>
        </w:rPr>
        <w:t>).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>Deploying automated AI screening in real-world clinical practice requires selecting architectures and loss formulations aligned with specific institutional triage priorities and risk thresholds.</w:t>
      </w:r>
    </w:p>
    <w:p>
      <w:pPr>
        <w:keepNext/>
        <w:spacing w:before="160" w:after="50"/>
        <w:jc w:val="center"/>
      </w:pPr>
      <w:r>
        <w:rPr>
          <w:rFonts w:ascii="Times New Roman" w:hAnsi="Times New Roman"/>
          <w:b/>
          <w:color w:val="0F1E3C"/>
          <w:sz w:val="20"/>
        </w:rPr>
        <w:t>IX.  CONCLUSION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>In this study, we addressed the limitation of nominal cross-entropy in Diabetic Retinopathy staging. Evaluating nominal, regression, ordinal, and ensembled paradigms on the APTOS 2019 benchmark using an EfficientNet-B0 backbone yielded three principal conclusions: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1. </w:t>
      </w:r>
      <w:r>
        <w:rPr>
          <w:rFonts w:ascii="Times New Roman" w:hAnsi="Times New Roman"/>
          <w:b/>
          <w:i w:val="0"/>
          <w:color w:val="1E1E1E"/>
          <w:sz w:val="19"/>
        </w:rPr>
        <w:t>Featured High-Accuracy Ensemble: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</w:t>
      </w:r>
      <w:r>
        <w:rPr>
          <w:rFonts w:ascii="Times New Roman" w:hAnsi="Times New Roman"/>
          <w:b/>
          <w:i w:val="0"/>
          <w:color w:val="1E1E1E"/>
          <w:sz w:val="19"/>
        </w:rPr>
        <w:t>Variant E: 3-Seed Ensemble + TTA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achieved the project's highest classification accuracy (</w:t>
      </w:r>
      <w:r>
        <w:rPr>
          <w:rFonts w:ascii="Times New Roman" w:hAnsi="Times New Roman"/>
          <w:b/>
          <w:i w:val="0"/>
          <w:color w:val="1E1E1E"/>
          <w:sz w:val="19"/>
        </w:rPr>
        <w:t>83.82%</w:t>
      </w:r>
      <w:r>
        <w:rPr>
          <w:rFonts w:ascii="Times New Roman" w:hAnsi="Times New Roman"/>
          <w:b w:val="0"/>
          <w:i w:val="0"/>
          <w:color w:val="1E1E1E"/>
          <w:sz w:val="19"/>
        </w:rPr>
        <w:t>, 95% CI: [80.73%, 86.73%], vs. 83.45% for the best single seed), with QWK (</w:t>
      </w:r>
      <w:r>
        <w:rPr>
          <w:rFonts w:ascii="Times New Roman" w:hAnsi="Times New Roman"/>
          <w:b/>
          <w:i w:val="0"/>
          <w:color w:val="1E1E1E"/>
          <w:sz w:val="19"/>
        </w:rPr>
        <w:t>0.8859</w:t>
      </w:r>
      <w:r>
        <w:rPr>
          <w:rFonts w:ascii="Times New Roman" w:hAnsi="Times New Roman"/>
          <w:b w:val="0"/>
          <w:i w:val="0"/>
          <w:color w:val="1E1E1E"/>
          <w:sz w:val="19"/>
        </w:rPr>
        <w:t>) and MAE (</w:t>
      </w:r>
      <w:r>
        <w:rPr>
          <w:rFonts w:ascii="Times New Roman" w:hAnsi="Times New Roman"/>
          <w:b/>
          <w:i w:val="0"/>
          <w:color w:val="1E1E1E"/>
          <w:sz w:val="19"/>
        </w:rPr>
        <w:t>0.2200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) comparable to the best single seed, reducing stochastic initialization variance across seeds (single-seed mean 82.73% </w:t>
      </w:r>
      <m:oMath>
        <m:r>
          <m:t>→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 83.82%) while maintaining a catastrophic triage error rate of </w:t>
      </w:r>
      <w:r>
        <w:rPr>
          <w:rFonts w:ascii="Times New Roman" w:hAnsi="Times New Roman"/>
          <w:b/>
          <w:i w:val="0"/>
          <w:color w:val="1E1E1E"/>
          <w:sz w:val="19"/>
        </w:rPr>
        <w:t>4.36%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. Post-hoc logit adjustment reached a peak QWK of </w:t>
      </w:r>
      <w:r>
        <w:rPr>
          <w:rFonts w:ascii="Times New Roman" w:hAnsi="Times New Roman"/>
          <w:b/>
          <w:i w:val="0"/>
          <w:color w:val="1E1E1E"/>
          <w:sz w:val="19"/>
        </w:rPr>
        <w:t>0.8929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at </w:t>
      </w:r>
      <m:oMath>
        <m:r>
          <m:t>τ=0.5</m:t>
        </m:r>
      </m:oMath>
      <w:r>
        <w:rPr>
          <w:rFonts w:ascii="Times New Roman" w:hAnsi="Times New Roman"/>
          <w:b w:val="0"/>
          <w:i w:val="0"/>
          <w:color w:val="1E1E1E"/>
          <w:sz w:val="19"/>
        </w:rPr>
        <w:t xml:space="preserve"> in sensitivity testing.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2. </w:t>
      </w:r>
      <w:r>
        <w:rPr>
          <w:rFonts w:ascii="Times New Roman" w:hAnsi="Times New Roman"/>
          <w:b/>
          <w:i w:val="0"/>
          <w:color w:val="1E1E1E"/>
          <w:sz w:val="19"/>
        </w:rPr>
        <w:t>Minority-Class Protection: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Variant D (CORN) resolved the minority collapse of unweighted CORAL, attaining </w:t>
      </w:r>
      <w:r>
        <w:rPr>
          <w:rFonts w:ascii="Times New Roman" w:hAnsi="Times New Roman"/>
          <w:b/>
          <w:i w:val="0"/>
          <w:color w:val="1E1E1E"/>
          <w:sz w:val="19"/>
        </w:rPr>
        <w:t>65.7%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Severe NPDR sensitivity (vs. 36.84% reported by Shakibania et al. [2], different dataset and task setting; not a head-to-head comparison) with an 82% smaller parameter footprint.</w:t>
      </w:r>
    </w:p>
    <w:p>
      <w:pPr>
        <w:spacing w:before="0" w:after="20" w:line="252" w:lineRule="auto"/>
        <w:ind w:left="259"/>
      </w:pPr>
      <w:r>
        <w:rPr>
          <w:rFonts w:ascii="Times New Roman" w:hAnsi="Times New Roman"/>
          <w:b/>
          <w:sz w:val="19"/>
        </w:rPr>
        <w:t xml:space="preserve">3. </w:t>
      </w:r>
      <w:r>
        <w:rPr>
          <w:rFonts w:ascii="Times New Roman" w:hAnsi="Times New Roman"/>
          <w:b/>
          <w:i w:val="0"/>
          <w:color w:val="1E1E1E"/>
          <w:sz w:val="19"/>
        </w:rPr>
        <w:t>Distance Regularization:</w:t>
      </w:r>
      <w:r>
        <w:rPr>
          <w:rFonts w:ascii="Times New Roman" w:hAnsi="Times New Roman"/>
          <w:b w:val="0"/>
          <w:i w:val="0"/>
          <w:color w:val="1E1E1E"/>
          <w:sz w:val="19"/>
        </w:rPr>
        <w:t xml:space="preserve"> Continuous regression (Variant C) achieved the tightest error distribution, holding catastrophic multi-grade errors to </w:t>
      </w:r>
      <w:r>
        <w:rPr>
          <w:rFonts w:ascii="Times New Roman" w:hAnsi="Times New Roman"/>
          <w:b/>
          <w:i w:val="0"/>
          <w:color w:val="1E1E1E"/>
          <w:sz w:val="19"/>
        </w:rPr>
        <w:t>3.8%</w:t>
      </w:r>
      <w:r>
        <w:rPr>
          <w:rFonts w:ascii="Times New Roman" w:hAnsi="Times New Roman"/>
          <w:b w:val="0"/>
          <w:i w:val="0"/>
          <w:color w:val="1E1E1E"/>
          <w:sz w:val="19"/>
        </w:rPr>
        <w:t>.</w:t>
      </w:r>
    </w:p>
    <w:p>
      <w:pPr>
        <w:spacing w:before="0" w:after="5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19"/>
        </w:rPr>
        <w:t>All models operate on lightweight 5.3M-parameter backbones on consumer laptop hardware under 1 GB of VRAM. Future work will investigate cross-cohort validation, heterogeneous ensembling, and knowledge distillation.</w:t>
      </w:r>
    </w:p>
    <w:p>
      <w:pPr>
        <w:keepNext/>
        <w:spacing w:before="160" w:after="50"/>
        <w:jc w:val="center"/>
      </w:pPr>
      <w:r>
        <w:rPr>
          <w:rFonts w:ascii="Times New Roman" w:hAnsi="Times New Roman"/>
          <w:b/>
          <w:color w:val="0F1E3C"/>
          <w:sz w:val="20"/>
        </w:rPr>
        <w:t>X.  REFERENCES</w:t>
      </w:r>
    </w:p>
    <w:p>
      <w:pPr>
        <w:spacing w:before="0" w:after="40" w:line="252" w:lineRule="auto"/>
        <w:ind w:left="317" w:hanging="317"/>
        <w:jc w:val="both"/>
      </w:pPr>
      <w:r>
        <w:rPr>
          <w:rFonts w:ascii="Times New Roman" w:hAnsi="Times New Roman"/>
          <w:b/>
          <w:sz w:val="16"/>
        </w:rPr>
        <w:t>[1]</w:t>
        <w:tab/>
      </w:r>
      <w:r>
        <w:rPr>
          <w:rFonts w:ascii="Times New Roman" w:hAnsi="Times New Roman"/>
          <w:b w:val="0"/>
          <w:i w:val="0"/>
          <w:color w:val="1E1E1E"/>
          <w:sz w:val="16"/>
        </w:rPr>
        <w:t>N. E. M. Khalifa, M. H. N. Taha, A. E. Hassanien, and I. M. Selim, "Deep transfer learning models for medical diabetic retinopathy detection," Acta Inform. Med., vol. 27, no. 5, pp. 327–331, Dec. 2019, doi: 10.5455/aim.2019.27.327-331.</w:t>
      </w:r>
    </w:p>
    <w:p>
      <w:pPr>
        <w:spacing w:before="0" w:after="40" w:line="252" w:lineRule="auto"/>
        <w:ind w:left="317" w:hanging="317"/>
        <w:jc w:val="both"/>
      </w:pPr>
      <w:r>
        <w:rPr>
          <w:rFonts w:ascii="Times New Roman" w:hAnsi="Times New Roman"/>
          <w:b/>
          <w:sz w:val="16"/>
        </w:rPr>
        <w:t>[2]</w:t>
        <w:tab/>
      </w:r>
      <w:r>
        <w:rPr>
          <w:rFonts w:ascii="Times New Roman" w:hAnsi="Times New Roman"/>
          <w:b w:val="0"/>
          <w:i w:val="0"/>
          <w:color w:val="1E1E1E"/>
          <w:sz w:val="16"/>
        </w:rPr>
        <w:t>N. Shakibania, S. Khosravi, H. Danyali, and M. S. Helfroush, "Dual branch deep learning network for detection and stage grading of diabetic retinopathy," arXiv preprint arXiv:2308.09945, Aug. 2023.</w:t>
      </w:r>
    </w:p>
    <w:p>
      <w:pPr>
        <w:spacing w:before="0" w:after="40" w:line="252" w:lineRule="auto"/>
        <w:ind w:left="317" w:hanging="317"/>
        <w:jc w:val="both"/>
      </w:pPr>
      <w:r>
        <w:rPr>
          <w:rFonts w:ascii="Times New Roman" w:hAnsi="Times New Roman"/>
          <w:b/>
          <w:sz w:val="16"/>
        </w:rPr>
        <w:t>[3]</w:t>
        <w:tab/>
      </w:r>
      <w:r>
        <w:rPr>
          <w:rFonts w:ascii="Times New Roman" w:hAnsi="Times New Roman"/>
          <w:b w:val="0"/>
          <w:i w:val="0"/>
          <w:color w:val="1E1E1E"/>
          <w:sz w:val="16"/>
        </w:rPr>
        <w:t>B. Tymchenko, P. Marchenko, and D. Spodarets, "Deep learning approach to diabetic retinopathy detection," arXiv preprint arXiv:2003.02261, Mar. 2020.</w:t>
      </w:r>
    </w:p>
    <w:p>
      <w:pPr>
        <w:spacing w:before="0" w:after="40" w:line="252" w:lineRule="auto"/>
        <w:ind w:left="317" w:hanging="317"/>
        <w:jc w:val="both"/>
      </w:pPr>
      <w:r>
        <w:rPr>
          <w:rFonts w:ascii="Times New Roman" w:hAnsi="Times New Roman"/>
          <w:b/>
          <w:sz w:val="16"/>
        </w:rPr>
        <w:t>[4]</w:t>
        <w:tab/>
      </w:r>
      <w:r>
        <w:rPr>
          <w:rFonts w:ascii="Times New Roman" w:hAnsi="Times New Roman"/>
          <w:b w:val="0"/>
          <w:i w:val="0"/>
          <w:color w:val="1E1E1E"/>
          <w:sz w:val="16"/>
        </w:rPr>
        <w:t>M. A. Mardianta, A. Arifianto, and C. Fatichah, "Diabetic retinopathy detection based on convolutional neural networks with SMOTE and CLAHE techniques applied to fundus images," arXiv preprint arXiv:2504.05696, Apr. 2025.</w:t>
      </w:r>
    </w:p>
    <w:p>
      <w:pPr>
        <w:spacing w:before="0" w:after="40" w:line="252" w:lineRule="auto"/>
        <w:ind w:left="317" w:hanging="317"/>
        <w:jc w:val="both"/>
      </w:pPr>
      <w:r>
        <w:rPr>
          <w:rFonts w:ascii="Times New Roman" w:hAnsi="Times New Roman"/>
          <w:b/>
          <w:sz w:val="16"/>
        </w:rPr>
        <w:t>[5]</w:t>
        <w:tab/>
      </w:r>
      <w:r>
        <w:rPr>
          <w:rFonts w:ascii="Times New Roman" w:hAnsi="Times New Roman"/>
          <w:b w:val="0"/>
          <w:i w:val="0"/>
          <w:color w:val="1E1E1E"/>
          <w:sz w:val="16"/>
        </w:rPr>
        <w:t>R. Karthik, R. Pandiyaraju, and T. Mynampati, "Explainable AI for diabetic retinopathy detection using deep learning with attention mechanisms and fuzzy logic-based interpretability," arXiv preprint arXiv:2511.16294, Nov. 2025.</w:t>
      </w:r>
    </w:p>
    <w:p>
      <w:pPr>
        <w:spacing w:before="0" w:after="40" w:line="252" w:lineRule="auto"/>
        <w:ind w:left="317" w:hanging="317"/>
        <w:jc w:val="both"/>
      </w:pPr>
      <w:r>
        <w:rPr>
          <w:rFonts w:ascii="Times New Roman" w:hAnsi="Times New Roman"/>
          <w:b/>
          <w:sz w:val="16"/>
        </w:rPr>
        <w:t>[6]</w:t>
        <w:tab/>
      </w:r>
      <w:r>
        <w:rPr>
          <w:rFonts w:ascii="Times New Roman" w:hAnsi="Times New Roman"/>
          <w:b w:val="0"/>
          <w:i w:val="0"/>
          <w:color w:val="1E1E1E"/>
          <w:sz w:val="16"/>
        </w:rPr>
        <w:t>S. Khokhar, M. A. A. Baig, M. U. G. Khan, and H. A. Al-Nawaiseh, "From pixels to explanations: Interpretable diabetic retinopathy grading with CNN-Transformer ensembles, visual explainability and vision-language models," arXiv preprint arXiv:2604.23079, Apr. 2026.</w:t>
      </w:r>
    </w:p>
    <w:p>
      <w:pPr>
        <w:spacing w:before="0" w:after="40" w:line="252" w:lineRule="auto"/>
        <w:ind w:left="317" w:hanging="317"/>
        <w:jc w:val="both"/>
      </w:pPr>
      <w:r>
        <w:rPr>
          <w:rFonts w:ascii="Times New Roman" w:hAnsi="Times New Roman"/>
          <w:b/>
          <w:sz w:val="16"/>
        </w:rPr>
        <w:t>[7]</w:t>
        <w:tab/>
      </w:r>
      <w:r>
        <w:rPr>
          <w:rFonts w:ascii="Times New Roman" w:hAnsi="Times New Roman"/>
          <w:b w:val="0"/>
          <w:i w:val="0"/>
          <w:color w:val="1E1E1E"/>
          <w:sz w:val="16"/>
        </w:rPr>
        <w:t>V. Manoj and S. Bhosale, "Detection and classification of diabetic retinopathy using deep learning algorithms for segmentation to facilitate referral recommendation," arXiv preprint arXiv:2401.02759, Jan. 2024.</w:t>
      </w:r>
    </w:p>
    <w:p>
      <w:pPr>
        <w:spacing w:before="0" w:after="40" w:line="252" w:lineRule="auto"/>
        <w:ind w:left="317" w:hanging="317"/>
        <w:jc w:val="both"/>
      </w:pPr>
      <w:r>
        <w:rPr>
          <w:rFonts w:ascii="Times New Roman" w:hAnsi="Times New Roman"/>
          <w:b/>
          <w:sz w:val="16"/>
        </w:rPr>
        <w:t>[8]</w:t>
        <w:tab/>
      </w:r>
      <w:r>
        <w:rPr>
          <w:rFonts w:ascii="Times New Roman" w:hAnsi="Times New Roman"/>
          <w:b w:val="0"/>
          <w:i w:val="0"/>
          <w:color w:val="1E1E1E"/>
          <w:sz w:val="16"/>
        </w:rPr>
        <w:t>W. Cao, V. Mirjalili, and S. Raschka, "Rank consistent ordinal regression for neural networks with application to age estimation," Pattern Recognition Letters, vol. 140, pp. 325–331, Dec. 2020.</w:t>
      </w:r>
    </w:p>
    <w:p>
      <w:pPr>
        <w:spacing w:before="0" w:after="40" w:line="252" w:lineRule="auto"/>
        <w:ind w:left="317" w:hanging="317"/>
        <w:jc w:val="both"/>
      </w:pPr>
      <w:r>
        <w:rPr>
          <w:rFonts w:ascii="Times New Roman" w:hAnsi="Times New Roman"/>
          <w:b/>
          <w:sz w:val="16"/>
        </w:rPr>
        <w:t>[9]</w:t>
        <w:tab/>
      </w:r>
      <w:r>
        <w:rPr>
          <w:rFonts w:ascii="Times New Roman" w:hAnsi="Times New Roman"/>
          <w:b w:val="0"/>
          <w:i w:val="0"/>
          <w:color w:val="1E1E1E"/>
          <w:sz w:val="16"/>
        </w:rPr>
        <w:t>J. Cohen, "A coefficient of agreement for nominal scales," Educational and Psychological Measurement, vol. 20, no. 1, pp. 37–46, 1960.</w:t>
      </w:r>
    </w:p>
    <w:p>
      <w:pPr>
        <w:spacing w:before="0" w:after="40" w:line="252" w:lineRule="auto"/>
        <w:ind w:left="317" w:hanging="317"/>
        <w:jc w:val="both"/>
      </w:pPr>
      <w:r>
        <w:rPr>
          <w:rFonts w:ascii="Times New Roman" w:hAnsi="Times New Roman"/>
          <w:b/>
          <w:sz w:val="16"/>
        </w:rPr>
        <w:t>[10]</w:t>
        <w:tab/>
      </w:r>
      <w:r>
        <w:rPr>
          <w:rFonts w:ascii="Times New Roman" w:hAnsi="Times New Roman"/>
          <w:b w:val="0"/>
          <w:i w:val="0"/>
          <w:color w:val="1E1E1E"/>
          <w:sz w:val="16"/>
        </w:rPr>
        <w:t>C. P. Wilkinson, F. L. Ferris, R. E. Klein, P. P. Lee, C. D. Agardh, M. Davis, D. Dills, A. Kampik, R. Pararajasegaram, and J. T. Verdaguer, "Proposed international clinical diabetic retinopathy and diabetic macular edema disease severity scales," Ophthalmology, vol. 110, no. 9, pp. 1677–1682, Sep. 2003.</w:t>
      </w:r>
    </w:p>
    <w:p>
      <w:pPr>
        <w:spacing w:before="0" w:after="40" w:line="252" w:lineRule="auto"/>
        <w:ind w:left="317" w:hanging="317"/>
        <w:jc w:val="both"/>
      </w:pPr>
      <w:r>
        <w:rPr>
          <w:rFonts w:ascii="Times New Roman" w:hAnsi="Times New Roman"/>
          <w:b/>
          <w:sz w:val="16"/>
        </w:rPr>
        <w:t>[11]</w:t>
        <w:tab/>
      </w:r>
      <w:r>
        <w:rPr>
          <w:rFonts w:ascii="Times New Roman" w:hAnsi="Times New Roman"/>
          <w:b w:val="0"/>
          <w:i w:val="0"/>
          <w:color w:val="1E1E1E"/>
          <w:sz w:val="16"/>
        </w:rPr>
        <w:t>K. He, X. Zhang, S. Ren, and J. Sun, "Deep residual learning for image recognition," in Proc. IEEE Conf. Comput. Vis. Pattern Recognit. (CVPR), 2016, pp. 770–778.</w:t>
      </w:r>
    </w:p>
    <w:p>
      <w:pPr>
        <w:spacing w:before="0" w:after="40" w:line="252" w:lineRule="auto"/>
        <w:ind w:left="317" w:hanging="317"/>
        <w:jc w:val="both"/>
      </w:pPr>
      <w:r>
        <w:rPr>
          <w:rFonts w:ascii="Times New Roman" w:hAnsi="Times New Roman"/>
          <w:b/>
          <w:sz w:val="16"/>
        </w:rPr>
        <w:t>[12]</w:t>
        <w:tab/>
      </w:r>
      <w:r>
        <w:rPr>
          <w:rFonts w:ascii="Times New Roman" w:hAnsi="Times New Roman"/>
          <w:b w:val="0"/>
          <w:i w:val="0"/>
          <w:color w:val="1E1E1E"/>
          <w:sz w:val="16"/>
        </w:rPr>
        <w:t>APTOS 2019 Blindness Detection, Kaggle Competition Dataset, Asia Pacific Tele-Ophthalmology Society, 2019. [Online]. Available: https://www.kaggle.com/c/aptos2019-blindness-detection</w:t>
      </w:r>
    </w:p>
    <w:p>
      <w:pPr>
        <w:spacing w:before="0" w:after="40" w:line="252" w:lineRule="auto"/>
        <w:ind w:left="317" w:hanging="317"/>
        <w:jc w:val="both"/>
      </w:pPr>
      <w:r>
        <w:rPr>
          <w:rFonts w:ascii="Times New Roman" w:hAnsi="Times New Roman"/>
          <w:b/>
          <w:sz w:val="16"/>
        </w:rPr>
        <w:t>[13]</w:t>
        <w:tab/>
      </w:r>
      <w:r>
        <w:rPr>
          <w:rFonts w:ascii="Times New Roman" w:hAnsi="Times New Roman"/>
          <w:b w:val="0"/>
          <w:i w:val="0"/>
          <w:color w:val="1E1E1E"/>
          <w:sz w:val="16"/>
        </w:rPr>
        <w:t>X. Shi, W. Cao, and S. Raschka, "Deep neural networks for rank-consistent ordinal regression based on conditional probabilities," Pattern Recognition Letters, vol. 152, pp. 110–116, 2021.</w:t>
      </w:r>
    </w:p>
    <w:p>
      <w:pPr>
        <w:spacing w:before="0" w:after="40" w:line="252" w:lineRule="auto"/>
        <w:ind w:left="317" w:hanging="317"/>
        <w:jc w:val="both"/>
      </w:pPr>
      <w:r>
        <w:rPr>
          <w:rFonts w:ascii="Times New Roman" w:hAnsi="Times New Roman"/>
          <w:b/>
          <w:sz w:val="16"/>
        </w:rPr>
        <w:t>[14]</w:t>
        <w:tab/>
      </w:r>
      <w:r>
        <w:rPr>
          <w:rFonts w:ascii="Times New Roman" w:hAnsi="Times New Roman"/>
          <w:b w:val="0"/>
          <w:i w:val="0"/>
          <w:color w:val="1E1E1E"/>
          <w:sz w:val="16"/>
        </w:rPr>
        <w:t>Y. Cui, M. Jia, T.-Y. Lin, Y. Song, and S. Belongie, "Class-balanced loss based on effective number of samples," in Proc. IEEE Conf. Comput. Vis. Pattern Recognit. (CVPR), 2019, pp. 9268–9277.</w:t>
      </w:r>
    </w:p>
    <w:p>
      <w:pPr>
        <w:spacing w:before="0" w:after="40" w:line="252" w:lineRule="auto"/>
        <w:ind w:left="317" w:hanging="317"/>
        <w:jc w:val="both"/>
      </w:pPr>
      <w:r>
        <w:rPr>
          <w:rFonts w:ascii="Times New Roman" w:hAnsi="Times New Roman"/>
          <w:b/>
          <w:sz w:val="16"/>
        </w:rPr>
        <w:t>[15]</w:t>
        <w:tab/>
      </w:r>
      <w:r>
        <w:rPr>
          <w:rFonts w:ascii="Times New Roman" w:hAnsi="Times New Roman"/>
          <w:b w:val="0"/>
          <w:i w:val="0"/>
          <w:color w:val="1E1E1E"/>
          <w:sz w:val="16"/>
        </w:rPr>
        <w:t>A. K. Menon, S. Jayasumana, A. S. Rawat, H. Jain, A. Veit, and S. Kumar, "Long-tail learning via logit adjustment," in Proc. Int. Conf. Learn. Represent. (ICLR), 2021.</w:t>
      </w:r>
    </w:p>
    <w:sectPr w:rsidR="00FC693F" w:rsidRPr="0006063C" w:rsidSect="00034616">
      <w:type w:val="continuous"/>
      <w:pgSz w:w="12240" w:h="15840"/>
      <w:pgMar w:top="1080" w:right="893" w:bottom="1440" w:left="893" w:header="720" w:footer="720" w:gutter="0"/>
      <w:cols w:num="2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