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color w:val="0F1E3C"/>
          <w:sz w:val="36"/>
        </w:rPr>
        <w:t>Ordinal Neural Networks for Diabetic Retinopathy Staging: Enforcing Monotonic Rank Consistency for Safety-Critical Clinical Decision Support</w:t>
      </w:r>
    </w:p>
    <w:p>
      <w:pPr>
        <w:spacing w:before="20" w:after="60"/>
        <w:jc w:val="center"/>
      </w:pPr>
      <w:r>
        <w:rPr>
          <w:rFonts w:ascii="Times New Roman" w:hAnsi="Times New Roman"/>
          <w:b/>
          <w:i w:val="0"/>
          <w:color w:val="3C3C3C"/>
          <w:sz w:val="19"/>
        </w:rPr>
        <w:t>Institution:</w:t>
      </w:r>
      <w:r>
        <w:rPr>
          <w:rFonts w:ascii="Times New Roman" w:hAnsi="Times New Roman"/>
          <w:b w:val="0"/>
          <w:i w:val="0"/>
          <w:color w:val="3C3C3C"/>
          <w:sz w:val="19"/>
        </w:rPr>
        <w:t xml:space="preserve"> Department of Computer Science and Engineering, MIT World Peace University, Pune</w:t>
      </w:r>
    </w:p>
    <w:p>
      <w:pPr>
        <w:spacing w:before="20" w:after="60"/>
        <w:jc w:val="center"/>
      </w:pPr>
      <w:r>
        <w:rPr>
          <w:rFonts w:ascii="Times New Roman" w:hAnsi="Times New Roman"/>
          <w:b/>
          <w:i w:val="0"/>
          <w:color w:val="3C3C3C"/>
          <w:sz w:val="19"/>
        </w:rPr>
        <w:t>Course:</w:t>
      </w:r>
      <w:r>
        <w:rPr>
          <w:rFonts w:ascii="Times New Roman" w:hAnsi="Times New Roman"/>
          <w:b w:val="0"/>
          <w:i w:val="0"/>
          <w:color w:val="3C3C3C"/>
          <w:sz w:val="19"/>
        </w:rPr>
        <w:t xml:space="preserve"> Artificial Intelligence &amp; Expert Systems Lab (AIESL)</w:t>
      </w:r>
    </w:p>
    <w:p>
      <w:pPr>
        <w:spacing w:before="20" w:after="60"/>
        <w:jc w:val="center"/>
      </w:pPr>
      <w:r>
        <w:rPr>
          <w:rFonts w:ascii="Times New Roman" w:hAnsi="Times New Roman"/>
          <w:b/>
          <w:i w:val="0"/>
          <w:color w:val="3C3C3C"/>
          <w:sz w:val="19"/>
        </w:rPr>
        <w:t>Academic Year:</w:t>
      </w:r>
      <w:r>
        <w:rPr>
          <w:rFonts w:ascii="Times New Roman" w:hAnsi="Times New Roman"/>
          <w:b w:val="0"/>
          <w:i w:val="0"/>
          <w:color w:val="3C3C3C"/>
          <w:sz w:val="19"/>
        </w:rPr>
        <w:t xml:space="preserve"> 2025–2026</w:t>
      </w:r>
    </w:p>
    <w:p>
      <w:pPr>
        <w:spacing w:before="20" w:after="60"/>
        <w:jc w:val="center"/>
      </w:pPr>
      <w:r>
        <w:rPr>
          <w:rFonts w:ascii="Times New Roman" w:hAnsi="Times New Roman"/>
          <w:b/>
          <w:i w:val="0"/>
          <w:color w:val="3C3C3C"/>
          <w:sz w:val="19"/>
        </w:rPr>
        <w:t>Project Mentor:</w:t>
      </w:r>
      <w:r>
        <w:rPr>
          <w:rFonts w:ascii="Times New Roman" w:hAnsi="Times New Roman"/>
          <w:b/>
          <w:color w:val="BE1E14"/>
          <w:sz w:val="19"/>
        </w:rPr>
        <w:t xml:space="preserve"> [ACTION REQUIRED: Enter Project Mentor Name, Designation, and Department before submission]</w:t>
      </w:r>
    </w:p>
    <w:p>
      <w:pPr>
        <w:keepNext/>
        <w:spacing w:before="200" w:after="60"/>
      </w:pPr>
      <w:r>
        <w:rPr>
          <w:rFonts w:ascii="Times New Roman" w:hAnsi="Times New Roman"/>
          <w:b/>
          <w:i/>
          <w:color w:val="283246"/>
          <w:sz w:val="21"/>
        </w:rPr>
        <w:t>Project Team Members</w:t>
      </w:r>
    </w:p>
    <w:tbl>
      <w:tblPr>
        <w:tblW w:type="auto" w:w="0"/>
        <w:jc w:val="center"/>
        <w:tblLook w:firstColumn="1" w:firstRow="1" w:lastColumn="0" w:lastRow="0" w:noHBand="0" w:noVBand="1" w:val="04A0"/>
        <w:tblBorders>
          <w:top w:val="single" w:sz="8" w:space="0" w:color="2B5C8F"/>
          <w:bottom w:val="single" w:sz="8" w:space="0" w:color="333333"/>
          <w:insideH w:val="single" w:sz="4" w:space="0" w:color="E0E0E0"/>
          <w:insideV w:val="none"/>
          <w:left w:val="none"/>
          <w:right w:val="none"/>
        </w:tblBorders>
      </w:tblPr>
      <w:tblGrid>
        <w:gridCol w:w="3360"/>
        <w:gridCol w:w="3360"/>
        <w:gridCol w:w="3360"/>
      </w:tblGrid>
      <w:tr>
        <w:trPr>
          <w:cantSplit/>
          <w:tblHeader/>
        </w:trPr>
        <w:tc>
          <w:tcPr>
            <w:tcW w:type="dxa" w:w="3360"/>
            <w:vAlign w:val="center"/>
            <w:tcW w:w="1296" w:type="dxa"/>
            <w:tcMar>
              <w:top w:w="90" w:type="dxa"/>
              <w:bottom w:w="90" w:type="dxa"/>
              <w:left w:w="90" w:type="dxa"/>
              <w:right w:w="90" w:type="dxa"/>
            </w:tcMar>
            <w:shd w:fill="2B5C8F"/>
          </w:tcPr>
          <w:p>
            <w:pPr>
              <w:spacing w:before="20" w:after="20"/>
              <w:jc w:val="center"/>
            </w:pPr>
            <w:r>
              <w:rPr>
                <w:rFonts w:ascii="Times New Roman" w:hAnsi="Times New Roman"/>
                <w:b/>
                <w:i w:val="0"/>
                <w:color w:val="FFFFFF"/>
                <w:sz w:val="19"/>
              </w:rPr>
              <w:t>Sr. No.</w:t>
            </w:r>
          </w:p>
        </w:tc>
        <w:tc>
          <w:tcPr>
            <w:tcW w:type="dxa" w:w="3360"/>
            <w:vAlign w:val="center"/>
            <w:tcW w:w="3600" w:type="dxa"/>
            <w:tcMar>
              <w:top w:w="90" w:type="dxa"/>
              <w:bottom w:w="90" w:type="dxa"/>
              <w:left w:w="90" w:type="dxa"/>
              <w:right w:w="90" w:type="dxa"/>
            </w:tcMar>
            <w:shd w:fill="2B5C8F"/>
          </w:tcPr>
          <w:p>
            <w:pPr>
              <w:spacing w:before="20" w:after="20"/>
              <w:jc w:val="center"/>
            </w:pPr>
            <w:r>
              <w:rPr>
                <w:rFonts w:ascii="Times New Roman" w:hAnsi="Times New Roman"/>
                <w:b/>
                <w:i w:val="0"/>
                <w:color w:val="FFFFFF"/>
                <w:sz w:val="19"/>
              </w:rPr>
              <w:t>PRN</w:t>
            </w:r>
          </w:p>
        </w:tc>
        <w:tc>
          <w:tcPr>
            <w:tcW w:type="dxa" w:w="3360"/>
            <w:vAlign w:val="center"/>
            <w:tcW w:w="5184" w:type="dxa"/>
            <w:tcMar>
              <w:top w:w="90" w:type="dxa"/>
              <w:bottom w:w="90" w:type="dxa"/>
              <w:left w:w="90" w:type="dxa"/>
              <w:right w:w="90" w:type="dxa"/>
            </w:tcMar>
            <w:shd w:fill="2B5C8F"/>
          </w:tcPr>
          <w:p>
            <w:pPr>
              <w:spacing w:before="20" w:after="20"/>
              <w:jc w:val="center"/>
            </w:pPr>
            <w:r>
              <w:rPr>
                <w:rFonts w:ascii="Times New Roman" w:hAnsi="Times New Roman"/>
                <w:b/>
                <w:i w:val="0"/>
                <w:color w:val="FFFFFF"/>
                <w:sz w:val="19"/>
              </w:rPr>
              <w:t>Student Name</w:t>
            </w:r>
          </w:p>
        </w:tc>
      </w:tr>
      <w:tr>
        <w:trPr>
          <w:cantSplit/>
        </w:trPr>
        <w:tc>
          <w:tcPr>
            <w:tcW w:type="dxa" w:w="3360"/>
            <w:vAlign w:val="center"/>
            <w:tcW w:w="1296" w:type="dxa"/>
            <w:tcMar>
              <w:top w:w="90" w:type="dxa"/>
              <w:bottom w:w="90" w:type="dxa"/>
              <w:left w:w="90" w:type="dxa"/>
              <w:right w:w="90" w:type="dxa"/>
            </w:tcMar>
            <w:shd w:fill="F7F9FC"/>
          </w:tcPr>
          <w:p>
            <w:pPr>
              <w:spacing w:before="20" w:after="20"/>
              <w:jc w:val="center"/>
            </w:pPr>
            <w:r>
              <w:rPr>
                <w:rFonts w:ascii="Times New Roman" w:hAnsi="Times New Roman"/>
                <w:b w:val="0"/>
                <w:i w:val="0"/>
                <w:color w:val="1E1E1E"/>
                <w:sz w:val="19"/>
              </w:rPr>
              <w:t>1</w:t>
            </w:r>
          </w:p>
        </w:tc>
        <w:tc>
          <w:tcPr>
            <w:tcW w:type="dxa" w:w="3360"/>
            <w:vAlign w:val="center"/>
            <w:tcW w:w="3600" w:type="dxa"/>
            <w:tcMar>
              <w:top w:w="90" w:type="dxa"/>
              <w:bottom w:w="90" w:type="dxa"/>
              <w:left w:w="90" w:type="dxa"/>
              <w:right w:w="90" w:type="dxa"/>
            </w:tcMar>
            <w:shd w:fill="F7F9FC"/>
          </w:tcPr>
          <w:p>
            <w:pPr>
              <w:spacing w:before="20" w:after="20"/>
              <w:jc w:val="center"/>
            </w:pPr>
            <w:r>
              <w:rPr>
                <w:rFonts w:ascii="Times New Roman" w:hAnsi="Times New Roman"/>
                <w:b/>
                <w:color w:val="BE1E14"/>
                <w:sz w:val="19"/>
              </w:rPr>
              <w:t>[ACTION REQUIRED: PRN]</w:t>
            </w:r>
          </w:p>
        </w:tc>
        <w:tc>
          <w:tcPr>
            <w:tcW w:type="dxa" w:w="3360"/>
            <w:vAlign w:val="center"/>
            <w:tcW w:w="5184" w:type="dxa"/>
            <w:tcMar>
              <w:top w:w="90" w:type="dxa"/>
              <w:bottom w:w="90" w:type="dxa"/>
              <w:left w:w="90" w:type="dxa"/>
              <w:right w:w="90" w:type="dxa"/>
            </w:tcMar>
            <w:shd w:fill="F7F9FC"/>
          </w:tcPr>
          <w:p>
            <w:pPr>
              <w:spacing w:before="20" w:after="20"/>
              <w:jc w:val="center"/>
            </w:pPr>
            <w:r>
              <w:rPr>
                <w:rFonts w:ascii="Times New Roman" w:hAnsi="Times New Roman"/>
                <w:b/>
                <w:color w:val="BE1E14"/>
                <w:sz w:val="19"/>
              </w:rPr>
              <w:t>[ACTION REQUIRED: Enter Student 1 Full Name]</w:t>
            </w:r>
          </w:p>
        </w:tc>
      </w:tr>
      <w:tr>
        <w:trPr>
          <w:cantSplit/>
        </w:trPr>
        <w:tc>
          <w:tcPr>
            <w:tcW w:type="dxa" w:w="3360"/>
            <w:vAlign w:val="center"/>
            <w:tcW w:w="1296" w:type="dxa"/>
            <w:tcMar>
              <w:top w:w="90" w:type="dxa"/>
              <w:bottom w:w="90" w:type="dxa"/>
              <w:left w:w="90" w:type="dxa"/>
              <w:right w:w="90" w:type="dxa"/>
            </w:tcMar>
            <w:shd w:fill="FFFFFF"/>
          </w:tcPr>
          <w:p>
            <w:pPr>
              <w:spacing w:before="20" w:after="20"/>
              <w:jc w:val="center"/>
            </w:pPr>
            <w:r>
              <w:rPr>
                <w:rFonts w:ascii="Times New Roman" w:hAnsi="Times New Roman"/>
                <w:b w:val="0"/>
                <w:i w:val="0"/>
                <w:color w:val="1E1E1E"/>
                <w:sz w:val="19"/>
              </w:rPr>
              <w:t>2</w:t>
            </w:r>
          </w:p>
        </w:tc>
        <w:tc>
          <w:tcPr>
            <w:tcW w:type="dxa" w:w="3360"/>
            <w:vAlign w:val="center"/>
            <w:tcW w:w="3600" w:type="dxa"/>
            <w:tcMar>
              <w:top w:w="90" w:type="dxa"/>
              <w:bottom w:w="90" w:type="dxa"/>
              <w:left w:w="90" w:type="dxa"/>
              <w:right w:w="90" w:type="dxa"/>
            </w:tcMar>
            <w:shd w:fill="FFFFFF"/>
          </w:tcPr>
          <w:p>
            <w:pPr>
              <w:spacing w:before="20" w:after="20"/>
              <w:jc w:val="center"/>
            </w:pPr>
            <w:r>
              <w:rPr>
                <w:rFonts w:ascii="Times New Roman" w:hAnsi="Times New Roman"/>
                <w:b/>
                <w:color w:val="BE1E14"/>
                <w:sz w:val="19"/>
              </w:rPr>
              <w:t>[ACTION REQUIRED: PRN]</w:t>
            </w:r>
          </w:p>
        </w:tc>
        <w:tc>
          <w:tcPr>
            <w:tcW w:type="dxa" w:w="3360"/>
            <w:vAlign w:val="center"/>
            <w:tcW w:w="5184" w:type="dxa"/>
            <w:tcMar>
              <w:top w:w="90" w:type="dxa"/>
              <w:bottom w:w="90" w:type="dxa"/>
              <w:left w:w="90" w:type="dxa"/>
              <w:right w:w="90" w:type="dxa"/>
            </w:tcMar>
            <w:shd w:fill="FFFFFF"/>
          </w:tcPr>
          <w:p>
            <w:pPr>
              <w:spacing w:before="20" w:after="20"/>
              <w:jc w:val="center"/>
            </w:pPr>
            <w:r>
              <w:rPr>
                <w:rFonts w:ascii="Times New Roman" w:hAnsi="Times New Roman"/>
                <w:b/>
                <w:color w:val="BE1E14"/>
                <w:sz w:val="19"/>
              </w:rPr>
              <w:t>[ACTION REQUIRED: Enter Student 2 Full Name]</w:t>
            </w:r>
          </w:p>
        </w:tc>
      </w:tr>
      <w:tr>
        <w:trPr>
          <w:cantSplit/>
        </w:trPr>
        <w:tc>
          <w:tcPr>
            <w:tcW w:type="dxa" w:w="3360"/>
            <w:vAlign w:val="center"/>
            <w:tcW w:w="1296" w:type="dxa"/>
            <w:tcMar>
              <w:top w:w="90" w:type="dxa"/>
              <w:bottom w:w="90" w:type="dxa"/>
              <w:left w:w="90" w:type="dxa"/>
              <w:right w:w="90" w:type="dxa"/>
            </w:tcMar>
            <w:shd w:fill="F7F9FC"/>
          </w:tcPr>
          <w:p>
            <w:pPr>
              <w:spacing w:before="20" w:after="20"/>
              <w:jc w:val="center"/>
            </w:pPr>
            <w:r>
              <w:rPr>
                <w:rFonts w:ascii="Times New Roman" w:hAnsi="Times New Roman"/>
                <w:b w:val="0"/>
                <w:i w:val="0"/>
                <w:color w:val="1E1E1E"/>
                <w:sz w:val="19"/>
              </w:rPr>
              <w:t>3</w:t>
            </w:r>
          </w:p>
        </w:tc>
        <w:tc>
          <w:tcPr>
            <w:tcW w:type="dxa" w:w="3360"/>
            <w:vAlign w:val="center"/>
            <w:tcW w:w="3600" w:type="dxa"/>
            <w:tcMar>
              <w:top w:w="90" w:type="dxa"/>
              <w:bottom w:w="90" w:type="dxa"/>
              <w:left w:w="90" w:type="dxa"/>
              <w:right w:w="90" w:type="dxa"/>
            </w:tcMar>
            <w:shd w:fill="F7F9FC"/>
          </w:tcPr>
          <w:p>
            <w:pPr>
              <w:spacing w:before="20" w:after="20"/>
              <w:jc w:val="center"/>
            </w:pPr>
            <w:r>
              <w:rPr>
                <w:rFonts w:ascii="Times New Roman" w:hAnsi="Times New Roman"/>
                <w:b/>
                <w:color w:val="BE1E14"/>
                <w:sz w:val="19"/>
              </w:rPr>
              <w:t>[ACTION REQUIRED: PRN]</w:t>
            </w:r>
          </w:p>
        </w:tc>
        <w:tc>
          <w:tcPr>
            <w:tcW w:type="dxa" w:w="3360"/>
            <w:vAlign w:val="center"/>
            <w:tcW w:w="5184" w:type="dxa"/>
            <w:tcMar>
              <w:top w:w="90" w:type="dxa"/>
              <w:bottom w:w="90" w:type="dxa"/>
              <w:left w:w="90" w:type="dxa"/>
              <w:right w:w="90" w:type="dxa"/>
            </w:tcMar>
            <w:shd w:fill="F7F9FC"/>
          </w:tcPr>
          <w:p>
            <w:pPr>
              <w:spacing w:before="20" w:after="20"/>
              <w:jc w:val="center"/>
            </w:pPr>
            <w:r>
              <w:rPr>
                <w:rFonts w:ascii="Times New Roman" w:hAnsi="Times New Roman"/>
                <w:b/>
                <w:color w:val="BE1E14"/>
                <w:sz w:val="19"/>
              </w:rPr>
              <w:t>[ACTION REQUIRED: Enter Student 3 Full Name]</w:t>
            </w:r>
          </w:p>
        </w:tc>
      </w:tr>
      <w:tr>
        <w:trPr>
          <w:cantSplit/>
        </w:trPr>
        <w:tc>
          <w:tcPr>
            <w:tcW w:type="dxa" w:w="3360"/>
            <w:vAlign w:val="center"/>
            <w:tcW w:w="1296" w:type="dxa"/>
            <w:tcMar>
              <w:top w:w="90" w:type="dxa"/>
              <w:bottom w:w="90" w:type="dxa"/>
              <w:left w:w="90" w:type="dxa"/>
              <w:right w:w="90" w:type="dxa"/>
            </w:tcMar>
            <w:shd w:fill="FFFFFF"/>
          </w:tcPr>
          <w:p>
            <w:pPr>
              <w:spacing w:before="20" w:after="20"/>
              <w:jc w:val="center"/>
            </w:pPr>
            <w:r>
              <w:rPr>
                <w:rFonts w:ascii="Times New Roman" w:hAnsi="Times New Roman"/>
                <w:b w:val="0"/>
                <w:i w:val="0"/>
                <w:color w:val="1E1E1E"/>
                <w:sz w:val="19"/>
              </w:rPr>
              <w:t>4</w:t>
            </w:r>
          </w:p>
        </w:tc>
        <w:tc>
          <w:tcPr>
            <w:tcW w:type="dxa" w:w="3360"/>
            <w:vAlign w:val="center"/>
            <w:tcW w:w="3600" w:type="dxa"/>
            <w:tcMar>
              <w:top w:w="90" w:type="dxa"/>
              <w:bottom w:w="90" w:type="dxa"/>
              <w:left w:w="90" w:type="dxa"/>
              <w:right w:w="90" w:type="dxa"/>
            </w:tcMar>
            <w:shd w:fill="FFFFFF"/>
          </w:tcPr>
          <w:p>
            <w:pPr>
              <w:spacing w:before="20" w:after="20"/>
              <w:jc w:val="center"/>
            </w:pPr>
            <w:r>
              <w:rPr>
                <w:rFonts w:ascii="Times New Roman" w:hAnsi="Times New Roman"/>
                <w:b/>
                <w:color w:val="BE1E14"/>
                <w:sz w:val="19"/>
              </w:rPr>
              <w:t>[ACTION REQUIRED: PRN]</w:t>
            </w:r>
          </w:p>
        </w:tc>
        <w:tc>
          <w:tcPr>
            <w:tcW w:type="dxa" w:w="3360"/>
            <w:vAlign w:val="center"/>
            <w:tcW w:w="5184" w:type="dxa"/>
            <w:tcMar>
              <w:top w:w="90" w:type="dxa"/>
              <w:bottom w:w="90" w:type="dxa"/>
              <w:left w:w="90" w:type="dxa"/>
              <w:right w:w="90" w:type="dxa"/>
            </w:tcMar>
            <w:shd w:fill="FFFFFF"/>
          </w:tcPr>
          <w:p>
            <w:pPr>
              <w:spacing w:before="20" w:after="20"/>
              <w:jc w:val="center"/>
            </w:pPr>
            <w:r>
              <w:rPr>
                <w:rFonts w:ascii="Times New Roman" w:hAnsi="Times New Roman"/>
                <w:b/>
                <w:color w:val="BE1E14"/>
                <w:sz w:val="19"/>
              </w:rPr>
              <w:t>[ACTION REQUIRED: Enter Student 4 Full Name]</w:t>
            </w:r>
          </w:p>
        </w:tc>
      </w:tr>
    </w:tbl>
    <w:p>
      <w:pPr>
        <w:spacing w:before="40" w:after="120"/>
      </w:pPr>
    </w:p>
    <w:p>
      <w:pPr>
        <w:keepNext/>
        <w:spacing w:before="280" w:after="80"/>
        <w:jc w:val="center"/>
      </w:pPr>
      <w:r>
        <w:rPr>
          <w:rFonts w:ascii="Times New Roman" w:hAnsi="Times New Roman"/>
          <w:b/>
          <w:color w:val="141414"/>
          <w:sz w:val="22"/>
        </w:rPr>
        <w:t>1. ABSTRACT</w:t>
      </w:r>
    </w:p>
    <w:p>
      <w:pPr>
        <w:spacing w:before="0" w:after="90" w:line="276" w:lineRule="auto"/>
        <w:jc w:val="both"/>
      </w:pPr>
      <w:r>
        <w:rPr>
          <w:rFonts w:ascii="Times New Roman" w:hAnsi="Times New Roman"/>
          <w:b w:val="0"/>
          <w:i w:val="0"/>
          <w:color w:val="1E1E1E"/>
          <w:sz w:val="20"/>
        </w:rPr>
        <w:t>Diabetic Retinopathy (DR) is one of the leading causes of preventable blindness worldwide, affecting millions of individuals suffering from diabetes mellitus. Early and accurate detection through regular retinal screening can prevent irreversible vision loss. However, manual grading of retinal fundus photographs by specialized ophthalmologists is labor-intensive and unsustainable given the sheer volume of diabetic patients. While deep learning has achieved impressive results in binary detection (healthy vs. diseased), automated grading across the 5-point International Clinical Diabetic Retinopathy (ICDR) scale (Grade 0: No DR, Grade 1: Mild NPDR, Grade 2: Moderate NPDR, Grade 3: Severe NPDR, Grade 4: Proliferative DR) remains fraught with clinical hazards.</w:t>
      </w:r>
    </w:p>
    <w:p>
      <w:pPr>
        <w:spacing w:before="0" w:after="90" w:line="276" w:lineRule="auto"/>
        <w:jc w:val="both"/>
      </w:pPr>
      <w:r>
        <w:rPr>
          <w:rFonts w:ascii="Times New Roman" w:hAnsi="Times New Roman"/>
          <w:b w:val="0"/>
          <w:i w:val="0"/>
          <w:color w:val="1E1E1E"/>
          <w:sz w:val="20"/>
        </w:rPr>
        <w:t>Most modern automated screening systems treat this problem as nominal multiclass classification, training convolutional networks with standard categorical cross-entropy over a softmax output layer. In this work, we demonstrate that this conventional approach suffers from a dangerous mathematical blind spot: categorical cross-entropy treats every incorrect prediction identically. To a softmax loss function, misclassifying a patient with vision-threatening Proliferative DR (Grade 4) as healthy (Grade 0) incurs the exact same numerical penalty as misclassifying them as Severe NPDR (Grade 3). In a hospital or rural screening camp, however, this difference is catastrophic: confusing Grade 4 with Grade 3 still triggers an urgent specialist referral, whereas confusing Grade 4 with Grade 0 discharges a patient facing imminent retinal detachment back home for an annual checkup.</w:t>
      </w:r>
    </w:p>
    <w:p>
      <w:pPr>
        <w:spacing w:before="0" w:after="90" w:line="276" w:lineRule="auto"/>
        <w:jc w:val="both"/>
      </w:pPr>
      <w:r>
        <w:rPr>
          <w:rFonts w:ascii="Times New Roman" w:hAnsi="Times New Roman"/>
          <w:b w:val="0"/>
          <w:i w:val="0"/>
          <w:color w:val="1E1E1E"/>
          <w:sz w:val="20"/>
        </w:rPr>
        <w:t>To resolve this limitation, we investigate distance-aware and rank-consistent ordinal formulations on the APTOS 2019 Blindness Detection benchmark (3,662 retinal images) using a uniform, lightweight EfficientNet-B0 backbone (5.3M parameters) running with native GPU acceleration on an NVIDIA GeForce RTX 5050 Laptop GPU. We evaluate four distinct paradigms under strictly controlled, identical conditions: (A) standard Softmax baseline, (B) Consistent Rank Logits (CORAL), (C) Continuous Regression with Smooth L1 loss, and (D) Conditional Ordinal Regression for Neural Networks, termed Variant D (CORN), coupled with effective-number class weighting and a differentiable Soft-QWK loss. Furthermore, we develop an accuracy-optimized 3-seed ensemble with label smoothing and test-time augmentation (TTA), exploring post-hoc logit adjustment.</w:t>
      </w:r>
    </w:p>
    <w:p>
      <w:pPr>
        <w:spacing w:before="0" w:after="90" w:line="276" w:lineRule="auto"/>
        <w:jc w:val="both"/>
      </w:pPr>
      <w:r>
        <w:rPr>
          <w:rFonts w:ascii="Times New Roman" w:hAnsi="Times New Roman"/>
          <w:b w:val="0"/>
          <w:i w:val="0"/>
          <w:color w:val="1E1E1E"/>
          <w:sz w:val="20"/>
        </w:rPr>
        <w:t>Our experimental results on an independent 550-image holdout test set reveal two major clinical breakthroughs:</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Resolution of Minority-Stage Collapse:</w:t>
      </w:r>
      <w:r>
        <w:rPr>
          <w:rFonts w:ascii="Times New Roman" w:hAnsi="Times New Roman"/>
          <w:b w:val="0"/>
          <w:i w:val="0"/>
          <w:color w:val="1E1E1E"/>
          <w:sz w:val="20"/>
        </w:rPr>
        <w:t xml:space="preserve"> While unweighted CORAL breaks down on the small Severe NPDR class (0.0% recall, 26.4% catastrophic errors), our Variant D (CORN) framework elevates Severe NPDR sensitivity to </w:t>
      </w:r>
      <w:r>
        <w:rPr>
          <w:rFonts w:ascii="Times New Roman" w:hAnsi="Times New Roman"/>
          <w:b/>
          <w:i w:val="0"/>
          <w:color w:val="1E1E1E"/>
          <w:sz w:val="20"/>
        </w:rPr>
        <w:t>65.7%</w:t>
      </w:r>
      <w:r>
        <w:rPr>
          <w:rFonts w:ascii="Times New Roman" w:hAnsi="Times New Roman"/>
          <w:b w:val="0"/>
          <w:i w:val="0"/>
          <w:color w:val="1E1E1E"/>
          <w:sz w:val="20"/>
        </w:rPr>
        <w:t xml:space="preserve"> (95% CI: [48.3%, 82.9%]) and slashes catastrophic multi-grade triage errors (</w:t>
      </w:r>
      <m:oMath>
        <m:r>
          <m:t>|y−</m:t>
        </m:r>
        <m:acc>
          <m:accPr>
            <m:chr m:val="̂"/>
          </m:accPr>
          <m:e>
            <m:r>
              <m:t>y</m:t>
            </m:r>
          </m:e>
        </m:acc>
        <m:r>
          <m:t>|≥2</m:t>
        </m:r>
      </m:oMath>
      <w:r>
        <w:rPr>
          <w:rFonts w:ascii="Times New Roman" w:hAnsi="Times New Roman"/>
          <w:b w:val="0"/>
          <w:i w:val="0"/>
          <w:color w:val="1E1E1E"/>
          <w:sz w:val="20"/>
        </w:rPr>
        <w:t xml:space="preserve">) by 80.7% down to just </w:t>
      </w:r>
      <w:r>
        <w:rPr>
          <w:rFonts w:ascii="Times New Roman" w:hAnsi="Times New Roman"/>
          <w:b/>
          <w:i w:val="0"/>
          <w:color w:val="1E1E1E"/>
          <w:sz w:val="20"/>
        </w:rPr>
        <w:t>5.1%</w:t>
      </w:r>
      <w:r>
        <w:rPr>
          <w:rFonts w:ascii="Times New Roman" w:hAnsi="Times New Roman"/>
          <w:b w:val="0"/>
          <w:i w:val="0"/>
          <w:color w:val="1E1E1E"/>
          <w:sz w:val="20"/>
        </w:rPr>
        <w:t xml:space="preserve">, delivering a Quadratic Weighted Kappa (QWK) of </w:t>
      </w:r>
      <w:r>
        <w:rPr>
          <w:rFonts w:ascii="Times New Roman" w:hAnsi="Times New Roman"/>
          <w:b/>
          <w:i w:val="0"/>
          <w:color w:val="1E1E1E"/>
          <w:sz w:val="20"/>
        </w:rPr>
        <w:t>0.8482</w:t>
      </w:r>
      <w:r>
        <w:rPr>
          <w:rFonts w:ascii="Times New Roman" w:hAnsi="Times New Roman"/>
          <w:b w:val="0"/>
          <w:i w:val="0"/>
          <w:color w:val="1E1E1E"/>
          <w:sz w:val="20"/>
        </w:rPr>
        <w:t xml:space="preserve">. Most importantly, our single EfficientNet-B0 dramatically outperforms existing complex multi-branch architectures from literature—such as Shakibania et al. [2], whose 30-million-parameter network achieved only </w:t>
      </w:r>
      <w:r>
        <w:rPr>
          <w:rFonts w:ascii="Times New Roman" w:hAnsi="Times New Roman"/>
          <w:b/>
          <w:i w:val="0"/>
          <w:color w:val="1E1E1E"/>
          <w:sz w:val="20"/>
        </w:rPr>
        <w:t>36.84%</w:t>
      </w:r>
      <w:r>
        <w:rPr>
          <w:rFonts w:ascii="Times New Roman" w:hAnsi="Times New Roman"/>
          <w:b w:val="0"/>
          <w:i w:val="0"/>
          <w:color w:val="1E1E1E"/>
          <w:sz w:val="20"/>
        </w:rPr>
        <w:t xml:space="preserve"> severe sensitivity. We achieve an absolute +28.86% improvement with 82% fewer parameters.</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High-Accuracy Confirmatory Pipeline:</w:t>
      </w:r>
      <w:r>
        <w:rPr>
          <w:rFonts w:ascii="Times New Roman" w:hAnsi="Times New Roman"/>
          <w:b w:val="0"/>
          <w:i w:val="0"/>
          <w:color w:val="1E1E1E"/>
          <w:sz w:val="20"/>
        </w:rPr>
        <w:t xml:space="preserve"> For high-throughput secondary screening, our 3-seed regularized ensemble achieves a state-of-the-art raw classification accuracy of </w:t>
      </w:r>
      <w:r>
        <w:rPr>
          <w:rFonts w:ascii="Times New Roman" w:hAnsi="Times New Roman"/>
          <w:b/>
          <w:i w:val="0"/>
          <w:color w:val="1E1E1E"/>
          <w:sz w:val="20"/>
        </w:rPr>
        <w:t>83.82%</w:t>
      </w:r>
      <w:r>
        <w:rPr>
          <w:rFonts w:ascii="Times New Roman" w:hAnsi="Times New Roman"/>
          <w:b w:val="0"/>
          <w:i w:val="0"/>
          <w:color w:val="1E1E1E"/>
          <w:sz w:val="20"/>
        </w:rPr>
        <w:t xml:space="preserve"> (95% CI: [80.73%, 86.73%]), a QWK of </w:t>
      </w:r>
      <w:r>
        <w:rPr>
          <w:rFonts w:ascii="Times New Roman" w:hAnsi="Times New Roman"/>
          <w:b/>
          <w:i w:val="0"/>
          <w:color w:val="1E1E1E"/>
          <w:sz w:val="20"/>
        </w:rPr>
        <w:t>0.8859</w:t>
      </w:r>
      <w:r>
        <w:rPr>
          <w:rFonts w:ascii="Times New Roman" w:hAnsi="Times New Roman"/>
          <w:b w:val="0"/>
          <w:i w:val="0"/>
          <w:color w:val="1E1E1E"/>
          <w:sz w:val="20"/>
        </w:rPr>
        <w:t xml:space="preserve">, and a project-best Mean Absolute Error (MAE) of </w:t>
      </w:r>
      <w:r>
        <w:rPr>
          <w:rFonts w:ascii="Times New Roman" w:hAnsi="Times New Roman"/>
          <w:b/>
          <w:i w:val="0"/>
          <w:color w:val="1E1E1E"/>
          <w:sz w:val="20"/>
        </w:rPr>
        <w:t>0.2200</w:t>
      </w:r>
      <w:r>
        <w:rPr>
          <w:rFonts w:ascii="Times New Roman" w:hAnsi="Times New Roman"/>
          <w:b w:val="0"/>
          <w:i w:val="0"/>
          <w:color w:val="1E1E1E"/>
          <w:sz w:val="20"/>
        </w:rPr>
        <w:t xml:space="preserve">, with post-hoc logit adjustment reaching a peak study QWK of </w:t>
      </w:r>
      <w:r>
        <w:rPr>
          <w:rFonts w:ascii="Times New Roman" w:hAnsi="Times New Roman"/>
          <w:b/>
          <w:i w:val="0"/>
          <w:color w:val="1E1E1E"/>
          <w:sz w:val="20"/>
        </w:rPr>
        <w:t>0.8929</w:t>
      </w:r>
      <w:r>
        <w:rPr>
          <w:rFonts w:ascii="Times New Roman" w:hAnsi="Times New Roman"/>
          <w:b w:val="0"/>
          <w:i w:val="0"/>
          <w:color w:val="1E1E1E"/>
          <w:sz w:val="20"/>
        </w:rPr>
        <w:t xml:space="preserve"> at </w:t>
      </w:r>
      <m:oMath>
        <m:r>
          <m:t>τ=0.5</m:t>
        </m:r>
      </m:oMath>
      <w:r>
        <w:rPr>
          <w:rFonts w:ascii="Times New Roman" w:hAnsi="Times New Roman"/>
          <w:b w:val="0"/>
          <w:i w:val="0"/>
          <w:color w:val="1E1E1E"/>
          <w:sz w:val="20"/>
        </w:rPr>
        <w:t>.</w:t>
      </w:r>
    </w:p>
    <w:p>
      <w:pPr>
        <w:spacing w:before="0" w:after="90" w:line="276" w:lineRule="auto"/>
        <w:jc w:val="both"/>
      </w:pPr>
      <w:r>
        <w:rPr>
          <w:rFonts w:ascii="Times New Roman" w:hAnsi="Times New Roman"/>
          <w:b w:val="0"/>
          <w:i w:val="0"/>
          <w:color w:val="1E1E1E"/>
          <w:sz w:val="20"/>
        </w:rPr>
        <w:t>By combining mathematical rigor with practical clinical safety rules, this project provides a robust foundation for deploying artificial intelligence in safety-critical clinical triage and expert systems.</w:t>
      </w:r>
    </w:p>
    <w:p>
      <w:pPr>
        <w:keepNext/>
        <w:spacing w:before="280" w:after="80"/>
      </w:pPr>
      <w:r>
        <w:rPr>
          <w:rFonts w:ascii="Times New Roman" w:hAnsi="Times New Roman"/>
          <w:b/>
          <w:color w:val="142850"/>
          <w:sz w:val="23"/>
        </w:rPr>
        <w:t>2. LITERATURE SURVEY</w:t>
      </w:r>
    </w:p>
    <w:p>
      <w:pPr>
        <w:spacing w:before="0" w:after="90" w:line="276" w:lineRule="auto"/>
        <w:jc w:val="both"/>
      </w:pPr>
      <w:r>
        <w:rPr>
          <w:rFonts w:ascii="Times New Roman" w:hAnsi="Times New Roman"/>
          <w:b w:val="0"/>
          <w:i w:val="0"/>
          <w:color w:val="1E1E1E"/>
          <w:sz w:val="20"/>
        </w:rPr>
        <w:t>Automated Diabetic Retinopathy screening has been extensively studied over the past decade. Researchers have explored transfer learning, custom multi-branch networks, image augmentation schemes, data imbalance techniques, explainable AI, and lesion segmentation. In this section, we analyze seven representative research papers from recent literature, examine their methodologies, identify their core vulnerabilities, and clearly highlight the decisive factors where our work outperforms them.</w:t>
      </w:r>
    </w:p>
    <w:p>
      <w:pPr>
        <w:keepNext/>
        <w:spacing w:before="200" w:after="60"/>
      </w:pPr>
      <w:r>
        <w:rPr>
          <w:rFonts w:ascii="Times New Roman" w:hAnsi="Times New Roman"/>
          <w:b/>
          <w:i/>
          <w:color w:val="283246"/>
          <w:sz w:val="21"/>
        </w:rPr>
        <w:t>2.1 Detailed Analysis of Existing Literature</w:t>
      </w:r>
    </w:p>
    <w:p>
      <w:pPr>
        <w:keepNext/>
        <w:spacing w:before="160" w:after="40"/>
      </w:pPr>
      <w:r>
        <w:rPr>
          <w:rFonts w:ascii="Times New Roman" w:hAnsi="Times New Roman"/>
          <w:b/>
          <w:i w:val="0"/>
          <w:color w:val="323232"/>
          <w:sz w:val="20"/>
        </w:rPr>
        <w:t>1. Khalifa et al. (2019) — Deep Transfer Learning Models for Medical DR Detection [1]</w:t>
      </w:r>
    </w:p>
    <w:p>
      <w:pPr>
        <w:spacing w:before="0" w:after="90" w:line="276" w:lineRule="auto"/>
        <w:jc w:val="both"/>
      </w:pPr>
      <w:r>
        <w:rPr>
          <w:rFonts w:ascii="Times New Roman" w:hAnsi="Times New Roman"/>
          <w:b w:val="0"/>
          <w:i w:val="0"/>
          <w:color w:val="1E1E1E"/>
          <w:sz w:val="20"/>
        </w:rPr>
        <w:t>Khalifa et al. evaluated deep transfer learning backbones (AlexNet, VGG16, ResNet50, and InceptionV3) on retinal fundus images from the Kaggle Diabetic Retinopathy dataset. Their ResNet50 model achieved 97.9% accuracy in binary screening (No DR vs. DR).</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Vulnerability &amp; Gap:</w:t>
      </w:r>
      <w:r>
        <w:rPr>
          <w:rFonts w:ascii="Times New Roman" w:hAnsi="Times New Roman"/>
          <w:b w:val="0"/>
          <w:i w:val="0"/>
          <w:color w:val="1E1E1E"/>
          <w:sz w:val="20"/>
        </w:rPr>
        <w:t xml:space="preserve"> The authors simplified the entire clinical problem into a binary classification task. While binary screening identifies whether disease is present, it cannot grade disease severity. In clinical practice, an automated tool that cannot distinguish Mild NPDR from Proliferative DR cannot determine whether a patient requires routine annual monitoring or emergency retinal photocoagulation.</w:t>
      </w:r>
    </w:p>
    <w:p>
      <w:pPr>
        <w:keepNext/>
        <w:spacing w:before="160" w:after="40"/>
      </w:pPr>
      <w:r>
        <w:rPr>
          <w:rFonts w:ascii="Times New Roman" w:hAnsi="Times New Roman"/>
          <w:b/>
          <w:i w:val="0"/>
          <w:color w:val="323232"/>
          <w:sz w:val="20"/>
        </w:rPr>
        <w:t>2. Shakibania et al. (2023) — Dual Branch Deep Learning Network for Detection and Stage Grading of DR [2]</w:t>
      </w:r>
    </w:p>
    <w:p>
      <w:pPr>
        <w:spacing w:before="0" w:after="90" w:line="276" w:lineRule="auto"/>
        <w:jc w:val="both"/>
      </w:pPr>
      <w:r>
        <w:rPr>
          <w:rFonts w:ascii="Times New Roman" w:hAnsi="Times New Roman"/>
          <w:b w:val="0"/>
          <w:i w:val="0"/>
          <w:color w:val="1E1E1E"/>
          <w:sz w:val="20"/>
        </w:rPr>
        <w:t>Shakibania et al. designed a two-branch convolutional neural network combining ResNet50 and EfficientNet-B0 (totaling ~30 million parameters) to perform binary detection and multi-class stage grading simultaneously on the Messidor-2 and DDR datasets using Complement Cross Entropy (CCE) loss. While their network achieved 84.09% on binary detection, its accuracy plummeted to 56.40% on 5-class grading.</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Critical Failure Mode:</w:t>
      </w:r>
      <w:r>
        <w:rPr>
          <w:rFonts w:ascii="Times New Roman" w:hAnsi="Times New Roman"/>
          <w:b w:val="0"/>
          <w:i w:val="0"/>
          <w:color w:val="1E1E1E"/>
          <w:sz w:val="20"/>
        </w:rPr>
        <w:t xml:space="preserve"> More alarmingly, their paper reports that Grade 3 (Severe NPDR) sensitivity collapsed to just </w:t>
      </w:r>
      <w:r>
        <w:rPr>
          <w:rFonts w:ascii="Times New Roman" w:hAnsi="Times New Roman"/>
          <w:b/>
          <w:i w:val="0"/>
          <w:color w:val="1E1E1E"/>
          <w:sz w:val="20"/>
        </w:rPr>
        <w:t>36.84%</w:t>
      </w:r>
      <w:r>
        <w:rPr>
          <w:rFonts w:ascii="Times New Roman" w:hAnsi="Times New Roman"/>
          <w:b w:val="0"/>
          <w:i w:val="0"/>
          <w:color w:val="1E1E1E"/>
          <w:sz w:val="20"/>
        </w:rPr>
        <w:t>, failing to identify nearly two out of every three patients with vision-threatening severe disease. The authors noted severe feature overlap between adjacent classes. Because their network relied on nominal cross-entropy without distance penalties, it suffered severe diagnostic scatter across non-adjacent grades.</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Our Decisive Superiority:</w:t>
      </w:r>
      <w:r>
        <w:rPr>
          <w:rFonts w:ascii="Times New Roman" w:hAnsi="Times New Roman"/>
          <w:b w:val="0"/>
          <w:i w:val="0"/>
          <w:color w:val="1E1E1E"/>
          <w:sz w:val="20"/>
        </w:rPr>
        <w:t xml:space="preserve"> Our Variant D (CORN) framework running on a single EfficientNet-B0 (5.3M parameters) achieves a Severe NPDR sensitivity of </w:t>
      </w:r>
      <w:r>
        <w:rPr>
          <w:rFonts w:ascii="Times New Roman" w:hAnsi="Times New Roman"/>
          <w:b/>
          <w:i w:val="0"/>
          <w:color w:val="1E1E1E"/>
          <w:sz w:val="20"/>
        </w:rPr>
        <w:t>65.7%</w:t>
      </w:r>
      <w:r>
        <w:rPr>
          <w:rFonts w:ascii="Times New Roman" w:hAnsi="Times New Roman"/>
          <w:b w:val="0"/>
          <w:i w:val="0"/>
          <w:color w:val="1E1E1E"/>
          <w:sz w:val="20"/>
        </w:rPr>
        <w:t xml:space="preserve"> (95% CI: [48.3%, 82.9%]). This represents an absolute gain of </w:t>
      </w:r>
      <w:r>
        <w:rPr>
          <w:rFonts w:ascii="Times New Roman" w:hAnsi="Times New Roman"/>
          <w:b/>
          <w:i w:val="0"/>
          <w:color w:val="1E1E1E"/>
          <w:sz w:val="20"/>
        </w:rPr>
        <w:t>+28.86%</w:t>
      </w:r>
      <w:r>
        <w:rPr>
          <w:rFonts w:ascii="Times New Roman" w:hAnsi="Times New Roman"/>
          <w:b w:val="0"/>
          <w:i w:val="0"/>
          <w:color w:val="1E1E1E"/>
          <w:sz w:val="20"/>
        </w:rPr>
        <w:t xml:space="preserve"> in detecting severe vision-threatening disease, accomplished with an </w:t>
      </w:r>
      <w:r>
        <w:rPr>
          <w:rFonts w:ascii="Times New Roman" w:hAnsi="Times New Roman"/>
          <w:b/>
          <w:i w:val="0"/>
          <w:color w:val="1E1E1E"/>
          <w:sz w:val="20"/>
        </w:rPr>
        <w:t>82% reduction in model parameters</w:t>
      </w:r>
      <w:r>
        <w:rPr>
          <w:rFonts w:ascii="Times New Roman" w:hAnsi="Times New Roman"/>
          <w:b w:val="0"/>
          <w:i w:val="0"/>
          <w:color w:val="1E1E1E"/>
          <w:sz w:val="20"/>
        </w:rPr>
        <w:t xml:space="preserve"> and zero multi-branch training overhead.</w:t>
      </w:r>
    </w:p>
    <w:p>
      <w:pPr>
        <w:keepNext/>
        <w:spacing w:before="160" w:after="40"/>
      </w:pPr>
      <w:r>
        <w:rPr>
          <w:rFonts w:ascii="Times New Roman" w:hAnsi="Times New Roman"/>
          <w:b/>
          <w:i w:val="0"/>
          <w:color w:val="323232"/>
          <w:sz w:val="20"/>
        </w:rPr>
        <w:t>3. Tymchenko, Marchenko, and Spodarets (2020) — Deep Learning Approach to DR Detection [3]</w:t>
      </w:r>
    </w:p>
    <w:p>
      <w:pPr>
        <w:spacing w:before="0" w:after="90" w:line="276" w:lineRule="auto"/>
        <w:jc w:val="both"/>
      </w:pPr>
      <w:r>
        <w:rPr>
          <w:rFonts w:ascii="Times New Roman" w:hAnsi="Times New Roman"/>
          <w:b w:val="0"/>
          <w:i w:val="0"/>
          <w:color w:val="1E1E1E"/>
          <w:sz w:val="20"/>
        </w:rPr>
        <w:t>Tymchenko et al. developed a custom deep convolutional architecture trained on 35,126 retinal images from the EyePACS challenge, incorporating cyclic pooling alongside CutMix and MixUp data augmentations. Their network achieved a Quadratic Weighted Kappa (QWK) of 0.841.</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Vulnerability &amp; Gap:</w:t>
      </w:r>
      <w:r>
        <w:rPr>
          <w:rFonts w:ascii="Times New Roman" w:hAnsi="Times New Roman"/>
          <w:b w:val="0"/>
          <w:i w:val="0"/>
          <w:color w:val="1E1E1E"/>
          <w:sz w:val="20"/>
        </w:rPr>
        <w:t xml:space="preserve"> The authors correctly highlighted that Quadratic Weighted Kappa must serve as the primary evaluation metric because it quadratically penalizes distance errors. However, their loss function remained standard cross-entropy. They attempted to solve distance alignment through input image blending (MixUp) rather than enforcing ordinal structure in the mathematical loss function itself.</w:t>
      </w:r>
    </w:p>
    <w:p>
      <w:pPr>
        <w:keepNext/>
        <w:spacing w:before="160" w:after="40"/>
      </w:pPr>
      <w:r>
        <w:rPr>
          <w:rFonts w:ascii="Times New Roman" w:hAnsi="Times New Roman"/>
          <w:b/>
          <w:i w:val="0"/>
          <w:color w:val="323232"/>
          <w:sz w:val="20"/>
        </w:rPr>
        <w:t>4. Mardianta, Arifianto, and Fatichah (2025) — CNN with SMOTE and CLAHE Applied to Fundus Images [4]</w:t>
      </w:r>
    </w:p>
    <w:p>
      <w:pPr>
        <w:spacing w:before="0" w:after="90" w:line="276" w:lineRule="auto"/>
        <w:jc w:val="both"/>
      </w:pPr>
      <w:r>
        <w:rPr>
          <w:rFonts w:ascii="Times New Roman" w:hAnsi="Times New Roman"/>
          <w:b w:val="0"/>
          <w:i w:val="0"/>
          <w:color w:val="1E1E1E"/>
          <w:sz w:val="20"/>
        </w:rPr>
        <w:t>Mardianta et al. addressed class imbalance on the Messidor-1 dataset by combining Contrast Limited Adaptive Histogram Equalization (CLAHE) with Synthetic Minority Over-sampling Technique (SMOTE), reporting an accuracy of 93.3%.</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Vulnerability &amp; Gap:</w:t>
      </w:r>
      <w:r>
        <w:rPr>
          <w:rFonts w:ascii="Times New Roman" w:hAnsi="Times New Roman"/>
          <w:b w:val="0"/>
          <w:i w:val="0"/>
          <w:color w:val="1E1E1E"/>
          <w:sz w:val="20"/>
        </w:rPr>
        <w:t xml:space="preserve"> The authors applied SMOTE in flattened feature and pixel spaces. Synthesizing medical fundus imagery by linear interpolation creates unnatural, blurry pixel blends that do not correspond to valid anatomical retinal pathology (such as authentic cotton-wool spots or microaneurysms). Furthermore, their study was restricted to binary classification.</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Our Decisive Superiority:</w:t>
      </w:r>
      <w:r>
        <w:rPr>
          <w:rFonts w:ascii="Times New Roman" w:hAnsi="Times New Roman"/>
          <w:b w:val="0"/>
          <w:i w:val="0"/>
          <w:color w:val="1E1E1E"/>
          <w:sz w:val="20"/>
        </w:rPr>
        <w:t xml:space="preserve"> We completely avoid synthetic image hallucination. Instead of SMOTE, we use Cui et al.'s effective-number class weighting (</w:t>
      </w:r>
      <m:oMath>
        <m:r>
          <m:t>β=0.9999</m:t>
        </m:r>
      </m:oMath>
      <w:r>
        <w:rPr>
          <w:rFonts w:ascii="Times New Roman" w:hAnsi="Times New Roman"/>
          <w:b w:val="0"/>
          <w:i w:val="0"/>
          <w:color w:val="1E1E1E"/>
          <w:sz w:val="20"/>
        </w:rPr>
        <w:t xml:space="preserve">) and weighted mini-batch sampling on real images. On the full 5-class clinical scale, our ensemble achieves </w:t>
      </w:r>
      <w:r>
        <w:rPr>
          <w:rFonts w:ascii="Times New Roman" w:hAnsi="Times New Roman"/>
          <w:b/>
          <w:i w:val="0"/>
          <w:color w:val="1E1E1E"/>
          <w:sz w:val="20"/>
        </w:rPr>
        <w:t>83.82% accuracy</w:t>
      </w:r>
      <w:r>
        <w:rPr>
          <w:rFonts w:ascii="Times New Roman" w:hAnsi="Times New Roman"/>
          <w:b w:val="0"/>
          <w:i w:val="0"/>
          <w:color w:val="1E1E1E"/>
          <w:sz w:val="20"/>
        </w:rPr>
        <w:t xml:space="preserve"> and </w:t>
      </w:r>
      <w:r>
        <w:rPr>
          <w:rFonts w:ascii="Times New Roman" w:hAnsi="Times New Roman"/>
          <w:b/>
          <w:i w:val="0"/>
          <w:color w:val="1E1E1E"/>
          <w:sz w:val="20"/>
        </w:rPr>
        <w:t>0.8859 QWK</w:t>
      </w:r>
      <w:r>
        <w:rPr>
          <w:rFonts w:ascii="Times New Roman" w:hAnsi="Times New Roman"/>
          <w:b w:val="0"/>
          <w:i w:val="0"/>
          <w:color w:val="1E1E1E"/>
          <w:sz w:val="20"/>
        </w:rPr>
        <w:t xml:space="preserve"> without creating a single artificial pixel artifact.</w:t>
      </w:r>
    </w:p>
    <w:p>
      <w:pPr>
        <w:keepNext/>
        <w:spacing w:before="160" w:after="40"/>
      </w:pPr>
      <w:r>
        <w:rPr>
          <w:rFonts w:ascii="Times New Roman" w:hAnsi="Times New Roman"/>
          <w:b/>
          <w:i w:val="0"/>
          <w:color w:val="323232"/>
          <w:sz w:val="20"/>
        </w:rPr>
        <w:t>5. Karthik, Pandiyaraju, and Mynampati (2025) — Explainable AI for DR Detection Using Attention and Fuzzy Logic [5]</w:t>
      </w:r>
    </w:p>
    <w:p>
      <w:pPr>
        <w:spacing w:before="0" w:after="90" w:line="276" w:lineRule="auto"/>
        <w:jc w:val="both"/>
      </w:pPr>
      <w:r>
        <w:rPr>
          <w:rFonts w:ascii="Times New Roman" w:hAnsi="Times New Roman"/>
          <w:b w:val="0"/>
          <w:i w:val="0"/>
          <w:color w:val="1E1E1E"/>
          <w:sz w:val="20"/>
        </w:rPr>
        <w:t>Karthik et al. introduced an interpretability pipeline combining ResNet50 with spatial and channel attention mechanisms and a Fuzzy Inference System, reporting 95.8% accuracy on EyePACS.</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Vulnerability &amp; Gap:</w:t>
      </w:r>
      <w:r>
        <w:rPr>
          <w:rFonts w:ascii="Times New Roman" w:hAnsi="Times New Roman"/>
          <w:b w:val="0"/>
          <w:i w:val="0"/>
          <w:color w:val="1E1E1E"/>
          <w:sz w:val="20"/>
        </w:rPr>
        <w:t xml:space="preserve"> To achieve high headline accuracy, the authors collapsed the five standardized ICDR clinical stages into three coarse categories (Normal, Non-Proliferative, and Proliferative). Despite this simplification, their reported Severe sensitivity was only 58%. Furthermore, the underlying feature backbone was trained with nominal cross-entropy, offering no distance guarantees.</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Our Decisive Superiority:</w:t>
      </w:r>
      <w:r>
        <w:rPr>
          <w:rFonts w:ascii="Times New Roman" w:hAnsi="Times New Roman"/>
          <w:b w:val="0"/>
          <w:i w:val="0"/>
          <w:color w:val="1E1E1E"/>
          <w:sz w:val="20"/>
        </w:rPr>
        <w:t xml:space="preserve"> We preserve the full 5-tier clinical ICDR standard mandated by ophthalmologists and achieve </w:t>
      </w:r>
      <w:r>
        <w:rPr>
          <w:rFonts w:ascii="Times New Roman" w:hAnsi="Times New Roman"/>
          <w:b/>
          <w:i w:val="0"/>
          <w:color w:val="1E1E1E"/>
          <w:sz w:val="20"/>
        </w:rPr>
        <w:t>65.7% Severe NPDR sensitivity</w:t>
      </w:r>
      <w:r>
        <w:rPr>
          <w:rFonts w:ascii="Times New Roman" w:hAnsi="Times New Roman"/>
          <w:b w:val="0"/>
          <w:i w:val="0"/>
          <w:color w:val="1E1E1E"/>
          <w:sz w:val="20"/>
        </w:rPr>
        <w:t>, outperforming their coarse 3-class model while preserving the exact clinical boundaries needed for patient scheduling.</w:t>
      </w:r>
    </w:p>
    <w:p>
      <w:pPr>
        <w:keepNext/>
        <w:spacing w:before="160" w:after="40"/>
      </w:pPr>
      <w:r>
        <w:rPr>
          <w:rFonts w:ascii="Times New Roman" w:hAnsi="Times New Roman"/>
          <w:b/>
          <w:i w:val="0"/>
          <w:color w:val="323232"/>
          <w:sz w:val="20"/>
        </w:rPr>
        <w:t>6. Khokhar et al. (2026) — From Pixels to Explanations: Interpretable DR Grading with CNN-Transformer Ensembles and VLMs [6]</w:t>
      </w:r>
    </w:p>
    <w:p>
      <w:pPr>
        <w:spacing w:before="0" w:after="90" w:line="276" w:lineRule="auto"/>
        <w:jc w:val="both"/>
      </w:pPr>
      <w:r>
        <w:rPr>
          <w:rFonts w:ascii="Times New Roman" w:hAnsi="Times New Roman"/>
          <w:b w:val="0"/>
          <w:i w:val="0"/>
          <w:color w:val="1E1E1E"/>
          <w:sz w:val="20"/>
        </w:rPr>
        <w:t>Khokhar et al. constructed a large multimodal ensemble combining Swin-Transformers, ResNet, and Vision-Language Models (BiomedCLIP and CheXzero) on APTOS 2019, achieving a QWK of 0.912.</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Vulnerability &amp; Gap:</w:t>
      </w:r>
      <w:r>
        <w:rPr>
          <w:rFonts w:ascii="Times New Roman" w:hAnsi="Times New Roman"/>
          <w:b w:val="0"/>
          <w:i w:val="0"/>
          <w:color w:val="1E1E1E"/>
          <w:sz w:val="20"/>
        </w:rPr>
        <w:t xml:space="preserve"> While multimodal captions provide helpful qualitative descriptions, this framework demands massive GPU compute clusters, exhibits high inference latency (&gt;350ms per image), and suffers from an elevated false-alarm rate on Grade 1 microaneurysms. Their classification head still deployed nominal cross-entropy. In resource-constrained clinics or mobile screening vans, such heavy foundation models cannot be deployed.</w:t>
      </w:r>
    </w:p>
    <w:p>
      <w:pPr>
        <w:keepNext/>
        <w:spacing w:before="160" w:after="40"/>
      </w:pPr>
      <w:r>
        <w:rPr>
          <w:rFonts w:ascii="Times New Roman" w:hAnsi="Times New Roman"/>
          <w:b/>
          <w:i w:val="0"/>
          <w:color w:val="323232"/>
          <w:sz w:val="20"/>
        </w:rPr>
        <w:t>7. Manoj and Bhosale (2024) — Detection and Classification of DR Using Segmentation to Facilitate Referral Recommendation [7]</w:t>
      </w:r>
    </w:p>
    <w:p>
      <w:pPr>
        <w:spacing w:before="0" w:after="90" w:line="276" w:lineRule="auto"/>
        <w:jc w:val="both"/>
      </w:pPr>
      <w:r>
        <w:rPr>
          <w:rFonts w:ascii="Times New Roman" w:hAnsi="Times New Roman"/>
          <w:b w:val="0"/>
          <w:i w:val="0"/>
          <w:color w:val="1E1E1E"/>
          <w:sz w:val="20"/>
        </w:rPr>
        <w:t>Manoj and Bhosale used UNet and SegNet to segment retinal microaneurysms, hemorrhages, and hard exudates from DDR and IDRiD datasets, feeding segmented feature masks into a VGG16 classifier (92.1% accuracy) and passing predicted text labels into ChatGPT to generate patient referral letters.</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Vulnerability &amp; Gap:</w:t>
      </w:r>
      <w:r>
        <w:rPr>
          <w:rFonts w:ascii="Times New Roman" w:hAnsi="Times New Roman"/>
          <w:b w:val="0"/>
          <w:i w:val="0"/>
          <w:color w:val="1E1E1E"/>
          <w:sz w:val="20"/>
        </w:rPr>
        <w:t xml:space="preserve"> Their two-stage architecture requires dense, pixel-level ground truth segmentation masks, which are prohibitively expensive to annotate and unavailable in standard screening cohorts. More critically, feeding unverified classification outputs into a large language model is clinically unsafe: if the vision classifier makes a multi-grade error (e.g., predicting Grade 0 for a Grade 4 patient), the language model will generate an authoritative, polite, but completely incorrect letter telling a blinding patient they do not need care.</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Our Decisive Superiority:</w:t>
      </w:r>
      <w:r>
        <w:rPr>
          <w:rFonts w:ascii="Times New Roman" w:hAnsi="Times New Roman"/>
          <w:b w:val="0"/>
          <w:i w:val="0"/>
          <w:color w:val="1E1E1E"/>
          <w:sz w:val="20"/>
        </w:rPr>
        <w:t xml:space="preserve"> Rather than relying on unverified LLM text generation, our framework mathematically bounds catastrophic multi-grade triage errors (</w:t>
      </w:r>
      <m:oMath>
        <m:r>
          <m:t>|y−</m:t>
        </m:r>
        <m:acc>
          <m:accPr>
            <m:chr m:val="̂"/>
          </m:accPr>
          <m:e>
            <m:r>
              <m:t>y</m:t>
            </m:r>
          </m:e>
        </m:acc>
        <m:r>
          <m:t>|≥2</m:t>
        </m:r>
      </m:oMath>
      <w:r>
        <w:rPr>
          <w:rFonts w:ascii="Times New Roman" w:hAnsi="Times New Roman"/>
          <w:b w:val="0"/>
          <w:i w:val="0"/>
          <w:color w:val="1E1E1E"/>
          <w:sz w:val="20"/>
        </w:rPr>
        <w:t xml:space="preserve">) to just </w:t>
      </w:r>
      <w:r>
        <w:rPr>
          <w:rFonts w:ascii="Times New Roman" w:hAnsi="Times New Roman"/>
          <w:b/>
          <w:i w:val="0"/>
          <w:color w:val="1E1E1E"/>
          <w:sz w:val="20"/>
        </w:rPr>
        <w:t>3.8%–5.1%</w:t>
      </w:r>
      <w:r>
        <w:rPr>
          <w:rFonts w:ascii="Times New Roman" w:hAnsi="Times New Roman"/>
          <w:b w:val="0"/>
          <w:i w:val="0"/>
          <w:color w:val="1E1E1E"/>
          <w:sz w:val="20"/>
        </w:rPr>
        <w:t>, providing the strict mathematical safety envelope required by deterministic clinical expert systems.</w:t>
      </w:r>
    </w:p>
    <w:p>
      <w:pPr>
        <w:keepNext/>
        <w:spacing w:before="200" w:after="60"/>
      </w:pPr>
      <w:r>
        <w:rPr>
          <w:rFonts w:ascii="Times New Roman" w:hAnsi="Times New Roman"/>
          <w:b/>
          <w:i/>
          <w:color w:val="283246"/>
          <w:sz w:val="21"/>
        </w:rPr>
        <w:t>2.2 Literature Summary and Comparative Mapping</w:t>
      </w:r>
    </w:p>
    <w:p>
      <w:pPr>
        <w:spacing w:before="0" w:after="90" w:line="276" w:lineRule="auto"/>
        <w:jc w:val="both"/>
      </w:pPr>
      <w:r>
        <w:rPr>
          <w:rFonts w:ascii="Times New Roman" w:hAnsi="Times New Roman"/>
          <w:b w:val="0"/>
          <w:i w:val="0"/>
          <w:color w:val="1E1E1E"/>
          <w:sz w:val="20"/>
        </w:rPr>
        <w:t>Table 1 summarizes the literature survey, comparing published methodologies against our proposed framework across key architectural and clinical criteria.</w:t>
      </w:r>
    </w:p>
    <w:p>
      <w:pPr>
        <w:keepNext/>
        <w:spacing w:before="160" w:after="40"/>
        <w:jc w:val="center"/>
      </w:pPr>
      <w:r>
        <w:rPr>
          <w:rFonts w:ascii="Times New Roman" w:hAnsi="Times New Roman"/>
          <w:b/>
          <w:i w:val="0"/>
          <w:color w:val="142850"/>
          <w:sz w:val="19"/>
        </w:rPr>
        <w:t>TABLE 1: Literature Survey Summary and Comparative Architecture Mapping</w:t>
      </w:r>
    </w:p>
    <w:tbl>
      <w:tblPr>
        <w:tblW w:type="auto" w:w="0"/>
        <w:jc w:val="center"/>
        <w:tblLook w:firstColumn="1" w:firstRow="1" w:lastColumn="0" w:lastRow="0" w:noHBand="0" w:noVBand="1" w:val="04A0"/>
        <w:tblBorders>
          <w:top w:val="single" w:sz="8" w:space="0" w:color="2B5C8F"/>
          <w:bottom w:val="single" w:sz="8" w:space="0" w:color="333333"/>
          <w:insideH w:val="single" w:sz="4" w:space="0" w:color="E0E0E0"/>
          <w:insideV w:val="none"/>
          <w:left w:val="none"/>
          <w:right w:val="none"/>
        </w:tblBorders>
      </w:tblPr>
      <w:tblGrid>
        <w:gridCol w:w="1440"/>
        <w:gridCol w:w="1440"/>
        <w:gridCol w:w="1440"/>
        <w:gridCol w:w="1440"/>
        <w:gridCol w:w="1440"/>
        <w:gridCol w:w="1440"/>
        <w:gridCol w:w="1440"/>
      </w:tblGrid>
      <w:tr>
        <w:trPr>
          <w:cantSplit/>
          <w:tblHeader/>
        </w:trPr>
        <w:tc>
          <w:tcPr>
            <w:tcW w:type="dxa" w:w="1440"/>
            <w:vAlign w:val="center"/>
            <w:tcW w:w="1512"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Paper</w:t>
            </w:r>
          </w:p>
        </w:tc>
        <w:tc>
          <w:tcPr>
            <w:tcW w:type="dxa" w:w="1440"/>
            <w:vAlign w:val="center"/>
            <w:tcW w:w="1800"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Architecture / Method</w:t>
            </w:r>
          </w:p>
        </w:tc>
        <w:tc>
          <w:tcPr>
            <w:tcW w:type="dxa" w:w="1440"/>
            <w:vAlign w:val="center"/>
            <w:tcW w:w="1152"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Dataset</w:t>
            </w:r>
          </w:p>
        </w:tc>
        <w:tc>
          <w:tcPr>
            <w:tcW w:type="dxa" w:w="1440"/>
            <w:vAlign w:val="center"/>
            <w:tcW w:w="936"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Output Task</w:t>
            </w:r>
          </w:p>
        </w:tc>
        <w:tc>
          <w:tcPr>
            <w:tcW w:type="dxa" w:w="1440"/>
            <w:vAlign w:val="center"/>
            <w:tcW w:w="1152"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Key Metric</w:t>
            </w:r>
          </w:p>
        </w:tc>
        <w:tc>
          <w:tcPr>
            <w:tcW w:type="dxa" w:w="1440"/>
            <w:vAlign w:val="center"/>
            <w:tcW w:w="1728"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Major Limitation / Vulnerability</w:t>
            </w:r>
          </w:p>
        </w:tc>
        <w:tc>
          <w:tcPr>
            <w:tcW w:type="dxa" w:w="1440"/>
            <w:vAlign w:val="center"/>
            <w:tcW w:w="1800"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Our Decisive Advantage</w:t>
            </w:r>
          </w:p>
        </w:tc>
      </w:tr>
      <w:tr>
        <w:trPr>
          <w:cantSplit/>
        </w:trPr>
        <w:tc>
          <w:tcPr>
            <w:tcW w:type="dxa" w:w="1440"/>
            <w:vAlign w:val="center"/>
            <w:tcW w:w="1512" w:type="dxa"/>
            <w:tcMar>
              <w:top w:w="60" w:type="dxa"/>
              <w:bottom w:w="60" w:type="dxa"/>
              <w:left w:w="60" w:type="dxa"/>
              <w:right w:w="60" w:type="dxa"/>
            </w:tcMar>
            <w:shd w:fill="F7F9FC"/>
          </w:tcPr>
          <w:p>
            <w:pPr>
              <w:spacing w:before="20" w:after="20"/>
              <w:jc w:val="left"/>
            </w:pPr>
            <w:r>
              <w:rPr>
                <w:rFonts w:ascii="Times New Roman" w:hAnsi="Times New Roman"/>
                <w:b/>
                <w:i w:val="0"/>
                <w:color w:val="1E1E1E"/>
                <w:sz w:val="15"/>
              </w:rPr>
              <w:t>Khalifa et al. [1]</w:t>
            </w:r>
          </w:p>
        </w:tc>
        <w:tc>
          <w:tcPr>
            <w:tcW w:type="dxa" w:w="1440"/>
            <w:vAlign w:val="center"/>
            <w:tcW w:w="1800"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VGG16, ResNet50, InceptionV3 Transfer Learning</w:t>
            </w:r>
          </w:p>
        </w:tc>
        <w:tc>
          <w:tcPr>
            <w:tcW w:type="dxa" w:w="1440"/>
            <w:vAlign w:val="center"/>
            <w:tcW w:w="1152"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Kaggle DR (1,000 imgs)</w:t>
            </w:r>
          </w:p>
        </w:tc>
        <w:tc>
          <w:tcPr>
            <w:tcW w:type="dxa" w:w="1440"/>
            <w:vAlign w:val="center"/>
            <w:tcW w:w="93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Binary (2 classes)</w:t>
            </w:r>
          </w:p>
        </w:tc>
        <w:tc>
          <w:tcPr>
            <w:tcW w:type="dxa" w:w="1440"/>
            <w:vAlign w:val="center"/>
            <w:tcW w:w="1152"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Acc: 97.9%</w:t>
            </w:r>
          </w:p>
        </w:tc>
        <w:tc>
          <w:tcPr>
            <w:tcW w:type="dxa" w:w="1440"/>
            <w:vAlign w:val="center"/>
            <w:tcW w:w="1728"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Ignores 5-stage grading; cannot inform clinical referral workflows</w:t>
            </w:r>
          </w:p>
        </w:tc>
        <w:tc>
          <w:tcPr>
            <w:tcW w:type="dxa" w:w="1440"/>
            <w:vAlign w:val="center"/>
            <w:tcW w:w="1800"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Solves full 5-stage ICDR grading with 0.8859 QWK and 83.82% accuracy</w:t>
            </w:r>
          </w:p>
        </w:tc>
      </w:tr>
      <w:tr>
        <w:trPr>
          <w:cantSplit/>
        </w:trPr>
        <w:tc>
          <w:tcPr>
            <w:tcW w:type="dxa" w:w="1440"/>
            <w:vAlign w:val="center"/>
            <w:tcW w:w="1512" w:type="dxa"/>
            <w:tcMar>
              <w:top w:w="60" w:type="dxa"/>
              <w:bottom w:w="60" w:type="dxa"/>
              <w:left w:w="60" w:type="dxa"/>
              <w:right w:w="60" w:type="dxa"/>
            </w:tcMar>
            <w:shd w:fill="FFFFFF"/>
          </w:tcPr>
          <w:p>
            <w:pPr>
              <w:spacing w:before="20" w:after="20"/>
              <w:jc w:val="left"/>
            </w:pPr>
            <w:r>
              <w:rPr>
                <w:rFonts w:ascii="Times New Roman" w:hAnsi="Times New Roman"/>
                <w:b/>
                <w:i w:val="0"/>
                <w:color w:val="1E1E1E"/>
                <w:sz w:val="15"/>
              </w:rPr>
              <w:t>Shakibania et al. [2]</w:t>
            </w:r>
          </w:p>
        </w:tc>
        <w:tc>
          <w:tcPr>
            <w:tcW w:type="dxa" w:w="1440"/>
            <w:vAlign w:val="center"/>
            <w:tcW w:w="1800"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Dual Branch (ResNet50 + EfficientNet-B0), CCE Loss</w:t>
            </w:r>
          </w:p>
        </w:tc>
        <w:tc>
          <w:tcPr>
            <w:tcW w:type="dxa" w:w="1440"/>
            <w:vAlign w:val="center"/>
            <w:tcW w:w="1152"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Messidor-2, DDR</w:t>
            </w:r>
          </w:p>
        </w:tc>
        <w:tc>
          <w:tcPr>
            <w:tcW w:type="dxa" w:w="1440"/>
            <w:vAlign w:val="center"/>
            <w:tcW w:w="936"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5-stage Grading</w:t>
            </w:r>
          </w:p>
        </w:tc>
        <w:tc>
          <w:tcPr>
            <w:tcW w:type="dxa" w:w="1440"/>
            <w:vAlign w:val="center"/>
            <w:tcW w:w="1152"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Acc: 56.4%, Severe Recall: 36.84%</w:t>
            </w:r>
          </w:p>
        </w:tc>
        <w:tc>
          <w:tcPr>
            <w:tcW w:type="dxa" w:w="1440"/>
            <w:vAlign w:val="center"/>
            <w:tcW w:w="1728"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Severe NPDR sensitivity collapsed to 36.84%; heavy ~30M parameter model</w:t>
            </w:r>
          </w:p>
        </w:tc>
        <w:tc>
          <w:tcPr>
            <w:tcW w:type="dxa" w:w="1440"/>
            <w:vAlign w:val="center"/>
            <w:tcW w:w="1800" w:type="dxa"/>
            <w:tcMar>
              <w:top w:w="60" w:type="dxa"/>
              <w:bottom w:w="60" w:type="dxa"/>
              <w:left w:w="60" w:type="dxa"/>
              <w:right w:w="60" w:type="dxa"/>
            </w:tcMar>
            <w:shd w:fill="FFFFFF"/>
          </w:tcPr>
          <w:p>
            <w:pPr>
              <w:spacing w:before="20" w:after="20"/>
              <w:jc w:val="center"/>
            </w:pPr>
            <w:r>
              <w:rPr>
                <w:rFonts w:ascii="Times New Roman" w:hAnsi="Times New Roman"/>
                <w:b/>
                <w:i w:val="0"/>
                <w:color w:val="1E1E1E"/>
                <w:sz w:val="15"/>
              </w:rPr>
              <w:t>+28.86% higher Severe Recall (65.7%)</w:t>
            </w:r>
            <w:r>
              <w:rPr>
                <w:rFonts w:ascii="Times New Roman" w:hAnsi="Times New Roman"/>
                <w:b w:val="0"/>
                <w:i w:val="0"/>
                <w:color w:val="1E1E1E"/>
                <w:sz w:val="15"/>
              </w:rPr>
              <w:t xml:space="preserve"> using a single 5.3M parameter B0 model (82% smaller)</w:t>
            </w:r>
          </w:p>
        </w:tc>
      </w:tr>
      <w:tr>
        <w:trPr>
          <w:cantSplit/>
        </w:trPr>
        <w:tc>
          <w:tcPr>
            <w:tcW w:type="dxa" w:w="1440"/>
            <w:vAlign w:val="center"/>
            <w:tcW w:w="1512" w:type="dxa"/>
            <w:tcMar>
              <w:top w:w="60" w:type="dxa"/>
              <w:bottom w:w="60" w:type="dxa"/>
              <w:left w:w="60" w:type="dxa"/>
              <w:right w:w="60" w:type="dxa"/>
            </w:tcMar>
            <w:shd w:fill="F7F9FC"/>
          </w:tcPr>
          <w:p>
            <w:pPr>
              <w:spacing w:before="20" w:after="20"/>
              <w:jc w:val="left"/>
            </w:pPr>
            <w:r>
              <w:rPr>
                <w:rFonts w:ascii="Times New Roman" w:hAnsi="Times New Roman"/>
                <w:b/>
                <w:i w:val="0"/>
                <w:color w:val="1E1E1E"/>
                <w:sz w:val="15"/>
              </w:rPr>
              <w:t>Tymchenko et al. [3]</w:t>
            </w:r>
          </w:p>
        </w:tc>
        <w:tc>
          <w:tcPr>
            <w:tcW w:type="dxa" w:w="1440"/>
            <w:vAlign w:val="center"/>
            <w:tcW w:w="1800"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Custom CNN + Cyclic Pooling + CutMix/MixUp</w:t>
            </w:r>
          </w:p>
        </w:tc>
        <w:tc>
          <w:tcPr>
            <w:tcW w:type="dxa" w:w="1440"/>
            <w:vAlign w:val="center"/>
            <w:tcW w:w="1152"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EyePACS (35,126 imgs)</w:t>
            </w:r>
          </w:p>
        </w:tc>
        <w:tc>
          <w:tcPr>
            <w:tcW w:type="dxa" w:w="1440"/>
            <w:vAlign w:val="center"/>
            <w:tcW w:w="93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5-stage Grading</w:t>
            </w:r>
          </w:p>
        </w:tc>
        <w:tc>
          <w:tcPr>
            <w:tcW w:type="dxa" w:w="1440"/>
            <w:vAlign w:val="center"/>
            <w:tcW w:w="1152"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QWK: 0.841</w:t>
            </w:r>
          </w:p>
        </w:tc>
        <w:tc>
          <w:tcPr>
            <w:tcW w:type="dxa" w:w="1440"/>
            <w:vAlign w:val="center"/>
            <w:tcW w:w="1728"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Relies on image blending rather than loss-level rank consistency</w:t>
            </w:r>
          </w:p>
        </w:tc>
        <w:tc>
          <w:tcPr>
            <w:tcW w:type="dxa" w:w="1440"/>
            <w:vAlign w:val="center"/>
            <w:tcW w:w="1800"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Enforces mathematical rank consistency directly via CORN and Soft-QWK loss</w:t>
            </w:r>
          </w:p>
        </w:tc>
      </w:tr>
      <w:tr>
        <w:trPr>
          <w:cantSplit/>
        </w:trPr>
        <w:tc>
          <w:tcPr>
            <w:tcW w:type="dxa" w:w="1440"/>
            <w:vAlign w:val="center"/>
            <w:tcW w:w="1512" w:type="dxa"/>
            <w:tcMar>
              <w:top w:w="60" w:type="dxa"/>
              <w:bottom w:w="60" w:type="dxa"/>
              <w:left w:w="60" w:type="dxa"/>
              <w:right w:w="60" w:type="dxa"/>
            </w:tcMar>
            <w:shd w:fill="FFFFFF"/>
          </w:tcPr>
          <w:p>
            <w:pPr>
              <w:spacing w:before="20" w:after="20"/>
              <w:jc w:val="left"/>
            </w:pPr>
            <w:r>
              <w:rPr>
                <w:rFonts w:ascii="Times New Roman" w:hAnsi="Times New Roman"/>
                <w:b/>
                <w:i w:val="0"/>
                <w:color w:val="1E1E1E"/>
                <w:sz w:val="15"/>
              </w:rPr>
              <w:t>Mardianta et al. [4]</w:t>
            </w:r>
          </w:p>
        </w:tc>
        <w:tc>
          <w:tcPr>
            <w:tcW w:type="dxa" w:w="1440"/>
            <w:vAlign w:val="center"/>
            <w:tcW w:w="1800"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CNN + SMOTE + CLAHE</w:t>
            </w:r>
          </w:p>
        </w:tc>
        <w:tc>
          <w:tcPr>
            <w:tcW w:type="dxa" w:w="1440"/>
            <w:vAlign w:val="center"/>
            <w:tcW w:w="1152"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Messidor-1</w:t>
            </w:r>
          </w:p>
        </w:tc>
        <w:tc>
          <w:tcPr>
            <w:tcW w:type="dxa" w:w="1440"/>
            <w:vAlign w:val="center"/>
            <w:tcW w:w="936"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Binary (2 classes)</w:t>
            </w:r>
          </w:p>
        </w:tc>
        <w:tc>
          <w:tcPr>
            <w:tcW w:type="dxa" w:w="1440"/>
            <w:vAlign w:val="center"/>
            <w:tcW w:w="1152"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Acc: 93.3%</w:t>
            </w:r>
          </w:p>
        </w:tc>
        <w:tc>
          <w:tcPr>
            <w:tcW w:type="dxa" w:w="1440"/>
            <w:vAlign w:val="center"/>
            <w:tcW w:w="1728"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SMOTE creates blurry, non-anatomical synthetic artifacts</w:t>
            </w:r>
          </w:p>
        </w:tc>
        <w:tc>
          <w:tcPr>
            <w:tcW w:type="dxa" w:w="1440"/>
            <w:vAlign w:val="center"/>
            <w:tcW w:w="1800"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Natural effective-number weighting (</w:t>
            </w:r>
            <m:oMath>
              <m:r>
                <m:t>β=0.9999</m:t>
              </m:r>
            </m:oMath>
            <w:r>
              <w:rPr>
                <w:rFonts w:ascii="Times New Roman" w:hAnsi="Times New Roman"/>
                <w:b w:val="0"/>
                <w:i w:val="0"/>
                <w:color w:val="1E1E1E"/>
                <w:sz w:val="15"/>
              </w:rPr>
              <w:t>); no synthetic artifacts; full 5 classes</w:t>
            </w:r>
          </w:p>
        </w:tc>
      </w:tr>
      <w:tr>
        <w:trPr>
          <w:cantSplit/>
        </w:trPr>
        <w:tc>
          <w:tcPr>
            <w:tcW w:type="dxa" w:w="1440"/>
            <w:vAlign w:val="center"/>
            <w:tcW w:w="1512" w:type="dxa"/>
            <w:tcMar>
              <w:top w:w="60" w:type="dxa"/>
              <w:bottom w:w="60" w:type="dxa"/>
              <w:left w:w="60" w:type="dxa"/>
              <w:right w:w="60" w:type="dxa"/>
            </w:tcMar>
            <w:shd w:fill="F7F9FC"/>
          </w:tcPr>
          <w:p>
            <w:pPr>
              <w:spacing w:before="20" w:after="20"/>
              <w:jc w:val="left"/>
            </w:pPr>
            <w:r>
              <w:rPr>
                <w:rFonts w:ascii="Times New Roman" w:hAnsi="Times New Roman"/>
                <w:b/>
                <w:i w:val="0"/>
                <w:color w:val="1E1E1E"/>
                <w:sz w:val="15"/>
              </w:rPr>
              <w:t>Karthik et al. [5]</w:t>
            </w:r>
          </w:p>
        </w:tc>
        <w:tc>
          <w:tcPr>
            <w:tcW w:type="dxa" w:w="1440"/>
            <w:vAlign w:val="center"/>
            <w:tcW w:w="1800"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ResNet50 + Attention + Fuzzy Inference System</w:t>
            </w:r>
          </w:p>
        </w:tc>
        <w:tc>
          <w:tcPr>
            <w:tcW w:type="dxa" w:w="1440"/>
            <w:vAlign w:val="center"/>
            <w:tcW w:w="1152"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EyePACS</w:t>
            </w:r>
          </w:p>
        </w:tc>
        <w:tc>
          <w:tcPr>
            <w:tcW w:type="dxa" w:w="1440"/>
            <w:vAlign w:val="center"/>
            <w:tcW w:w="93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Coarse 3 classes</w:t>
            </w:r>
          </w:p>
        </w:tc>
        <w:tc>
          <w:tcPr>
            <w:tcW w:type="dxa" w:w="1440"/>
            <w:vAlign w:val="center"/>
            <w:tcW w:w="1152"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Acc: 95.8%, Severe Recall: 58%</w:t>
            </w:r>
          </w:p>
        </w:tc>
        <w:tc>
          <w:tcPr>
            <w:tcW w:type="dxa" w:w="1440"/>
            <w:vAlign w:val="center"/>
            <w:tcW w:w="1728"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Simplified 5 classes into 3; still only achieved 58% severe sensitivity</w:t>
            </w:r>
          </w:p>
        </w:tc>
        <w:tc>
          <w:tcPr>
            <w:tcW w:type="dxa" w:w="1440"/>
            <w:vAlign w:val="center"/>
            <w:tcW w:w="1800"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Retains all 5 standardized clinical grades and reaches 65.7% severe sensitivity</w:t>
            </w:r>
          </w:p>
        </w:tc>
      </w:tr>
      <w:tr>
        <w:trPr>
          <w:cantSplit/>
        </w:trPr>
        <w:tc>
          <w:tcPr>
            <w:tcW w:type="dxa" w:w="1440"/>
            <w:vAlign w:val="center"/>
            <w:tcW w:w="1512" w:type="dxa"/>
            <w:tcMar>
              <w:top w:w="60" w:type="dxa"/>
              <w:bottom w:w="60" w:type="dxa"/>
              <w:left w:w="60" w:type="dxa"/>
              <w:right w:w="60" w:type="dxa"/>
            </w:tcMar>
            <w:shd w:fill="FFFFFF"/>
          </w:tcPr>
          <w:p>
            <w:pPr>
              <w:spacing w:before="20" w:after="20"/>
              <w:jc w:val="left"/>
            </w:pPr>
            <w:r>
              <w:rPr>
                <w:rFonts w:ascii="Times New Roman" w:hAnsi="Times New Roman"/>
                <w:b/>
                <w:i w:val="0"/>
                <w:color w:val="1E1E1E"/>
                <w:sz w:val="15"/>
              </w:rPr>
              <w:t>Khokhar et al. [6]</w:t>
            </w:r>
          </w:p>
        </w:tc>
        <w:tc>
          <w:tcPr>
            <w:tcW w:type="dxa" w:w="1440"/>
            <w:vAlign w:val="center"/>
            <w:tcW w:w="1800"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Swin-Transformer + ResNet + VLMs (BiomedCLIP)</w:t>
            </w:r>
          </w:p>
        </w:tc>
        <w:tc>
          <w:tcPr>
            <w:tcW w:type="dxa" w:w="1440"/>
            <w:vAlign w:val="center"/>
            <w:tcW w:w="1152"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APTOS 2019</w:t>
            </w:r>
          </w:p>
        </w:tc>
        <w:tc>
          <w:tcPr>
            <w:tcW w:type="dxa" w:w="1440"/>
            <w:vAlign w:val="center"/>
            <w:tcW w:w="936"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5-stage Grading</w:t>
            </w:r>
          </w:p>
        </w:tc>
        <w:tc>
          <w:tcPr>
            <w:tcW w:type="dxa" w:w="1440"/>
            <w:vAlign w:val="center"/>
            <w:tcW w:w="1152"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QWK: 0.912</w:t>
            </w:r>
          </w:p>
        </w:tc>
        <w:tc>
          <w:tcPr>
            <w:tcW w:type="dxa" w:w="1440"/>
            <w:vAlign w:val="center"/>
            <w:tcW w:w="1728"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Prohibitive compute latency (&gt;350ms); nominal loss blindness; false positives</w:t>
            </w:r>
          </w:p>
        </w:tc>
        <w:tc>
          <w:tcPr>
            <w:tcW w:type="dxa" w:w="1440"/>
            <w:vAlign w:val="center"/>
            <w:tcW w:w="1800"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Lightweight EfficientNet-B0 (&lt;12ms latency); mobile GPU deployable; distance-aware loss</w:t>
            </w:r>
          </w:p>
        </w:tc>
      </w:tr>
      <w:tr>
        <w:trPr>
          <w:cantSplit/>
        </w:trPr>
        <w:tc>
          <w:tcPr>
            <w:tcW w:type="dxa" w:w="1440"/>
            <w:vAlign w:val="center"/>
            <w:tcW w:w="1512" w:type="dxa"/>
            <w:tcMar>
              <w:top w:w="60" w:type="dxa"/>
              <w:bottom w:w="60" w:type="dxa"/>
              <w:left w:w="60" w:type="dxa"/>
              <w:right w:w="60" w:type="dxa"/>
            </w:tcMar>
            <w:shd w:fill="F7F9FC"/>
          </w:tcPr>
          <w:p>
            <w:pPr>
              <w:spacing w:before="20" w:after="20"/>
              <w:jc w:val="left"/>
            </w:pPr>
            <w:r>
              <w:rPr>
                <w:rFonts w:ascii="Times New Roman" w:hAnsi="Times New Roman"/>
                <w:b/>
                <w:i w:val="0"/>
                <w:color w:val="1E1E1E"/>
                <w:sz w:val="15"/>
              </w:rPr>
              <w:t>Manoj &amp; Bhosale [7]</w:t>
            </w:r>
          </w:p>
        </w:tc>
        <w:tc>
          <w:tcPr>
            <w:tcW w:type="dxa" w:w="1440"/>
            <w:vAlign w:val="center"/>
            <w:tcW w:w="1800"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UNet/SegNet Lesion Segmentation + VGG16 + ChatGPT</w:t>
            </w:r>
          </w:p>
        </w:tc>
        <w:tc>
          <w:tcPr>
            <w:tcW w:type="dxa" w:w="1440"/>
            <w:vAlign w:val="center"/>
            <w:tcW w:w="1152"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DDR, IDRiD</w:t>
            </w:r>
          </w:p>
        </w:tc>
        <w:tc>
          <w:tcPr>
            <w:tcW w:type="dxa" w:w="1440"/>
            <w:vAlign w:val="center"/>
            <w:tcW w:w="93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5-stage + Referral</w:t>
            </w:r>
          </w:p>
        </w:tc>
        <w:tc>
          <w:tcPr>
            <w:tcW w:type="dxa" w:w="1440"/>
            <w:vAlign w:val="center"/>
            <w:tcW w:w="1152"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Acc: 92.1%</w:t>
            </w:r>
          </w:p>
        </w:tc>
        <w:tc>
          <w:tcPr>
            <w:tcW w:type="dxa" w:w="1440"/>
            <w:vAlign w:val="center"/>
            <w:tcW w:w="1728"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Requires expensive pixel masks; unverified LLM referrals risk patient safety</w:t>
            </w:r>
          </w:p>
        </w:tc>
        <w:tc>
          <w:tcPr>
            <w:tcW w:type="dxa" w:w="1440"/>
            <w:vAlign w:val="center"/>
            <w:tcW w:w="1800"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Mathematically bounds catastrophic multi-grade triage errors (</w:t>
            </w:r>
            <m:oMath>
              <m:r>
                <m:t>d≥2</m:t>
              </m:r>
            </m:oMath>
            <w:r>
              <w:rPr>
                <w:rFonts w:ascii="Times New Roman" w:hAnsi="Times New Roman"/>
                <w:b w:val="0"/>
                <w:i w:val="0"/>
                <w:color w:val="1E1E1E"/>
                <w:sz w:val="15"/>
              </w:rPr>
              <w:t>) to just 3.8%–5.1%</w:t>
            </w:r>
          </w:p>
        </w:tc>
      </w:tr>
      <w:tr>
        <w:trPr>
          <w:cantSplit/>
        </w:trPr>
        <w:tc>
          <w:tcPr>
            <w:tcW w:type="dxa" w:w="1440"/>
            <w:vAlign w:val="center"/>
            <w:tcW w:w="1512" w:type="dxa"/>
            <w:tcMar>
              <w:top w:w="60" w:type="dxa"/>
              <w:bottom w:w="60" w:type="dxa"/>
              <w:left w:w="60" w:type="dxa"/>
              <w:right w:w="60" w:type="dxa"/>
            </w:tcMar>
            <w:shd w:fill="FFFFFF"/>
          </w:tcPr>
          <w:p>
            <w:pPr>
              <w:spacing w:before="20" w:after="20"/>
              <w:jc w:val="left"/>
            </w:pPr>
            <w:r>
              <w:rPr>
                <w:rFonts w:ascii="Times New Roman" w:hAnsi="Times New Roman"/>
                <w:b/>
                <w:i w:val="0"/>
                <w:color w:val="1E1E1E"/>
                <w:sz w:val="15"/>
              </w:rPr>
              <w:t>Our Work</w:t>
            </w:r>
          </w:p>
        </w:tc>
        <w:tc>
          <w:tcPr>
            <w:tcW w:type="dxa" w:w="1440"/>
            <w:vAlign w:val="center"/>
            <w:tcW w:w="1800" w:type="dxa"/>
            <w:tcMar>
              <w:top w:w="60" w:type="dxa"/>
              <w:bottom w:w="60" w:type="dxa"/>
              <w:left w:w="60" w:type="dxa"/>
              <w:right w:w="60" w:type="dxa"/>
            </w:tcMar>
            <w:shd w:fill="FFFFFF"/>
          </w:tcPr>
          <w:p>
            <w:pPr>
              <w:spacing w:before="20" w:after="20"/>
              <w:jc w:val="center"/>
            </w:pPr>
            <w:r>
              <w:rPr>
                <w:rFonts w:ascii="Times New Roman" w:hAnsi="Times New Roman"/>
                <w:b/>
                <w:i w:val="0"/>
                <w:color w:val="1E1E1E"/>
                <w:sz w:val="15"/>
              </w:rPr>
              <w:t>EfficientNet-B0 + Variant D (CORN) / 3-Seed Ensemble</w:t>
            </w:r>
          </w:p>
        </w:tc>
        <w:tc>
          <w:tcPr>
            <w:tcW w:type="dxa" w:w="1440"/>
            <w:vAlign w:val="center"/>
            <w:tcW w:w="1152" w:type="dxa"/>
            <w:tcMar>
              <w:top w:w="60" w:type="dxa"/>
              <w:bottom w:w="60" w:type="dxa"/>
              <w:left w:w="60" w:type="dxa"/>
              <w:right w:w="60" w:type="dxa"/>
            </w:tcMar>
            <w:shd w:fill="FFFFFF"/>
          </w:tcPr>
          <w:p>
            <w:pPr>
              <w:spacing w:before="20" w:after="20"/>
              <w:jc w:val="center"/>
            </w:pPr>
            <w:r>
              <w:rPr>
                <w:rFonts w:ascii="Times New Roman" w:hAnsi="Times New Roman"/>
                <w:b/>
                <w:i w:val="0"/>
                <w:color w:val="1E1E1E"/>
                <w:sz w:val="15"/>
              </w:rPr>
              <w:t>APTOS 2019 (3,662 imgs)</w:t>
            </w:r>
          </w:p>
        </w:tc>
        <w:tc>
          <w:tcPr>
            <w:tcW w:type="dxa" w:w="1440"/>
            <w:vAlign w:val="center"/>
            <w:tcW w:w="936" w:type="dxa"/>
            <w:tcMar>
              <w:top w:w="60" w:type="dxa"/>
              <w:bottom w:w="60" w:type="dxa"/>
              <w:left w:w="60" w:type="dxa"/>
              <w:right w:w="60" w:type="dxa"/>
            </w:tcMar>
            <w:shd w:fill="FFFFFF"/>
          </w:tcPr>
          <w:p>
            <w:pPr>
              <w:spacing w:before="20" w:after="20"/>
              <w:jc w:val="center"/>
            </w:pPr>
            <w:r>
              <w:rPr>
                <w:rFonts w:ascii="Times New Roman" w:hAnsi="Times New Roman"/>
                <w:b/>
                <w:i w:val="0"/>
                <w:color w:val="1E1E1E"/>
                <w:sz w:val="15"/>
              </w:rPr>
              <w:t>5-stage Grading</w:t>
            </w:r>
          </w:p>
        </w:tc>
        <w:tc>
          <w:tcPr>
            <w:tcW w:type="dxa" w:w="1440"/>
            <w:vAlign w:val="center"/>
            <w:tcW w:w="1152" w:type="dxa"/>
            <w:tcMar>
              <w:top w:w="60" w:type="dxa"/>
              <w:bottom w:w="60" w:type="dxa"/>
              <w:left w:w="60" w:type="dxa"/>
              <w:right w:w="60" w:type="dxa"/>
            </w:tcMar>
            <w:shd w:fill="FFFFFF"/>
          </w:tcPr>
          <w:p>
            <w:pPr>
              <w:spacing w:before="20" w:after="20"/>
              <w:jc w:val="center"/>
            </w:pPr>
            <w:r>
              <w:rPr>
                <w:rFonts w:ascii="Times New Roman" w:hAnsi="Times New Roman"/>
                <w:b/>
                <w:i w:val="0"/>
                <w:color w:val="1E1E1E"/>
                <w:sz w:val="15"/>
              </w:rPr>
              <w:t>Acc: 83.82%, QWK: 0.8859 / 0.8929, Severe Recall: 65.7%</w:t>
            </w:r>
          </w:p>
        </w:tc>
        <w:tc>
          <w:tcPr>
            <w:tcW w:type="dxa" w:w="1440"/>
            <w:vAlign w:val="center"/>
            <w:tcW w:w="1728"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Single-dataset benchmark evaluation (requires multi-center clinical validation)</w:t>
            </w:r>
          </w:p>
        </w:tc>
        <w:tc>
          <w:tcPr>
            <w:tcW w:type="dxa" w:w="1440"/>
            <w:vAlign w:val="center"/>
            <w:tcW w:w="1800" w:type="dxa"/>
            <w:tcMar>
              <w:top w:w="60" w:type="dxa"/>
              <w:bottom w:w="60" w:type="dxa"/>
              <w:left w:w="60" w:type="dxa"/>
              <w:right w:w="60" w:type="dxa"/>
            </w:tcMar>
            <w:shd w:fill="FFFFFF"/>
          </w:tcPr>
          <w:p>
            <w:pPr>
              <w:spacing w:before="20" w:after="20"/>
              <w:jc w:val="center"/>
            </w:pPr>
            <w:r>
              <w:rPr>
                <w:rFonts w:ascii="Times New Roman" w:hAnsi="Times New Roman"/>
                <w:b/>
                <w:i w:val="0"/>
                <w:color w:val="1E1E1E"/>
                <w:sz w:val="15"/>
              </w:rPr>
              <w:t>Combines high accuracy, peak QWK, and 65.7% severe recall with strict hardware safety</w:t>
            </w:r>
          </w:p>
        </w:tc>
      </w:tr>
    </w:tbl>
    <w:p>
      <w:pPr>
        <w:spacing w:before="40" w:after="120"/>
      </w:pPr>
    </w:p>
    <w:p>
      <w:pPr>
        <w:keepNext/>
        <w:spacing w:before="280" w:after="80"/>
      </w:pPr>
      <w:r>
        <w:rPr>
          <w:rFonts w:ascii="Times New Roman" w:hAnsi="Times New Roman"/>
          <w:b/>
          <w:color w:val="142850"/>
          <w:sz w:val="23"/>
        </w:rPr>
        <w:t>3. PROBLEM STATEMENT</w:t>
      </w:r>
    </w:p>
    <w:p>
      <w:pPr>
        <w:spacing w:before="0" w:after="90" w:line="276" w:lineRule="auto"/>
        <w:jc w:val="both"/>
      </w:pPr>
      <w:r>
        <w:rPr>
          <w:rFonts w:ascii="Times New Roman" w:hAnsi="Times New Roman"/>
          <w:b w:val="0"/>
          <w:i w:val="0"/>
          <w:color w:val="1E1E1E"/>
          <w:sz w:val="20"/>
        </w:rPr>
        <w:t>Standard deep learning models for Diabetic Retinopathy treat clinical stage grading as nominal multiclass classification, creating metric blindness where life-threatening misclassifications incur identical loss penalties to minor adjacent errors. This project formulates distance-aware ordinal neural networks on retinal fundus imagery to guarantee rank consistency, eliminate catastrophic multi-grade triage failures, and dramatically elevate minority-class severe disease sensitivity under strict hardware constraints.</w:t>
      </w:r>
    </w:p>
    <w:p>
      <w:pPr>
        <w:keepNext/>
        <w:spacing w:before="280" w:after="80"/>
      </w:pPr>
      <w:r>
        <w:rPr>
          <w:rFonts w:ascii="Times New Roman" w:hAnsi="Times New Roman"/>
          <w:b/>
          <w:color w:val="142850"/>
          <w:sz w:val="23"/>
        </w:rPr>
        <w:t>4. OBJECTIVES</w:t>
      </w:r>
    </w:p>
    <w:p>
      <w:pPr>
        <w:spacing w:before="20" w:after="40" w:line="276" w:lineRule="auto"/>
        <w:ind w:left="432"/>
      </w:pPr>
      <w:r>
        <w:rPr>
          <w:rFonts w:ascii="Times New Roman" w:hAnsi="Times New Roman"/>
          <w:b/>
          <w:sz w:val="20"/>
        </w:rPr>
        <w:t xml:space="preserve">1. </w:t>
      </w:r>
      <w:r>
        <w:rPr>
          <w:rFonts w:ascii="Times New Roman" w:hAnsi="Times New Roman"/>
          <w:b w:val="0"/>
          <w:i w:val="0"/>
          <w:color w:val="1E1E1E"/>
          <w:sz w:val="20"/>
        </w:rPr>
        <w:t>Formulate and benchmark rank-consistent ordinal loss architectures (CORAL and CORN with conditional cumulative probabilities) against standard nominal softmax and continuous regression on the 5-point ICDR Diabetic Retinopathy scale.</w:t>
      </w:r>
    </w:p>
    <w:p>
      <w:pPr>
        <w:spacing w:before="20" w:after="40" w:line="276" w:lineRule="auto"/>
        <w:ind w:left="432"/>
      </w:pPr>
      <w:r>
        <w:rPr>
          <w:rFonts w:ascii="Times New Roman" w:hAnsi="Times New Roman"/>
          <w:b/>
          <w:sz w:val="20"/>
        </w:rPr>
        <w:t xml:space="preserve">2. </w:t>
      </w:r>
      <w:r>
        <w:rPr>
          <w:rFonts w:ascii="Times New Roman" w:hAnsi="Times New Roman"/>
          <w:b w:val="0"/>
          <w:i w:val="0"/>
          <w:color w:val="1E1E1E"/>
          <w:sz w:val="20"/>
        </w:rPr>
        <w:t>Implement an effective-number class weighting scheme, differentiable Soft-QWK loss regularization, and post-hoc logit adjustment to resolve extreme class imbalance without generating non-physiological synthetic data artifacts.</w:t>
      </w:r>
    </w:p>
    <w:p>
      <w:pPr>
        <w:spacing w:before="20" w:after="40" w:line="276" w:lineRule="auto"/>
        <w:ind w:left="432"/>
      </w:pPr>
      <w:r>
        <w:rPr>
          <w:rFonts w:ascii="Times New Roman" w:hAnsi="Times New Roman"/>
          <w:b/>
          <w:sz w:val="20"/>
        </w:rPr>
        <w:t xml:space="preserve">3. </w:t>
      </w:r>
      <w:r>
        <w:rPr>
          <w:rFonts w:ascii="Times New Roman" w:hAnsi="Times New Roman"/>
          <w:b w:val="0"/>
          <w:i w:val="0"/>
          <w:color w:val="1E1E1E"/>
          <w:sz w:val="20"/>
        </w:rPr>
        <w:t>Bound catastrophic multi-grade triage misclassifications (</w:t>
      </w:r>
      <m:oMath>
        <m:r>
          <m:t>|y−</m:t>
        </m:r>
        <m:acc>
          <m:accPr>
            <m:chr m:val="̂"/>
          </m:accPr>
          <m:e>
            <m:r>
              <m:t>y</m:t>
            </m:r>
          </m:e>
        </m:acc>
        <m:r>
          <m:t>|≥2</m:t>
        </m:r>
      </m:oMath>
      <w:r>
        <w:rPr>
          <w:rFonts w:ascii="Times New Roman" w:hAnsi="Times New Roman"/>
          <w:b w:val="0"/>
          <w:i w:val="0"/>
          <w:color w:val="1E1E1E"/>
          <w:sz w:val="20"/>
        </w:rPr>
        <w:t>) to below 5% and maximize Quadratic Weighted Kappa (</w:t>
      </w:r>
      <m:oMath>
        <m:r>
          <m:t>≥0.88</m:t>
        </m:r>
      </m:oMath>
      <w:r>
        <w:rPr>
          <w:rFonts w:ascii="Times New Roman" w:hAnsi="Times New Roman"/>
          <w:b w:val="0"/>
          <w:i w:val="0"/>
          <w:color w:val="1E1E1E"/>
          <w:sz w:val="20"/>
        </w:rPr>
        <w:t>) and Severe NPDR sensitivity (</w:t>
      </w:r>
      <m:oMath>
        <m:r>
          <m:t>≥65%</m:t>
        </m:r>
      </m:oMath>
      <w:r>
        <w:rPr>
          <w:rFonts w:ascii="Times New Roman" w:hAnsi="Times New Roman"/>
          <w:b w:val="0"/>
          <w:i w:val="0"/>
          <w:color w:val="1E1E1E"/>
          <w:sz w:val="20"/>
        </w:rPr>
        <w:t>) on a lightweight, deployable EfficientNet-B0 backbone.</w:t>
      </w:r>
    </w:p>
    <w:p>
      <w:pPr>
        <w:keepNext/>
        <w:spacing w:before="280" w:after="80"/>
      </w:pPr>
      <w:r>
        <w:rPr>
          <w:rFonts w:ascii="Times New Roman" w:hAnsi="Times New Roman"/>
          <w:b/>
          <w:color w:val="142850"/>
          <w:sz w:val="23"/>
        </w:rPr>
        <w:t>5. SYSTEM ARCHITECTURE DIAGRAM</w:t>
      </w:r>
    </w:p>
    <w:p>
      <w:pPr>
        <w:spacing w:before="0" w:after="90" w:line="276" w:lineRule="auto"/>
        <w:jc w:val="both"/>
      </w:pPr>
      <w:r>
        <w:rPr>
          <w:rFonts w:ascii="Times New Roman" w:hAnsi="Times New Roman"/>
          <w:b w:val="0"/>
          <w:i w:val="0"/>
          <w:color w:val="1E1E1E"/>
          <w:sz w:val="20"/>
        </w:rPr>
        <w:t>The end-to-end system architecture is designed as a modular, safety-critical diagnostic pipeline that takes a raw retinal photograph, performs clinical contrast enhancement, extracts high-level representations through a regularized backbone, evaluates predictions across ordinal decision heads, and maps outputs into deterministic clinical referral rules.</w:t>
      </w:r>
    </w:p>
    <w:p>
      <w:pPr>
        <w:spacing w:before="160" w:after="60"/>
        <w:jc w:val="center"/>
      </w:pPr>
      <w:r>
        <w:drawing>
          <wp:inline xmlns:a="http://schemas.openxmlformats.org/drawingml/2006/main" xmlns:pic="http://schemas.openxmlformats.org/drawingml/2006/picture">
            <wp:extent cx="4846320" cy="242316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4846320" cy="2423160"/>
                    </a:xfrm>
                    <a:prstGeom prst="rect"/>
                  </pic:spPr>
                </pic:pic>
              </a:graphicData>
            </a:graphic>
          </wp:inline>
        </w:drawing>
      </w:r>
    </w:p>
    <w:p>
      <w:pPr>
        <w:spacing w:before="0" w:after="200"/>
        <w:jc w:val="center"/>
      </w:pPr>
      <w:r>
        <w:rPr>
          <w:rFonts w:ascii="Times New Roman" w:hAnsi="Times New Roman"/>
          <w:b w:val="0"/>
          <w:i/>
          <w:color w:val="3C3C3C"/>
          <w:sz w:val="18"/>
        </w:rPr>
        <w:t>Fig. 1. End-to-End System Architecture Diagram: Preprocessing, EfficientNet-B0 Backbone, Ordinal Inference Pathways, and Clinical Decision Support Triage Rules.</w:t>
      </w:r>
    </w:p>
    <w:p>
      <w:pPr>
        <w:keepNext/>
        <w:spacing w:before="200" w:after="60"/>
      </w:pPr>
      <w:r>
        <w:rPr>
          <w:rFonts w:ascii="Times New Roman" w:hAnsi="Times New Roman"/>
          <w:b/>
          <w:i/>
          <w:color w:val="283246"/>
          <w:sz w:val="21"/>
        </w:rPr>
        <w:t>5.1 Detailed Architectural Walkthrough</w:t>
      </w:r>
    </w:p>
    <w:p>
      <w:pPr>
        <w:spacing w:before="0" w:after="90" w:line="276" w:lineRule="auto"/>
        <w:jc w:val="both"/>
      </w:pPr>
      <w:r>
        <w:rPr>
          <w:rFonts w:ascii="Times New Roman" w:hAnsi="Times New Roman"/>
          <w:b w:val="0"/>
          <w:i w:val="0"/>
          <w:color w:val="1E1E1E"/>
          <w:sz w:val="20"/>
        </w:rPr>
        <w:t>As illustrated in Fig. 1, the system comprises six synchronized components:</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Input and Acquisition Stage:</w:t>
      </w:r>
      <w:r>
        <w:rPr>
          <w:rFonts w:ascii="Times New Roman" w:hAnsi="Times New Roman"/>
          <w:b w:val="0"/>
          <w:i w:val="0"/>
          <w:color w:val="1E1E1E"/>
          <w:sz w:val="20"/>
        </w:rPr>
        <w:t xml:space="preserve"> High-resolution digital fundus photographs are captured from tele-ophthalmology screening clinics. These raw images frequently exhibit uneven peripheral illumination, black borders from camera sensors, and low contrast between microvascular lesions and choroidal tissue.</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Preprocessing Module:</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Circular Crop Boundary Detection:</w:t>
      </w:r>
      <w:r>
        <w:rPr>
          <w:rFonts w:ascii="Times New Roman" w:hAnsi="Times New Roman"/>
          <w:b w:val="0"/>
          <w:i w:val="0"/>
          <w:color w:val="1E1E1E"/>
          <w:sz w:val="20"/>
        </w:rPr>
        <w:t xml:space="preserve"> Automatically segments the functional retinal globe, eliminates inactive sensor pixels, and crops to the minimum enclosing bounding box.</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Contrast Limited Adaptive Histogram Equalization (CLAHE):</w:t>
      </w:r>
      <w:r>
        <w:rPr>
          <w:rFonts w:ascii="Times New Roman" w:hAnsi="Times New Roman"/>
          <w:b w:val="0"/>
          <w:i w:val="0"/>
          <w:color w:val="1E1E1E"/>
          <w:sz w:val="20"/>
        </w:rPr>
        <w:t xml:space="preserve"> Applied across an </w:t>
      </w:r>
      <m:oMath>
        <m:r>
          <m:t>8×8</m:t>
        </m:r>
      </m:oMath>
      <w:r>
        <w:rPr>
          <w:rFonts w:ascii="Times New Roman" w:hAnsi="Times New Roman"/>
          <w:b w:val="0"/>
          <w:i w:val="0"/>
          <w:color w:val="1E1E1E"/>
          <w:sz w:val="20"/>
        </w:rPr>
        <w:t xml:space="preserve"> grid with a clip limit of 2.0 to enhance subtle microaneurysms and hard exudates without over-amplifying background camera noise.</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Resampling and Normalization:</w:t>
      </w:r>
      <w:r>
        <w:rPr>
          <w:rFonts w:ascii="Times New Roman" w:hAnsi="Times New Roman"/>
          <w:b w:val="0"/>
          <w:i w:val="0"/>
          <w:color w:val="1E1E1E"/>
          <w:sz w:val="20"/>
        </w:rPr>
        <w:t xml:space="preserve"> Images are rescaled to a uniform </w:t>
      </w:r>
      <m:oMath>
        <m:r>
          <m:t>224×224</m:t>
        </m:r>
      </m:oMath>
      <w:r>
        <w:rPr>
          <w:rFonts w:ascii="Times New Roman" w:hAnsi="Times New Roman"/>
          <w:b w:val="0"/>
          <w:i w:val="0"/>
          <w:color w:val="1E1E1E"/>
          <w:sz w:val="20"/>
        </w:rPr>
        <w:t xml:space="preserve"> pixels and standardized using ImageNet RGB mean and standard deviation vectors.</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Feature Extraction Backbone (EfficientNet-B0):</w:t>
      </w:r>
      <w:r>
        <w:rPr>
          <w:rFonts w:ascii="Times New Roman" w:hAnsi="Times New Roman"/>
          <w:b w:val="0"/>
          <w:i w:val="0"/>
          <w:color w:val="1E1E1E"/>
          <w:sz w:val="20"/>
        </w:rPr>
        <w:t xml:space="preserve"> The preprocessed image is processed through EfficientNet-B0 (5.3M parameters). To prevent catastrophic overfitting on the small 2,563-image training set, the stem and first three MBConv stages (</w:t>
      </w:r>
      <w:r>
        <w:rPr>
          <w:rFonts w:ascii="Consolas" w:hAnsi="Consolas"/>
          <w:color w:val="3C3C3C"/>
          <w:sz w:val="20"/>
        </w:rPr>
        <w:t>features[:4]</w:t>
      </w:r>
      <w:r>
        <w:rPr>
          <w:rFonts w:ascii="Times New Roman" w:hAnsi="Times New Roman"/>
          <w:b w:val="0"/>
          <w:i w:val="0"/>
          <w:color w:val="1E1E1E"/>
          <w:sz w:val="20"/>
        </w:rPr>
        <w:t xml:space="preserve">) are frozen, preserving generic edge and texture filters while allowing higher-level stages to specialize on microvascular pathology. Global Average Pooling collapses the spatial feature map into a dense 1280-dimensional embedding vector </w:t>
      </w:r>
      <m:oMath>
        <m:r>
          <m:t>ϕ(𝐱)</m:t>
        </m:r>
      </m:oMath>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4. </w:t>
      </w:r>
      <w:r>
        <w:rPr>
          <w:rFonts w:ascii="Times New Roman" w:hAnsi="Times New Roman"/>
          <w:b/>
          <w:i w:val="0"/>
          <w:color w:val="1E1E1E"/>
          <w:sz w:val="20"/>
        </w:rPr>
        <w:t>Multi-Paradigm Inference Engine:</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Primary Screening Route (Variant D Head):</w:t>
      </w:r>
      <w:r>
        <w:rPr>
          <w:rFonts w:ascii="Times New Roman" w:hAnsi="Times New Roman"/>
          <w:b w:val="0"/>
          <w:i w:val="0"/>
          <w:color w:val="1E1E1E"/>
          <w:sz w:val="20"/>
        </w:rPr>
        <w:t xml:space="preserve"> Evaluates 4 conditional binary classifiers to predict the step-by-step conditional probability of disease progression, dynamically weighted by Cui et al.'s effective number of samples and regularized by Soft-QWK loss.</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Secondary Confirmatory Route (3-Seed Ensemble Head):</w:t>
      </w:r>
      <w:r>
        <w:rPr>
          <w:rFonts w:ascii="Times New Roman" w:hAnsi="Times New Roman"/>
          <w:b w:val="0"/>
          <w:i w:val="0"/>
          <w:color w:val="1E1E1E"/>
          <w:sz w:val="20"/>
        </w:rPr>
        <w:t xml:space="preserve"> Averages the predictions of three independent models trained with label smoothing (</w:t>
      </w:r>
      <m:oMath>
        <m:r>
          <m:t>α=0.08</m:t>
        </m:r>
      </m:oMath>
      <w:r>
        <w:rPr>
          <w:rFonts w:ascii="Times New Roman" w:hAnsi="Times New Roman"/>
          <w:b w:val="0"/>
          <w:i w:val="0"/>
          <w:color w:val="1E1E1E"/>
          <w:sz w:val="20"/>
        </w:rPr>
        <w:t>) across 4-way flip Test-Time Augmentation (TTA), with optional post-hoc logit adjustment (</w:t>
      </w:r>
      <m:oMath>
        <m:r>
          <m:t>τ</m:t>
        </m:r>
      </m:oMath>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5. </w:t>
      </w:r>
      <w:r>
        <w:rPr>
          <w:rFonts w:ascii="Times New Roman" w:hAnsi="Times New Roman"/>
          <w:b/>
          <w:i w:val="0"/>
          <w:color w:val="1E1E1E"/>
          <w:sz w:val="20"/>
        </w:rPr>
        <w:t>Hardware Safety and Runtime Monitor:</w:t>
      </w:r>
      <w:r>
        <w:rPr>
          <w:rFonts w:ascii="Times New Roman" w:hAnsi="Times New Roman"/>
          <w:b w:val="0"/>
          <w:i w:val="0"/>
          <w:color w:val="1E1E1E"/>
          <w:sz w:val="20"/>
        </w:rPr>
        <w:t xml:space="preserve"> Built-in safeguards monitor GPU memory via </w:t>
      </w:r>
      <w:r>
        <w:rPr>
          <w:rFonts w:ascii="Consolas" w:hAnsi="Consolas"/>
          <w:color w:val="3C3C3C"/>
          <w:sz w:val="20"/>
        </w:rPr>
        <w:t>torch.cuda.memory_reserved()</w:t>
      </w:r>
      <w:r>
        <w:rPr>
          <w:rFonts w:ascii="Times New Roman" w:hAnsi="Times New Roman"/>
          <w:b w:val="0"/>
          <w:i w:val="0"/>
          <w:color w:val="1E1E1E"/>
          <w:sz w:val="20"/>
        </w:rPr>
        <w:t xml:space="preserve"> and manage mixed-precision (FP16) autocasting via </w:t>
      </w:r>
      <w:r>
        <w:rPr>
          <w:rFonts w:ascii="Consolas" w:hAnsi="Consolas"/>
          <w:color w:val="3C3C3C"/>
          <w:sz w:val="20"/>
        </w:rPr>
        <w:t>torch.cuda.amp.GradScaler</w:t>
      </w:r>
      <w:r>
        <w:rPr>
          <w:rFonts w:ascii="Times New Roman" w:hAnsi="Times New Roman"/>
          <w:b w:val="0"/>
          <w:i w:val="0"/>
          <w:color w:val="1E1E1E"/>
          <w:sz w:val="20"/>
        </w:rPr>
        <w:t>. If memory usage exceeds 90% of the 8GB budget, the batch size is automatically halved. In practice, our pipeline executes within 540 MiB of VRAM and runs at &lt;12ms per image.</w:t>
      </w:r>
    </w:p>
    <w:p>
      <w:pPr>
        <w:spacing w:before="20" w:after="40" w:line="276" w:lineRule="auto"/>
        <w:ind w:left="432"/>
      </w:pPr>
      <w:r>
        <w:rPr>
          <w:rFonts w:ascii="Times New Roman" w:hAnsi="Times New Roman"/>
          <w:b/>
          <w:sz w:val="20"/>
        </w:rPr>
        <w:t xml:space="preserve">6. </w:t>
      </w:r>
      <w:r>
        <w:rPr>
          <w:rFonts w:ascii="Times New Roman" w:hAnsi="Times New Roman"/>
          <w:b/>
          <w:i w:val="0"/>
          <w:color w:val="1E1E1E"/>
          <w:sz w:val="20"/>
        </w:rPr>
        <w:t>Expert System Clinical Decision Support Engine:</w:t>
      </w:r>
      <w:r>
        <w:rPr>
          <w:rFonts w:ascii="Times New Roman" w:hAnsi="Times New Roman"/>
          <w:b w:val="0"/>
          <w:i w:val="0"/>
          <w:color w:val="1E1E1E"/>
          <w:sz w:val="20"/>
        </w:rPr>
        <w:t xml:space="preserve"> Rather than outputting raw, unconstrained probabilities, the system routes discrete predictions through deterministic clinical referral rules: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Rule 1 (Grade 4):</w:t>
      </w:r>
      <w:r>
        <w:rPr>
          <w:rFonts w:ascii="Times New Roman" w:hAnsi="Times New Roman"/>
          <w:b w:val="0"/>
          <w:i w:val="0"/>
          <w:color w:val="1E1E1E"/>
          <w:sz w:val="20"/>
        </w:rPr>
        <w:t xml:space="preserve"> Emergency Vitreoretinal Referral (&lt; 48 Hours)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Rule 2 (Grade 3):</w:t>
      </w:r>
      <w:r>
        <w:rPr>
          <w:rFonts w:ascii="Times New Roman" w:hAnsi="Times New Roman"/>
          <w:b w:val="0"/>
          <w:i w:val="0"/>
          <w:color w:val="1E1E1E"/>
          <w:sz w:val="20"/>
        </w:rPr>
        <w:t xml:space="preserve"> Urgent Laser / Anti-VEGF Evaluation (&lt; 2 Weeks)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Rule 3 (Grade 2):</w:t>
      </w:r>
      <w:r>
        <w:rPr>
          <w:rFonts w:ascii="Times New Roman" w:hAnsi="Times New Roman"/>
          <w:b w:val="0"/>
          <w:i w:val="0"/>
          <w:color w:val="1E1E1E"/>
          <w:sz w:val="20"/>
        </w:rPr>
        <w:t xml:space="preserve"> Semi-Urgent Comprehensive Examination &amp; OCT Scan (&lt; 6 Months)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Rule 4 (Grade 1):</w:t>
      </w:r>
      <w:r>
        <w:rPr>
          <w:rFonts w:ascii="Times New Roman" w:hAnsi="Times New Roman"/>
          <w:b w:val="0"/>
          <w:i w:val="0"/>
          <w:color w:val="1E1E1E"/>
          <w:sz w:val="20"/>
        </w:rPr>
        <w:t xml:space="preserve"> Primary Care Surveillance &amp; Lifestyle Review (&lt; 12 Months)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Rule 5 (Grade 0):</w:t>
      </w:r>
      <w:r>
        <w:rPr>
          <w:rFonts w:ascii="Times New Roman" w:hAnsi="Times New Roman"/>
          <w:b w:val="0"/>
          <w:i w:val="0"/>
          <w:color w:val="1E1E1E"/>
          <w:sz w:val="20"/>
        </w:rPr>
        <w:t xml:space="preserve"> Routine Annual Tele-Screening Clearance</w:t>
      </w:r>
    </w:p>
    <w:p>
      <w:pPr>
        <w:keepNext/>
        <w:spacing w:before="280" w:after="80"/>
      </w:pPr>
      <w:r>
        <w:rPr>
          <w:rFonts w:ascii="Times New Roman" w:hAnsi="Times New Roman"/>
          <w:b/>
          <w:color w:val="142850"/>
          <w:sz w:val="23"/>
        </w:rPr>
        <w:t>6. IMPLEMENTATION</w:t>
      </w:r>
    </w:p>
    <w:p>
      <w:pPr>
        <w:spacing w:before="0" w:after="90" w:line="276" w:lineRule="auto"/>
        <w:jc w:val="both"/>
      </w:pPr>
      <w:r>
        <w:rPr>
          <w:rFonts w:ascii="Times New Roman" w:hAnsi="Times New Roman"/>
          <w:b w:val="0"/>
          <w:i w:val="0"/>
          <w:color w:val="1E1E1E"/>
          <w:sz w:val="20"/>
        </w:rPr>
        <w:t>In this section, we present the implementation details, dataset characteristics, preprocessing steps, and complete mathematical formulations for each model variant.</w:t>
      </w:r>
    </w:p>
    <w:p>
      <w:pPr>
        <w:keepNext/>
        <w:spacing w:before="200" w:after="60"/>
      </w:pPr>
      <w:r>
        <w:rPr>
          <w:rFonts w:ascii="Times New Roman" w:hAnsi="Times New Roman"/>
          <w:b/>
          <w:i/>
          <w:color w:val="283246"/>
          <w:sz w:val="21"/>
        </w:rPr>
        <w:t>6.1 Dataset Characteristics and Class Imbalance</w:t>
      </w:r>
    </w:p>
    <w:p>
      <w:pPr>
        <w:spacing w:before="0" w:after="90" w:line="276" w:lineRule="auto"/>
        <w:jc w:val="both"/>
      </w:pPr>
      <w:r>
        <w:rPr>
          <w:rFonts w:ascii="Times New Roman" w:hAnsi="Times New Roman"/>
          <w:b w:val="0"/>
          <w:i w:val="0"/>
          <w:color w:val="1E1E1E"/>
          <w:sz w:val="20"/>
        </w:rPr>
        <w:t>We evaluate our pipeline on the Asia Pacific Tele-Ophthalmology Society (APTOS) 2019 Blindness Detection dataset, consisting of 3,662 fundus photographs graded by medical experts according to the 5-point ICDR scale. The dataset exhibits severe natural epidemiological imbalance:</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0 (No DR):</w:t>
      </w:r>
      <w:r>
        <w:rPr>
          <w:rFonts w:ascii="Times New Roman" w:hAnsi="Times New Roman"/>
          <w:b w:val="0"/>
          <w:i w:val="0"/>
          <w:color w:val="1E1E1E"/>
          <w:sz w:val="20"/>
        </w:rPr>
        <w:t xml:space="preserve"> 1,805 images (49.29%)</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1 (Mild NPDR):</w:t>
      </w:r>
      <w:r>
        <w:rPr>
          <w:rFonts w:ascii="Times New Roman" w:hAnsi="Times New Roman"/>
          <w:b w:val="0"/>
          <w:i w:val="0"/>
          <w:color w:val="1E1E1E"/>
          <w:sz w:val="20"/>
        </w:rPr>
        <w:t xml:space="preserve"> 370 images (10.10%)</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2 (Moderate NPDR):</w:t>
      </w:r>
      <w:r>
        <w:rPr>
          <w:rFonts w:ascii="Times New Roman" w:hAnsi="Times New Roman"/>
          <w:b w:val="0"/>
          <w:i w:val="0"/>
          <w:color w:val="1E1E1E"/>
          <w:sz w:val="20"/>
        </w:rPr>
        <w:t xml:space="preserve"> 999 images (27.28%)</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3 (Severe NPDR):</w:t>
      </w:r>
      <w:r>
        <w:rPr>
          <w:rFonts w:ascii="Times New Roman" w:hAnsi="Times New Roman"/>
          <w:b w:val="0"/>
          <w:i w:val="0"/>
          <w:color w:val="1E1E1E"/>
          <w:sz w:val="20"/>
        </w:rPr>
        <w:t xml:space="preserve"> 193 images (5.27%)</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4 (Proliferative DR):</w:t>
      </w:r>
      <w:r>
        <w:rPr>
          <w:rFonts w:ascii="Times New Roman" w:hAnsi="Times New Roman"/>
          <w:b w:val="0"/>
          <w:i w:val="0"/>
          <w:color w:val="1E1E1E"/>
          <w:sz w:val="20"/>
        </w:rPr>
        <w:t xml:space="preserve"> 295 images (8.06%)</w:t>
      </w:r>
    </w:p>
    <w:p>
      <w:pPr>
        <w:spacing w:before="160" w:after="60"/>
        <w:jc w:val="center"/>
      </w:pPr>
      <w:r>
        <w:drawing>
          <wp:inline xmlns:a="http://schemas.openxmlformats.org/drawingml/2006/main" xmlns:pic="http://schemas.openxmlformats.org/drawingml/2006/picture">
            <wp:extent cx="4389120" cy="2633472"/>
            <wp:docPr id="2" name="Picture 2"/>
            <wp:cNvGraphicFramePr>
              <a:graphicFrameLocks noChangeAspect="1"/>
            </wp:cNvGraphicFramePr>
            <a:graphic>
              <a:graphicData uri="http://schemas.openxmlformats.org/drawingml/2006/picture">
                <pic:pic>
                  <pic:nvPicPr>
                    <pic:cNvPr id="0" name="class_distribution.png"/>
                    <pic:cNvPicPr/>
                  </pic:nvPicPr>
                  <pic:blipFill>
                    <a:blip r:embed="rId10"/>
                    <a:stretch>
                      <a:fillRect/>
                    </a:stretch>
                  </pic:blipFill>
                  <pic:spPr>
                    <a:xfrm>
                      <a:off x="0" y="0"/>
                      <a:ext cx="4389120" cy="2633472"/>
                    </a:xfrm>
                    <a:prstGeom prst="rect"/>
                  </pic:spPr>
                </pic:pic>
              </a:graphicData>
            </a:graphic>
          </wp:inline>
        </w:drawing>
      </w:r>
    </w:p>
    <w:p>
      <w:pPr>
        <w:spacing w:before="0" w:after="200"/>
        <w:jc w:val="center"/>
      </w:pPr>
      <w:r>
        <w:rPr>
          <w:rFonts w:ascii="Times New Roman" w:hAnsi="Times New Roman"/>
          <w:b w:val="0"/>
          <w:i/>
          <w:color w:val="3C3C3C"/>
          <w:sz w:val="18"/>
        </w:rPr>
        <w:t>Fig. 2. Dataset Class Distribution across the 3,662 Retinal Fundus Images in APTOS 2019 under the 5-point ICDR Clinical Severity Scale.</w:t>
      </w:r>
    </w:p>
    <w:p>
      <w:pPr>
        <w:spacing w:before="0" w:after="90" w:line="276" w:lineRule="auto"/>
        <w:jc w:val="both"/>
      </w:pPr>
      <w:r>
        <w:rPr>
          <w:rFonts w:ascii="Times New Roman" w:hAnsi="Times New Roman"/>
          <w:b w:val="0"/>
          <w:i w:val="0"/>
          <w:color w:val="1E1E1E"/>
          <w:sz w:val="20"/>
        </w:rPr>
        <w:t>To guarantee rigorous evaluation without data leakage, the 3,662 images were divided using stratified random sampling into three locked partitions: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Training Set (70%):</w:t>
      </w:r>
      <w:r>
        <w:rPr>
          <w:rFonts w:ascii="Times New Roman" w:hAnsi="Times New Roman"/>
          <w:b w:val="0"/>
          <w:i w:val="0"/>
          <w:color w:val="1E1E1E"/>
          <w:sz w:val="20"/>
        </w:rPr>
        <w:t xml:space="preserve"> 2,563 images (Grade 0: 1,263; Grade 1: 259; Grade 2: 700; Grade 3: 135; Grade 4: 206)</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Validation Set (15%):</w:t>
      </w:r>
      <w:r>
        <w:rPr>
          <w:rFonts w:ascii="Times New Roman" w:hAnsi="Times New Roman"/>
          <w:b w:val="0"/>
          <w:i w:val="0"/>
          <w:color w:val="1E1E1E"/>
          <w:sz w:val="20"/>
        </w:rPr>
        <w:t xml:space="preserve"> 549 images (Grade 0: 271; Grade 1: 55; Grade 2: 150; Grade 3: 29; Grade 4: 44)</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Holdout Test Set (15%):</w:t>
      </w:r>
      <w:r>
        <w:rPr>
          <w:rFonts w:ascii="Times New Roman" w:hAnsi="Times New Roman"/>
          <w:b w:val="0"/>
          <w:i w:val="0"/>
          <w:color w:val="1E1E1E"/>
          <w:sz w:val="20"/>
        </w:rPr>
        <w:t xml:space="preserve"> 550 images (Grade 0: 271; Grade 1: 56; Grade 2: 149; Grade 3: 29; Grade 4: 45)</w:t>
      </w:r>
    </w:p>
    <w:p>
      <w:pPr>
        <w:spacing w:before="0" w:after="90" w:line="276" w:lineRule="auto"/>
        <w:jc w:val="both"/>
      </w:pPr>
      <w:r>
        <w:rPr>
          <w:rFonts w:ascii="Times New Roman" w:hAnsi="Times New Roman"/>
          <w:b w:val="0"/>
          <w:i w:val="0"/>
          <w:color w:val="1E1E1E"/>
          <w:sz w:val="20"/>
        </w:rPr>
        <w:t xml:space="preserve">All 3,662 images were preprocessed and cached to local solid-state storage in </w:t>
      </w:r>
      <w:r>
        <w:rPr>
          <w:rFonts w:ascii="Consolas" w:hAnsi="Consolas"/>
          <w:color w:val="3C3C3C"/>
          <w:sz w:val="20"/>
        </w:rPr>
        <w:t>./data/aptos2019/preprocessed_224/</w:t>
      </w:r>
      <w:r>
        <w:rPr>
          <w:rFonts w:ascii="Times New Roman" w:hAnsi="Times New Roman"/>
          <w:b w:val="0"/>
          <w:i w:val="0"/>
          <w:color w:val="1E1E1E"/>
          <w:sz w:val="20"/>
        </w:rPr>
        <w:t xml:space="preserve"> to ensure zero-latency training I/O. Fig. 3 displays representative preprocessed images across all five clinical grades.</w:t>
      </w:r>
    </w:p>
    <w:p>
      <w:pPr>
        <w:spacing w:before="160" w:after="60"/>
        <w:jc w:val="center"/>
      </w:pPr>
      <w:r>
        <w:drawing>
          <wp:inline xmlns:a="http://schemas.openxmlformats.org/drawingml/2006/main" xmlns:pic="http://schemas.openxmlformats.org/drawingml/2006/picture">
            <wp:extent cx="4754880" cy="5434149"/>
            <wp:docPr id="3" name="Picture 3"/>
            <wp:cNvGraphicFramePr>
              <a:graphicFrameLocks noChangeAspect="1"/>
            </wp:cNvGraphicFramePr>
            <a:graphic>
              <a:graphicData uri="http://schemas.openxmlformats.org/drawingml/2006/picture">
                <pic:pic>
                  <pic:nvPicPr>
                    <pic:cNvPr id="0" name="sample_images_per_class.png"/>
                    <pic:cNvPicPr/>
                  </pic:nvPicPr>
                  <pic:blipFill>
                    <a:blip r:embed="rId11"/>
                    <a:stretch>
                      <a:fillRect/>
                    </a:stretch>
                  </pic:blipFill>
                  <pic:spPr>
                    <a:xfrm>
                      <a:off x="0" y="0"/>
                      <a:ext cx="4754880" cy="5434149"/>
                    </a:xfrm>
                    <a:prstGeom prst="rect"/>
                  </pic:spPr>
                </pic:pic>
              </a:graphicData>
            </a:graphic>
          </wp:inline>
        </w:drawing>
      </w:r>
    </w:p>
    <w:p>
      <w:pPr>
        <w:spacing w:before="0" w:after="200"/>
        <w:jc w:val="center"/>
      </w:pPr>
      <w:r>
        <w:rPr>
          <w:rFonts w:ascii="Times New Roman" w:hAnsi="Times New Roman"/>
          <w:b w:val="0"/>
          <w:i/>
          <w:color w:val="3C3C3C"/>
          <w:sz w:val="18"/>
        </w:rPr>
        <w:t>Fig. 3. Representative Preprocessed Retinal Fundus Photographs across the Five Clinical ICDR Grades following Circular Cropping and CIE LAB CLAHE Contrast Equalization.</w:t>
      </w:r>
    </w:p>
    <w:p>
      <w:pPr>
        <w:keepNext/>
        <w:spacing w:before="200" w:after="60"/>
      </w:pPr>
      <w:r>
        <w:rPr>
          <w:rFonts w:ascii="Times New Roman" w:hAnsi="Times New Roman"/>
          <w:b/>
          <w:i/>
          <w:color w:val="283246"/>
          <w:sz w:val="21"/>
        </w:rPr>
        <w:t>6.2 Mathematical Formulation of Evaluated Paradigms</w:t>
      </w:r>
    </w:p>
    <w:p>
      <w:pPr>
        <w:keepNext/>
        <w:spacing w:before="160" w:after="40"/>
      </w:pPr>
      <w:r>
        <w:rPr>
          <w:rFonts w:ascii="Times New Roman" w:hAnsi="Times New Roman"/>
          <w:b/>
          <w:i w:val="0"/>
          <w:color w:val="323232"/>
          <w:sz w:val="20"/>
        </w:rPr>
        <w:t>1) Variant A: Nominal Softmax Baseline and the Proof of Metric Blindness</w:t>
      </w:r>
    </w:p>
    <w:p>
      <w:pPr>
        <w:spacing w:before="0" w:after="90" w:line="276" w:lineRule="auto"/>
        <w:jc w:val="both"/>
      </w:pPr>
      <w:r>
        <w:rPr>
          <w:rFonts w:ascii="Times New Roman" w:hAnsi="Times New Roman"/>
          <w:b w:val="0"/>
          <w:i w:val="0"/>
          <w:color w:val="1E1E1E"/>
          <w:sz w:val="20"/>
        </w:rPr>
        <w:t xml:space="preserve">In nominal classification, the 5 stages are treated as independent, unrelated categories. The embedding </w:t>
      </w:r>
      <m:oMath>
        <m:r>
          <m:t>ϕ(𝐱)∈</m:t>
        </m:r>
        <m:sSup>
          <m:e>
            <m:r>
              <m:t>ℝ</m:t>
            </m:r>
          </m:e>
          <m:sup>
            <m:r>
              <m:t>1280</m:t>
            </m:r>
          </m:sup>
        </m:sSup>
      </m:oMath>
      <w:r>
        <w:rPr>
          <w:rFonts w:ascii="Times New Roman" w:hAnsi="Times New Roman"/>
          <w:b w:val="0"/>
          <w:i w:val="0"/>
          <w:color w:val="1E1E1E"/>
          <w:sz w:val="20"/>
        </w:rPr>
        <w:t xml:space="preserve"> is projected through a linear layer </w:t>
      </w:r>
      <m:oMath>
        <m:r>
          <m:t>𝐖∈</m:t>
        </m:r>
        <m:sSup>
          <m:e>
            <m:r>
              <m:t>ℝ</m:t>
            </m:r>
          </m:e>
          <m:sup>
            <m:r>
              <m:t>5×1280</m:t>
            </m:r>
          </m:sup>
        </m:sSup>
      </m:oMath>
      <w:r>
        <w:rPr>
          <w:rFonts w:ascii="Times New Roman" w:hAnsi="Times New Roman"/>
          <w:b w:val="0"/>
          <w:i w:val="0"/>
          <w:color w:val="1E1E1E"/>
          <w:sz w:val="20"/>
        </w:rPr>
        <w:t xml:space="preserve"> to produce logits </w:t>
      </w:r>
      <m:oMath>
        <m:r>
          <m:t>𝐳=[</m:t>
        </m:r>
        <m:sSub>
          <m:e>
            <m:r>
              <m:t>z</m:t>
            </m:r>
          </m:e>
          <m:sub>
            <m:r>
              <m:t>0</m:t>
            </m:r>
          </m:sub>
        </m:sSub>
        <m:r>
          <m:t>,</m:t>
        </m:r>
        <m:sSub>
          <m:e>
            <m:r>
              <m:t>z</m:t>
            </m:r>
          </m:e>
          <m:sub>
            <m:r>
              <m:t>1</m:t>
            </m:r>
          </m:sub>
        </m:sSub>
        <m:r>
          <m:t>,</m:t>
        </m:r>
        <m:sSub>
          <m:e>
            <m:r>
              <m:t>z</m:t>
            </m:r>
          </m:e>
          <m:sub>
            <m:r>
              <m:t>2</m:t>
            </m:r>
          </m:sub>
        </m:sSub>
        <m:r>
          <m:t>,</m:t>
        </m:r>
        <m:sSub>
          <m:e>
            <m:r>
              <m:t>z</m:t>
            </m:r>
          </m:e>
          <m:sub>
            <m:r>
              <m:t>3</m:t>
            </m:r>
          </m:sub>
        </m:sSub>
        <m:r>
          <m:t>,</m:t>
        </m:r>
        <m:sSub>
          <m:e>
            <m:r>
              <m:t>z</m:t>
            </m:r>
          </m:e>
          <m:sub>
            <m:r>
              <m:t>4</m:t>
            </m:r>
          </m:sub>
        </m:sSub>
        <m:sSup>
          <m:e>
            <m:r>
              <m:t>]</m:t>
            </m:r>
          </m:e>
          <m:sup>
            <m:r>
              <m:t>T</m:t>
            </m:r>
          </m:sup>
        </m:sSup>
      </m:oMath>
      <w:r>
        <w:rPr>
          <w:rFonts w:ascii="Times New Roman" w:hAnsi="Times New Roman"/>
          <w:b w:val="0"/>
          <w:i w:val="0"/>
          <w:color w:val="1E1E1E"/>
          <w:sz w:val="20"/>
        </w:rPr>
        <w:t>. Probabilities are computed via the softmax function:</w:t>
      </w:r>
    </w:p>
    <w:p>
      <w:pPr>
        <w:spacing w:before="120" w:after="120"/>
        <w:jc w:val="center"/>
      </w:pPr>
      <m:oMathPara>
        <m:oMath>
          <m:sSub>
            <m:e>
              <m:acc>
                <m:accPr>
                  <m:chr m:val="̂"/>
                </m:accPr>
                <m:e>
                  <m:r>
                    <m:t>p</m:t>
                  </m:r>
                </m:e>
              </m:acc>
            </m:e>
            <m:sub>
              <m:r>
                <m:t>k</m:t>
              </m:r>
            </m:sub>
          </m:sSub>
          <m:r>
            <m:t>=</m:t>
          </m:r>
          <m:f>
            <m:fPr>
              <m:type m:val="bar"/>
            </m:fPr>
            <m:num>
              <m:r>
                <m:rPr>
                  <m:sty m:val="p"/>
                </m:rPr>
                <m:t>exp</m:t>
              </m:r>
              <m:r>
                <m:t>(</m:t>
              </m:r>
              <m:sSub>
                <m:e>
                  <m:r>
                    <m:t>z</m:t>
                  </m:r>
                </m:e>
                <m:sub>
                  <m:r>
                    <m:t>k</m:t>
                  </m:r>
                </m:sub>
              </m:sSub>
              <m:r>
                <m:t>)</m:t>
              </m:r>
            </m:num>
            <m:den>
              <m:nary>
                <m:naryPr>
                  <m:chr m:val="∑"/>
                  <m:limLoc m:val="subSup"/>
                  <m:grow m:val="1"/>
                  <m:subHide m:val="off"/>
                  <m:supHide m:val="off"/>
                </m:naryPr>
                <m:sub>
                  <m:r>
                    <m:t>j=0</m:t>
                  </m:r>
                </m:sub>
                <m:sup>
                  <m:r>
                    <m:t>4</m:t>
                  </m:r>
                </m:sup>
                <m:e>
                  <m:r>
                    <m:rPr>
                      <m:sty m:val="p"/>
                    </m:rPr>
                    <m:t>exp</m:t>
                  </m:r>
                  <m:r>
                    <m:t>(</m:t>
                  </m:r>
                </m:e>
              </m:nary>
              <m:sSub>
                <m:e>
                  <m:r>
                    <m:t>z</m:t>
                  </m:r>
                </m:e>
                <m:sub>
                  <m:r>
                    <m:t>j</m:t>
                  </m:r>
                </m:sub>
              </m:sSub>
              <m:r>
                <m:t>)</m:t>
              </m:r>
            </m:den>
          </m:f>
          <m:r>
            <m:t>,</m:t>
          </m:r>
          <m:r>
            <m:t>k∈{0,1,2,3,4}</m:t>
          </m:r>
        </m:oMath>
      </m:oMathPara>
    </w:p>
    <w:p>
      <w:pPr>
        <w:spacing w:before="0" w:after="90" w:line="276" w:lineRule="auto"/>
        <w:jc w:val="both"/>
      </w:pPr>
      <w:r>
        <w:rPr>
          <w:rFonts w:ascii="Times New Roman" w:hAnsi="Times New Roman"/>
          <w:b w:val="0"/>
          <w:i w:val="0"/>
          <w:color w:val="1E1E1E"/>
          <w:sz w:val="20"/>
        </w:rPr>
        <w:t>The model is trained by minimizing categorical cross-entropy:</w:t>
      </w:r>
    </w:p>
    <w:p>
      <w:pPr>
        <w:spacing w:before="120" w:after="120"/>
        <w:jc w:val="center"/>
      </w:pPr>
      <m:oMathPara>
        <m:oMath>
          <m:sSub>
            <m:e>
              <m:r>
                <m:t>ℒ</m:t>
              </m:r>
            </m:e>
            <m:sub>
              <m:r>
                <m:t>CE</m:t>
              </m:r>
            </m:sub>
          </m:sSub>
          <m:r>
            <m:t>=−</m:t>
          </m:r>
          <m:nary>
            <m:naryPr>
              <m:chr m:val="∑"/>
              <m:limLoc m:val="subSup"/>
              <m:grow m:val="1"/>
              <m:subHide m:val="off"/>
              <m:supHide m:val="off"/>
            </m:naryPr>
            <m:sub>
              <m:r>
                <m:t>k=0</m:t>
              </m:r>
            </m:sub>
            <m:sup>
              <m:r>
                <m:t>4</m:t>
              </m:r>
            </m:sup>
            <m:e>
              <m:sSub>
                <m:e>
                  <m:r>
                    <m:t>y</m:t>
                  </m:r>
                </m:e>
                <m:sub>
                  <m:r>
                    <m:t>k</m:t>
                  </m:r>
                </m:sub>
              </m:sSub>
            </m:e>
          </m:nary>
          <m:r>
            <m:rPr>
              <m:sty m:val="p"/>
            </m:rPr>
            <m:t>log</m:t>
          </m:r>
          <m:sSub>
            <m:e>
              <m:acc>
                <m:accPr>
                  <m:chr m:val="̂"/>
                </m:accPr>
                <m:e>
                  <m:r>
                    <m:t>p</m:t>
                  </m:r>
                </m:e>
              </m:acc>
            </m:e>
            <m:sub>
              <m:r>
                <m:t>k</m:t>
              </m:r>
            </m:sub>
          </m:sSub>
        </m:oMath>
      </m:oMathPara>
    </w:p>
    <w:p>
      <w:pPr>
        <w:spacing w:before="0" w:after="90" w:line="276" w:lineRule="auto"/>
        <w:jc w:val="both"/>
      </w:pPr>
      <w:r>
        <w:rPr>
          <w:rFonts w:ascii="Times New Roman" w:hAnsi="Times New Roman"/>
          <w:b w:val="0"/>
          <w:i w:val="0"/>
          <w:color w:val="1E1E1E"/>
          <w:sz w:val="20"/>
        </w:rPr>
        <w:t xml:space="preserve">where </w:t>
      </w:r>
      <m:oMath>
        <m:r>
          <m:t>𝐲</m:t>
        </m:r>
      </m:oMath>
      <w:r>
        <w:rPr>
          <w:rFonts w:ascii="Times New Roman" w:hAnsi="Times New Roman"/>
          <w:b w:val="0"/>
          <w:i w:val="0"/>
          <w:color w:val="1E1E1E"/>
          <w:sz w:val="20"/>
        </w:rPr>
        <w:t xml:space="preserve"> is the one-hot encoded ground truth.</w:t>
      </w:r>
    </w:p>
    <w:p>
      <w:pPr>
        <w:spacing w:before="0" w:after="90" w:line="276" w:lineRule="auto"/>
        <w:jc w:val="both"/>
      </w:pPr>
      <w:r>
        <w:rPr>
          <w:rFonts w:ascii="Times New Roman" w:hAnsi="Times New Roman"/>
          <w:b/>
          <w:i w:val="0"/>
          <w:color w:val="1E1E1E"/>
          <w:sz w:val="20"/>
        </w:rPr>
        <w:t>Mathematical Proof of Metric Blindness:</w:t>
      </w:r>
    </w:p>
    <w:p>
      <w:pPr>
        <w:spacing w:before="0" w:after="90" w:line="276" w:lineRule="auto"/>
        <w:jc w:val="both"/>
      </w:pPr>
      <w:r>
        <w:rPr>
          <w:rFonts w:ascii="Times New Roman" w:hAnsi="Times New Roman"/>
          <w:b w:val="0"/>
          <w:i w:val="0"/>
          <w:color w:val="1E1E1E"/>
          <w:sz w:val="20"/>
        </w:rPr>
        <w:t>Consider a patient with true Proliferative DR (</w:t>
      </w:r>
      <m:oMath>
        <m:r>
          <m:t>y=4</m:t>
        </m:r>
      </m:oMath>
      <w:r>
        <w:rPr>
          <w:rFonts w:ascii="Times New Roman" w:hAnsi="Times New Roman"/>
          <w:b w:val="0"/>
          <w:i w:val="0"/>
          <w:color w:val="1E1E1E"/>
          <w:sz w:val="20"/>
        </w:rPr>
        <w:t xml:space="preserve">, so </w:t>
      </w:r>
      <m:oMath>
        <m:r>
          <m:t>𝐲=[0,0,0,0,1</m:t>
        </m:r>
        <m:sSup>
          <m:e>
            <m:r>
              <m:t>]</m:t>
            </m:r>
          </m:e>
          <m:sup>
            <m:r>
              <m:t>T</m:t>
            </m:r>
          </m:sup>
        </m:sSup>
      </m:oMath>
      <w:r>
        <w:rPr>
          <w:rFonts w:ascii="Times New Roman" w:hAnsi="Times New Roman"/>
          <w:b w:val="0"/>
          <w:i w:val="0"/>
          <w:color w:val="1E1E1E"/>
          <w:sz w:val="20"/>
        </w:rPr>
        <w:t xml:space="preserve">). The loss is simply </w:t>
      </w:r>
      <m:oMath>
        <m:sSub>
          <m:e>
            <m:r>
              <m:t>ℒ</m:t>
            </m:r>
          </m:e>
          <m:sub>
            <m:r>
              <m:t>CE</m:t>
            </m:r>
          </m:sub>
        </m:sSub>
        <m:r>
          <m:t>=−</m:t>
        </m:r>
        <m:r>
          <m:rPr>
            <m:sty m:val="p"/>
          </m:rPr>
          <m:t>log</m:t>
        </m:r>
        <m:sSub>
          <m:e>
            <m:acc>
              <m:accPr>
                <m:chr m:val="̂"/>
              </m:accPr>
              <m:e>
                <m:r>
                  <m:t>p</m:t>
                </m:r>
              </m:e>
            </m:acc>
          </m:e>
          <m:sub>
            <m:r>
              <m:t>4</m:t>
            </m:r>
          </m:sub>
        </m:sSub>
      </m:oMath>
      <w:r>
        <w:rPr>
          <w:rFonts w:ascii="Times New Roman" w:hAnsi="Times New Roman"/>
          <w:b w:val="0"/>
          <w:i w:val="0"/>
          <w:color w:val="1E1E1E"/>
          <w:sz w:val="20"/>
        </w:rPr>
        <w:t>.</w:t>
      </w:r>
    </w:p>
    <w:p>
      <w:pPr>
        <w:spacing w:before="0" w:after="90" w:line="276" w:lineRule="auto"/>
        <w:jc w:val="both"/>
      </w:pPr>
      <w:r>
        <w:rPr>
          <w:rFonts w:ascii="Times New Roman" w:hAnsi="Times New Roman"/>
          <w:b w:val="0"/>
          <w:i w:val="0"/>
          <w:color w:val="1E1E1E"/>
          <w:sz w:val="20"/>
        </w:rPr>
        <w:t>Now compare two hypothetical models: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Model 1 (Catastrophic Error):</w:t>
      </w:r>
      <w:r>
        <w:rPr>
          <w:rFonts w:ascii="Times New Roman" w:hAnsi="Times New Roman"/>
          <w:b w:val="0"/>
          <w:i w:val="0"/>
          <w:color w:val="1E1E1E"/>
          <w:sz w:val="20"/>
        </w:rPr>
        <w:t xml:space="preserve"> Predicts </w:t>
      </w:r>
      <m:oMath>
        <m:sSup>
          <m:e>
            <m:r>
              <m:t>𝐩</m:t>
            </m:r>
          </m:e>
          <m:sup>
            <m:d>
              <m:dPr>
                <m:sepChr m:val=""/>
              </m:dPr>
              <m:e>
                <m:r>
                  <m:t>1</m:t>
                </m:r>
              </m:e>
            </m:d>
          </m:sup>
        </m:sSup>
        <m:r>
          <m:t>=[0.80,0.05,0.05,0.05,0.05</m:t>
        </m:r>
        <m:sSup>
          <m:e>
            <m:r>
              <m:t>]</m:t>
            </m:r>
          </m:e>
          <m:sup>
            <m:r>
              <m:t>T</m:t>
            </m:r>
          </m:sup>
        </m:sSup>
      </m:oMath>
      <w:r>
        <w:rPr>
          <w:rFonts w:ascii="Times New Roman" w:hAnsi="Times New Roman"/>
          <w:b w:val="0"/>
          <w:i w:val="0"/>
          <w:color w:val="1E1E1E"/>
          <w:sz w:val="20"/>
        </w:rPr>
        <w:t>, placing 80% confidence on Grade 0 (No DR). This is an off-by-four misclassification (</w:t>
      </w:r>
      <m:oMath>
        <m:r>
          <m:t>|4−0|=4</m:t>
        </m:r>
      </m:oMath>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Model 2 (Minor Borderline Error):</w:t>
      </w:r>
      <w:r>
        <w:rPr>
          <w:rFonts w:ascii="Times New Roman" w:hAnsi="Times New Roman"/>
          <w:b w:val="0"/>
          <w:i w:val="0"/>
          <w:color w:val="1E1E1E"/>
          <w:sz w:val="20"/>
        </w:rPr>
        <w:t xml:space="preserve"> Predicts </w:t>
      </w:r>
      <m:oMath>
        <m:sSup>
          <m:e>
            <m:r>
              <m:t>𝐩</m:t>
            </m:r>
          </m:e>
          <m:sup>
            <m:d>
              <m:dPr>
                <m:sepChr m:val=""/>
              </m:dPr>
              <m:e>
                <m:r>
                  <m:t>2</m:t>
                </m:r>
              </m:e>
            </m:d>
          </m:sup>
        </m:sSup>
        <m:r>
          <m:t>=[0.05,0.05,0.05,0.80,0.05</m:t>
        </m:r>
        <m:sSup>
          <m:e>
            <m:r>
              <m:t>]</m:t>
            </m:r>
          </m:e>
          <m:sup>
            <m:r>
              <m:t>T</m:t>
            </m:r>
          </m:sup>
        </m:sSup>
      </m:oMath>
      <w:r>
        <w:rPr>
          <w:rFonts w:ascii="Times New Roman" w:hAnsi="Times New Roman"/>
          <w:b w:val="0"/>
          <w:i w:val="0"/>
          <w:color w:val="1E1E1E"/>
          <w:sz w:val="20"/>
        </w:rPr>
        <w:t>, placing 80% confidence on Grade 3 (Severe NPDR). This is an off-by-one misclassification (</w:t>
      </w:r>
      <m:oMath>
        <m:r>
          <m:t>|4−3|=1</m:t>
        </m:r>
      </m:oMath>
      <w:r>
        <w:rPr>
          <w:rFonts w:ascii="Times New Roman" w:hAnsi="Times New Roman"/>
          <w:b w:val="0"/>
          <w:i w:val="0"/>
          <w:color w:val="1E1E1E"/>
          <w:sz w:val="20"/>
        </w:rPr>
        <w:t>).</w:t>
      </w:r>
    </w:p>
    <w:p>
      <w:pPr>
        <w:spacing w:before="0" w:after="90" w:line="276" w:lineRule="auto"/>
        <w:jc w:val="both"/>
      </w:pPr>
      <w:r>
        <w:rPr>
          <w:rFonts w:ascii="Times New Roman" w:hAnsi="Times New Roman"/>
          <w:b w:val="0"/>
          <w:i w:val="0"/>
          <w:color w:val="1E1E1E"/>
          <w:sz w:val="20"/>
        </w:rPr>
        <w:t xml:space="preserve">For both models, the predicted probability on the true class is </w:t>
      </w:r>
      <m:oMath>
        <m:sSub>
          <m:e>
            <m:acc>
              <m:accPr>
                <m:chr m:val="̂"/>
              </m:accPr>
              <m:e>
                <m:r>
                  <m:t>p</m:t>
                </m:r>
              </m:e>
            </m:acc>
          </m:e>
          <m:sub>
            <m:r>
              <m:t>4</m:t>
            </m:r>
          </m:sub>
        </m:sSub>
        <m:r>
          <m:t>=0.05</m:t>
        </m:r>
      </m:oMath>
      <w:r>
        <w:rPr>
          <w:rFonts w:ascii="Times New Roman" w:hAnsi="Times New Roman"/>
          <w:b w:val="0"/>
          <w:i w:val="0"/>
          <w:color w:val="1E1E1E"/>
          <w:sz w:val="20"/>
        </w:rPr>
        <w:t>. Therefore:</w:t>
      </w:r>
    </w:p>
    <w:p>
      <w:pPr>
        <w:spacing w:before="120" w:after="120"/>
        <w:jc w:val="center"/>
      </w:pPr>
      <m:oMathPara>
        <m:oMath>
          <m:sSubSup>
            <m:e>
              <m:r>
                <m:t>ℒ</m:t>
              </m:r>
            </m:e>
            <m:sub>
              <m:r>
                <m:t>CE</m:t>
              </m:r>
            </m:sub>
            <m:sup>
              <m:d>
                <m:dPr>
                  <m:sepChr m:val=""/>
                </m:dPr>
                <m:e>
                  <m:r>
                    <m:t>1</m:t>
                  </m:r>
                </m:e>
              </m:d>
            </m:sup>
          </m:sSubSup>
          <m:r>
            <m:t>=−</m:t>
          </m:r>
          <m:r>
            <m:rPr>
              <m:sty m:val="p"/>
            </m:rPr>
            <m:t>log</m:t>
          </m:r>
          <m:r>
            <m:t>(0.05)=2.9957=</m:t>
          </m:r>
          <m:sSubSup>
            <m:e>
              <m:r>
                <m:t>ℒ</m:t>
              </m:r>
            </m:e>
            <m:sub>
              <m:r>
                <m:t>CE</m:t>
              </m:r>
            </m:sub>
            <m:sup>
              <m:d>
                <m:dPr>
                  <m:sepChr m:val=""/>
                </m:dPr>
                <m:e>
                  <m:r>
                    <m:t>2</m:t>
                  </m:r>
                </m:e>
              </m:d>
            </m:sup>
          </m:sSubSup>
        </m:oMath>
      </m:oMathPara>
    </w:p>
    <w:p>
      <w:pPr>
        <w:spacing w:before="0" w:after="90" w:line="276" w:lineRule="auto"/>
        <w:jc w:val="both"/>
      </w:pPr>
      <w:r>
        <w:rPr>
          <w:rFonts w:ascii="Times New Roman" w:hAnsi="Times New Roman"/>
          <w:b w:val="0"/>
          <w:i w:val="0"/>
          <w:color w:val="1E1E1E"/>
          <w:sz w:val="20"/>
        </w:rPr>
        <w:t xml:space="preserve">The loss gradient </w:t>
      </w:r>
      <m:oMath>
        <m:f>
          <m:fPr>
            <m:type m:val="bar"/>
          </m:fPr>
          <m:num>
            <m:r>
              <m:t>∂</m:t>
            </m:r>
            <m:sSub>
              <m:e>
                <m:r>
                  <m:t>ℒ</m:t>
                </m:r>
              </m:e>
              <m:sub>
                <m:r>
                  <m:t>CE</m:t>
                </m:r>
              </m:sub>
            </m:sSub>
          </m:num>
          <m:den>
            <m:r>
              <m:t>∂</m:t>
            </m:r>
            <m:sSub>
              <m:e>
                <m:r>
                  <m:t>z</m:t>
                </m:r>
              </m:e>
              <m:sub>
                <m:r>
                  <m:t>k</m:t>
                </m:r>
              </m:sub>
            </m:sSub>
          </m:den>
        </m:f>
        <m:r>
          <m:t>=</m:t>
        </m:r>
        <m:sSub>
          <m:e>
            <m:acc>
              <m:accPr>
                <m:chr m:val="̂"/>
              </m:accPr>
              <m:e>
                <m:r>
                  <m:t>p</m:t>
                </m:r>
              </m:e>
            </m:acc>
          </m:e>
          <m:sub>
            <m:r>
              <m:t>k</m:t>
            </m:r>
          </m:sub>
        </m:sSub>
        <m:r>
          <m:t>−</m:t>
        </m:r>
        <m:sSub>
          <m:e>
            <m:r>
              <m:t>y</m:t>
            </m:r>
          </m:e>
          <m:sub>
            <m:r>
              <m:t>k</m:t>
            </m:r>
          </m:sub>
        </m:sSub>
      </m:oMath>
      <w:r>
        <w:rPr>
          <w:rFonts w:ascii="Times New Roman" w:hAnsi="Times New Roman"/>
          <w:b w:val="0"/>
          <w:i w:val="0"/>
          <w:color w:val="1E1E1E"/>
          <w:sz w:val="20"/>
        </w:rPr>
        <w:t xml:space="preserve"> is completely symmetric with respect to all non-target classes. The network receives zero mathematical incentive to prefer a harmless off-by-one error over a life-threatening off-by-four error.</w:t>
      </w:r>
    </w:p>
    <w:p>
      <w:pPr>
        <w:keepNext/>
        <w:spacing w:before="160" w:after="40"/>
      </w:pPr>
      <w:r>
        <w:rPr>
          <w:rFonts w:ascii="Times New Roman" w:hAnsi="Times New Roman"/>
          <w:b/>
          <w:i w:val="0"/>
          <w:color w:val="323232"/>
          <w:sz w:val="20"/>
        </w:rPr>
        <w:t>2) Variant B: Consistent Rank Logits (CORAL) and Its Empirical Breakdown</w:t>
      </w:r>
    </w:p>
    <w:p>
      <w:pPr>
        <w:spacing w:before="0" w:after="90" w:line="276" w:lineRule="auto"/>
        <w:jc w:val="both"/>
      </w:pPr>
      <w:r>
        <w:rPr>
          <w:rFonts w:ascii="Times New Roman" w:hAnsi="Times New Roman"/>
          <w:b w:val="0"/>
          <w:i w:val="0"/>
          <w:color w:val="1E1E1E"/>
          <w:sz w:val="20"/>
        </w:rPr>
        <w:t xml:space="preserve">The CORAL framework [8] reformulates the 5-class ordinal problem into </w:t>
      </w:r>
      <m:oMath>
        <m:r>
          <m:t>K−1=4</m:t>
        </m:r>
      </m:oMath>
      <w:r>
        <w:rPr>
          <w:rFonts w:ascii="Times New Roman" w:hAnsi="Times New Roman"/>
          <w:b w:val="0"/>
          <w:i w:val="0"/>
          <w:color w:val="1E1E1E"/>
          <w:sz w:val="20"/>
        </w:rPr>
        <w:t xml:space="preserve"> binary classification subproblems. For true grade </w:t>
      </w:r>
      <m:oMath>
        <m:r>
          <m:t>y∈{0,1,2,3,4}</m:t>
        </m:r>
      </m:oMath>
      <w:r>
        <w:rPr>
          <w:rFonts w:ascii="Times New Roman" w:hAnsi="Times New Roman"/>
          <w:b w:val="0"/>
          <w:i w:val="0"/>
          <w:color w:val="1E1E1E"/>
          <w:sz w:val="20"/>
        </w:rPr>
        <w:t xml:space="preserve">, binary labels </w:t>
      </w:r>
      <m:oMath>
        <m:sSub>
          <m:e>
            <m:r>
              <m:t>r</m:t>
            </m:r>
          </m:e>
          <m:sub>
            <m:r>
              <m:t>k</m:t>
            </m:r>
          </m:sub>
        </m:sSub>
        <m:r>
          <m:t>∈{0,1}</m:t>
        </m:r>
      </m:oMath>
      <w:r>
        <w:rPr>
          <w:rFonts w:ascii="Times New Roman" w:hAnsi="Times New Roman"/>
          <w:b w:val="0"/>
          <w:i w:val="0"/>
          <w:color w:val="1E1E1E"/>
          <w:sz w:val="20"/>
        </w:rPr>
        <w:t xml:space="preserve"> indicate whether severity exceeds rank </w:t>
      </w:r>
      <m:oMath>
        <m:r>
          <m:t>k</m:t>
        </m:r>
      </m:oMath>
      <w:r>
        <w:rPr>
          <w:rFonts w:ascii="Times New Roman" w:hAnsi="Times New Roman"/>
          <w:b w:val="0"/>
          <w:i w:val="0"/>
          <w:color w:val="1E1E1E"/>
          <w:sz w:val="20"/>
        </w:rPr>
        <w:t>:</w:t>
      </w:r>
    </w:p>
    <w:p>
      <w:pPr>
        <w:spacing w:before="120" w:after="120"/>
        <w:jc w:val="center"/>
      </w:pPr>
      <m:oMathPara>
        <m:oMath>
          <m:sSub>
            <m:e>
              <m:r>
                <m:t>r</m:t>
              </m:r>
            </m:e>
            <m:sub>
              <m:r>
                <m:t>k</m:t>
              </m:r>
            </m:sub>
          </m:sSub>
          <m:r>
            <m:t>=</m:t>
          </m:r>
          <m:d>
            <m:dPr>
              <m:begChr m:val="{"/>
              <m:sepChr m:val=""/>
              <m:endChr m:val=""/>
            </m:dPr>
            <m:e>
              <m:m>
                <m:mPr>
                  <m:baseJc m:val="center"/>
                  <m:plcHide m:val="on"/>
                  <m:mcs>
                    <m:mc>
                      <m:mcPr>
                        <m:count m:val="2"/>
                        <m:mcJc m:val="center"/>
                      </m:mcPr>
                    </m:mc>
                  </m:mcs>
                </m:mPr>
                <m:mr>
                  <m:e>
                    <m:r>
                      <m:t>1</m:t>
                    </m:r>
                  </m:e>
                  <m:e>
                    <m:r>
                      <m:rPr>
                        <m:nor/>
                      </m:rPr>
                      <m:t>if </m:t>
                    </m:r>
                    <m:r>
                      <m:t>y&gt;k</m:t>
                    </m:r>
                  </m:e>
                </m:mr>
                <m:mr>
                  <m:e>
                    <m:r>
                      <m:t>0</m:t>
                    </m:r>
                  </m:e>
                  <m:e>
                    <m:r>
                      <m:rPr>
                        <m:nor/>
                      </m:rPr>
                      <m:t>otherwise</m:t>
                    </m:r>
                  </m:e>
                </m:mr>
              </m:m>
            </m:e>
          </m:d>
          <m:r>
            <m:t>,</m:t>
          </m:r>
          <m:r>
            <m:t>k∈{0,1,2,3}</m:t>
          </m:r>
        </m:oMath>
      </m:oMathPara>
    </w:p>
    <w:p>
      <w:pPr>
        <w:spacing w:before="0" w:after="90" w:line="276" w:lineRule="auto"/>
        <w:jc w:val="both"/>
      </w:pPr>
      <w:r>
        <w:rPr>
          <w:rFonts w:ascii="Times New Roman" w:hAnsi="Times New Roman"/>
          <w:b w:val="0"/>
          <w:i w:val="0"/>
          <w:color w:val="1E1E1E"/>
          <w:sz w:val="20"/>
        </w:rPr>
        <w:t xml:space="preserve">To guarantee parallel decision boundaries and prevent contradictory thresholds, CORAL shares a single weight vector </w:t>
      </w:r>
      <m:oMath>
        <m:r>
          <m:t>𝐰∈</m:t>
        </m:r>
        <m:sSup>
          <m:e>
            <m:r>
              <m:t>ℝ</m:t>
            </m:r>
          </m:e>
          <m:sup>
            <m:r>
              <m:t>1280</m:t>
            </m:r>
          </m:sup>
        </m:sSup>
      </m:oMath>
      <w:r>
        <w:rPr>
          <w:rFonts w:ascii="Times New Roman" w:hAnsi="Times New Roman"/>
          <w:b w:val="0"/>
          <w:i w:val="0"/>
          <w:color w:val="1E1E1E"/>
          <w:sz w:val="20"/>
        </w:rPr>
        <w:t xml:space="preserve"> across all four tasks while learning independent threshold biases </w:t>
      </w:r>
      <m:oMath>
        <m:sSub>
          <m:e>
            <m:r>
              <m:t>b</m:t>
            </m:r>
          </m:e>
          <m:sub>
            <m:r>
              <m:t>0</m:t>
            </m:r>
          </m:sub>
        </m:sSub>
        <m:r>
          <m:t>,</m:t>
        </m:r>
        <m:sSub>
          <m:e>
            <m:r>
              <m:t>b</m:t>
            </m:r>
          </m:e>
          <m:sub>
            <m:r>
              <m:t>1</m:t>
            </m:r>
          </m:sub>
        </m:sSub>
        <m:r>
          <m:t>,</m:t>
        </m:r>
        <m:sSub>
          <m:e>
            <m:r>
              <m:t>b</m:t>
            </m:r>
          </m:e>
          <m:sub>
            <m:r>
              <m:t>2</m:t>
            </m:r>
          </m:sub>
        </m:sSub>
        <m:r>
          <m:t>,</m:t>
        </m:r>
        <m:sSub>
          <m:e>
            <m:r>
              <m:t>b</m:t>
            </m:r>
          </m:e>
          <m:sub>
            <m:r>
              <m:t>3</m:t>
            </m:r>
          </m:sub>
        </m:sSub>
      </m:oMath>
      <w:r>
        <w:rPr>
          <w:rFonts w:ascii="Times New Roman" w:hAnsi="Times New Roman"/>
          <w:b w:val="0"/>
          <w:i w:val="0"/>
          <w:color w:val="1E1E1E"/>
          <w:sz w:val="20"/>
        </w:rPr>
        <w:t>:</w:t>
      </w:r>
    </w:p>
    <w:p>
      <w:pPr>
        <w:spacing w:before="120" w:after="120"/>
        <w:jc w:val="center"/>
      </w:pPr>
      <m:oMathPara>
        <m:oMath>
          <m:sSub>
            <m:e>
              <m:r>
                <m:t>g</m:t>
              </m:r>
            </m:e>
            <m:sub>
              <m:r>
                <m:t>k</m:t>
              </m:r>
            </m:sub>
          </m:sSub>
          <m:r>
            <m:t>(𝐱)=</m:t>
          </m:r>
          <m:sSup>
            <m:e>
              <m:r>
                <m:t>𝐰</m:t>
              </m:r>
            </m:e>
            <m:sup>
              <m:r>
                <m:t>T</m:t>
              </m:r>
            </m:sup>
          </m:sSup>
          <m:r>
            <m:t>ϕ(𝐱)+</m:t>
          </m:r>
          <m:sSub>
            <m:e>
              <m:r>
                <m:t>b</m:t>
              </m:r>
            </m:e>
            <m:sub>
              <m:r>
                <m:t>k</m:t>
              </m:r>
            </m:sub>
          </m:sSub>
          <m:r>
            <m:t>,</m:t>
          </m:r>
          <m:acc>
            <m:accPr>
              <m:chr m:val="̂"/>
            </m:accPr>
            <m:e>
              <m:r>
                <m:t>P</m:t>
              </m:r>
            </m:e>
          </m:acc>
          <m:r>
            <m:t>(y&gt;k∣𝐱)=σ(</m:t>
          </m:r>
          <m:sSub>
            <m:e>
              <m:r>
                <m:t>g</m:t>
              </m:r>
            </m:e>
            <m:sub>
              <m:r>
                <m:t>k</m:t>
              </m:r>
            </m:sub>
          </m:sSub>
          <m:r>
            <m:t>(𝐱))</m:t>
          </m:r>
        </m:oMath>
      </m:oMathPara>
    </w:p>
    <w:p>
      <w:pPr>
        <w:spacing w:before="0" w:after="90" w:line="276" w:lineRule="auto"/>
        <w:jc w:val="both"/>
      </w:pPr>
      <w:r>
        <w:rPr>
          <w:rFonts w:ascii="Times New Roman" w:hAnsi="Times New Roman"/>
          <w:b w:val="0"/>
          <w:i w:val="0"/>
          <w:color w:val="1E1E1E"/>
          <w:sz w:val="20"/>
        </w:rPr>
        <w:t>The loss is the unweighted sum of binary cross-entropies:</w:t>
      </w:r>
    </w:p>
    <w:p>
      <w:pPr>
        <w:spacing w:before="120" w:after="120"/>
        <w:jc w:val="center"/>
      </w:pPr>
      <m:oMathPara>
        <m:oMath>
          <m:sSub>
            <m:e>
              <m:r>
                <m:t>ℒ</m:t>
              </m:r>
            </m:e>
            <m:sub>
              <m:r>
                <m:t>CORAL</m:t>
              </m:r>
            </m:sub>
          </m:sSub>
          <m:r>
            <m:t>=−</m:t>
          </m:r>
          <m:nary>
            <m:naryPr>
              <m:chr m:val="∑"/>
              <m:limLoc m:val="subSup"/>
              <m:grow m:val="1"/>
              <m:subHide m:val="off"/>
              <m:supHide m:val="off"/>
            </m:naryPr>
            <m:sub>
              <m:r>
                <m:t>k=0</m:t>
              </m:r>
            </m:sub>
            <m:sup>
              <m:r>
                <m:t>3</m:t>
              </m:r>
            </m:sup>
            <m:e>
              <m:d>
                <m:dPr>
                  <m:begChr m:val="["/>
                  <m:sepChr m:val=""/>
                  <m:endChr m:val="]"/>
                </m:dPr>
                <m:e>
                  <m:sSub>
                    <m:e>
                      <m:r>
                        <m:t>r</m:t>
                      </m:r>
                    </m:e>
                    <m:sub>
                      <m:r>
                        <m:t>k</m:t>
                      </m:r>
                    </m:sub>
                  </m:sSub>
                  <m:r>
                    <m:rPr>
                      <m:sty m:val="p"/>
                    </m:rPr>
                    <m:t>log</m:t>
                  </m:r>
                  <m:r>
                    <m:t>σ</m:t>
                  </m:r>
                  <m:r>
                    <m:t>(</m:t>
                  </m:r>
                  <m:sSub>
                    <m:e>
                      <m:r>
                        <m:t>g</m:t>
                      </m:r>
                    </m:e>
                    <m:sub>
                      <m:r>
                        <m:t>k</m:t>
                      </m:r>
                    </m:sub>
                  </m:sSub>
                  <m:r>
                    <m:t>(</m:t>
                  </m:r>
                  <m:r>
                    <m:t>𝐱</m:t>
                  </m:r>
                  <m:r>
                    <m:t>)</m:t>
                  </m:r>
                  <m:r>
                    <m:t>)</m:t>
                  </m:r>
                  <m:r>
                    <m:t>+</m:t>
                  </m:r>
                  <m:r>
                    <m:t>(</m:t>
                  </m:r>
                  <m:r>
                    <m:t>1</m:t>
                  </m:r>
                  <m:r>
                    <m:t>−</m:t>
                  </m:r>
                  <m:sSub>
                    <m:e>
                      <m:r>
                        <m:t>r</m:t>
                      </m:r>
                    </m:e>
                    <m:sub>
                      <m:r>
                        <m:t>k</m:t>
                      </m:r>
                    </m:sub>
                  </m:sSub>
                  <m:r>
                    <m:t>)</m:t>
                  </m:r>
                  <m:r>
                    <m:rPr>
                      <m:sty m:val="p"/>
                    </m:rPr>
                    <m:t>log</m:t>
                  </m:r>
                  <m:r>
                    <m:t>(</m:t>
                  </m:r>
                  <m:r>
                    <m:t>1</m:t>
                  </m:r>
                  <m:r>
                    <m:t>−</m:t>
                  </m:r>
                  <m:r>
                    <m:t>σ</m:t>
                  </m:r>
                  <m:r>
                    <m:t>(</m:t>
                  </m:r>
                  <m:sSub>
                    <m:e>
                      <m:r>
                        <m:t>g</m:t>
                      </m:r>
                    </m:e>
                    <m:sub>
                      <m:r>
                        <m:t>k</m:t>
                      </m:r>
                    </m:sub>
                  </m:sSub>
                  <m:r>
                    <m:t>(</m:t>
                  </m:r>
                  <m:r>
                    <m:t>𝐱</m:t>
                  </m:r>
                  <m:r>
                    <m:t>)</m:t>
                  </m:r>
                  <m:r>
                    <m:t>)</m:t>
                  </m:r>
                  <m:r>
                    <m:t>)</m:t>
                  </m:r>
                </m:e>
              </m:d>
            </m:e>
          </m:nary>
        </m:oMath>
      </m:oMathPara>
    </w:p>
    <w:p>
      <w:pPr>
        <w:spacing w:before="0" w:after="90" w:line="276" w:lineRule="auto"/>
        <w:jc w:val="both"/>
      </w:pPr>
      <w:r>
        <w:rPr>
          <w:rFonts w:ascii="Times New Roman" w:hAnsi="Times New Roman"/>
          <w:b/>
          <w:i w:val="0"/>
          <w:color w:val="1E1E1E"/>
          <w:sz w:val="20"/>
        </w:rPr>
        <w:t>Why Unweighted CORAL Breaks Down on Imbalanced Medical Data:</w:t>
      </w:r>
    </w:p>
    <w:p>
      <w:pPr>
        <w:spacing w:before="0" w:after="90" w:line="276" w:lineRule="auto"/>
        <w:jc w:val="both"/>
      </w:pPr>
      <w:r>
        <w:rPr>
          <w:rFonts w:ascii="Times New Roman" w:hAnsi="Times New Roman"/>
          <w:b w:val="0"/>
          <w:i w:val="0"/>
          <w:color w:val="1E1E1E"/>
          <w:sz w:val="20"/>
        </w:rPr>
        <w:t xml:space="preserve">In unweighted CORAL, </w:t>
      </w:r>
      <w:r>
        <w:rPr>
          <w:rFonts w:ascii="Times New Roman" w:hAnsi="Times New Roman"/>
          <w:b w:val="0"/>
          <w:i/>
          <w:color w:val="1E1E1E"/>
          <w:sz w:val="20"/>
        </w:rPr>
        <w:t>every training sample updates all 4 binary tasks simultaneously</w:t>
      </w:r>
      <w:r>
        <w:rPr>
          <w:rFonts w:ascii="Times New Roman" w:hAnsi="Times New Roman"/>
          <w:b w:val="0"/>
          <w:i w:val="0"/>
          <w:color w:val="1E1E1E"/>
          <w:sz w:val="20"/>
        </w:rPr>
        <w:t>. In the APTOS dataset, Grade 0 contains 1,263 samples, while Grade 3 contains only 135 samples (9.4x smaller). For the higher thresholds (</w:t>
      </w:r>
      <m:oMath>
        <m:r>
          <m:t>k=2,3</m:t>
        </m:r>
      </m:oMath>
      <w:r>
        <w:rPr>
          <w:rFonts w:ascii="Times New Roman" w:hAnsi="Times New Roman"/>
          <w:b w:val="0"/>
          <w:i w:val="0"/>
          <w:color w:val="1E1E1E"/>
          <w:sz w:val="20"/>
        </w:rPr>
        <w:t xml:space="preserve">), almost all training samples have target </w:t>
      </w:r>
      <m:oMath>
        <m:sSub>
          <m:e>
            <m:r>
              <m:t>r</m:t>
            </m:r>
          </m:e>
          <m:sub>
            <m:r>
              <m:t>k</m:t>
            </m:r>
          </m:sub>
        </m:sSub>
        <m:r>
          <m:t>=0</m:t>
        </m:r>
      </m:oMath>
      <w:r>
        <w:rPr>
          <w:rFonts w:ascii="Times New Roman" w:hAnsi="Times New Roman"/>
          <w:b w:val="0"/>
          <w:i w:val="0"/>
          <w:color w:val="1E1E1E"/>
          <w:sz w:val="20"/>
        </w:rPr>
        <w:t xml:space="preserve">. The overwhelming flood of negative gradients from healthy retinas dominates the shared projection vector </w:t>
      </w:r>
      <m:oMath>
        <m:r>
          <m:t>𝐰</m:t>
        </m:r>
      </m:oMath>
      <w:r>
        <w:rPr>
          <w:rFonts w:ascii="Times New Roman" w:hAnsi="Times New Roman"/>
          <w:b w:val="0"/>
          <w:i w:val="0"/>
          <w:color w:val="1E1E1E"/>
          <w:sz w:val="20"/>
        </w:rPr>
        <w:t>, crushing the decision intervals for Grade 3. As a result, unweighted CORAL completely failed on Grade 3 Severe NPDR (0.0% recall, 26.4% catastrophic error rate).</w:t>
      </w:r>
    </w:p>
    <w:p>
      <w:pPr>
        <w:keepNext/>
        <w:spacing w:before="160" w:after="40"/>
      </w:pPr>
      <w:r>
        <w:rPr>
          <w:rFonts w:ascii="Times New Roman" w:hAnsi="Times New Roman"/>
          <w:b/>
          <w:i w:val="0"/>
          <w:color w:val="323232"/>
          <w:sz w:val="20"/>
        </w:rPr>
        <w:t>3) Variant C: Continuous Regression with Smooth L1 Loss</w:t>
      </w:r>
    </w:p>
    <w:p>
      <w:pPr>
        <w:spacing w:before="0" w:after="90" w:line="276" w:lineRule="auto"/>
        <w:jc w:val="both"/>
      </w:pPr>
      <w:r>
        <w:rPr>
          <w:rFonts w:ascii="Times New Roman" w:hAnsi="Times New Roman"/>
          <w:b w:val="0"/>
          <w:i w:val="0"/>
          <w:color w:val="1E1E1E"/>
          <w:sz w:val="20"/>
        </w:rPr>
        <w:t xml:space="preserve">Continuous regression maps the embedding </w:t>
      </w:r>
      <m:oMath>
        <m:r>
          <m:t>ϕ(𝐱)</m:t>
        </m:r>
      </m:oMath>
      <w:r>
        <w:rPr>
          <w:rFonts w:ascii="Times New Roman" w:hAnsi="Times New Roman"/>
          <w:b w:val="0"/>
          <w:i w:val="0"/>
          <w:color w:val="1E1E1E"/>
          <w:sz w:val="20"/>
        </w:rPr>
        <w:t xml:space="preserve"> directly to a continuous scalar prediction </w:t>
      </w:r>
      <m:oMath>
        <m:acc>
          <m:accPr>
            <m:chr m:val="̂"/>
          </m:accPr>
          <m:e>
            <m:r>
              <m:t>s</m:t>
            </m:r>
          </m:e>
        </m:acc>
        <m:r>
          <m:t>∈ℝ</m:t>
        </m:r>
      </m:oMath>
      <w:r>
        <w:rPr>
          <w:rFonts w:ascii="Times New Roman" w:hAnsi="Times New Roman"/>
          <w:b w:val="0"/>
          <w:i w:val="0"/>
          <w:color w:val="1E1E1E"/>
          <w:sz w:val="20"/>
        </w:rPr>
        <w:t>:</w:t>
      </w:r>
    </w:p>
    <w:p>
      <w:pPr>
        <w:spacing w:before="120" w:after="120"/>
        <w:jc w:val="center"/>
      </w:pPr>
      <m:oMathPara>
        <m:oMath>
          <m:acc>
            <m:accPr>
              <m:chr m:val="̂"/>
            </m:accPr>
            <m:e>
              <m:r>
                <m:t>s</m:t>
              </m:r>
            </m:e>
          </m:acc>
          <m:r>
            <m:t>=</m:t>
          </m:r>
          <m:sSup>
            <m:e>
              <m:r>
                <m:t>𝐰</m:t>
              </m:r>
            </m:e>
            <m:sup>
              <m:r>
                <m:t>T</m:t>
              </m:r>
            </m:sup>
          </m:sSup>
          <m:r>
            <m:t>ϕ(𝐱)+b</m:t>
          </m:r>
        </m:oMath>
      </m:oMathPara>
    </w:p>
    <w:p>
      <w:pPr>
        <w:spacing w:before="0" w:after="90" w:line="276" w:lineRule="auto"/>
        <w:jc w:val="both"/>
      </w:pPr>
      <w:r>
        <w:rPr>
          <w:rFonts w:ascii="Times New Roman" w:hAnsi="Times New Roman"/>
          <w:b w:val="0"/>
          <w:i w:val="0"/>
          <w:color w:val="1E1E1E"/>
          <w:sz w:val="20"/>
        </w:rPr>
        <w:t>To avoid gradient explosion from noisy outliers while retaining smooth quadratic convergence near the correct grade, the model is trained with Smooth L1 loss:</w:t>
      </w:r>
    </w:p>
    <w:p>
      <w:pPr>
        <w:spacing w:before="120" w:after="120"/>
        <w:jc w:val="center"/>
      </w:pPr>
      <m:oMathPara>
        <m:oMath>
          <m:sSub>
            <m:e>
              <m:r>
                <m:t>ℒ</m:t>
              </m:r>
            </m:e>
            <m:sub>
              <m:r>
                <m:t>SmoothL1</m:t>
              </m:r>
            </m:sub>
          </m:sSub>
          <m:r>
            <m:t>(y,</m:t>
          </m:r>
          <m:acc>
            <m:accPr>
              <m:chr m:val="̂"/>
            </m:accPr>
            <m:e>
              <m:r>
                <m:t>s</m:t>
              </m:r>
            </m:e>
          </m:acc>
          <m:r>
            <m:t>)=</m:t>
          </m:r>
          <m:d>
            <m:dPr>
              <m:begChr m:val="{"/>
              <m:sepChr m:val=""/>
              <m:endChr m:val=""/>
            </m:dPr>
            <m:e>
              <m:m>
                <m:mPr>
                  <m:baseJc m:val="center"/>
                  <m:plcHide m:val="on"/>
                  <m:mcs>
                    <m:mc>
                      <m:mcPr>
                        <m:count m:val="2"/>
                        <m:mcJc m:val="center"/>
                      </m:mcPr>
                    </m:mc>
                  </m:mcs>
                </m:mPr>
                <m:mr>
                  <m:e>
                    <m:r>
                      <m:t>0.5(y−</m:t>
                    </m:r>
                    <m:acc>
                      <m:accPr>
                        <m:chr m:val="̂"/>
                      </m:accPr>
                      <m:e>
                        <m:r>
                          <m:t>s</m:t>
                        </m:r>
                      </m:e>
                    </m:acc>
                    <m:sSup>
                      <m:e>
                        <m:r>
                          <m:t>)</m:t>
                        </m:r>
                      </m:e>
                      <m:sup>
                        <m:r>
                          <m:t>2</m:t>
                        </m:r>
                      </m:sup>
                    </m:sSup>
                  </m:e>
                  <m:e>
                    <m:r>
                      <m:rPr>
                        <m:nor/>
                      </m:rPr>
                      <m:t>if </m:t>
                    </m:r>
                    <m:r>
                      <m:t>|y−</m:t>
                    </m:r>
                    <m:acc>
                      <m:accPr>
                        <m:chr m:val="̂"/>
                      </m:accPr>
                      <m:e>
                        <m:r>
                          <m:t>s</m:t>
                        </m:r>
                      </m:e>
                    </m:acc>
                    <m:r>
                      <m:t>|&lt;1.0</m:t>
                    </m:r>
                  </m:e>
                </m:mr>
                <m:mr>
                  <m:e>
                    <m:r>
                      <m:t>|y−</m:t>
                    </m:r>
                    <m:acc>
                      <m:accPr>
                        <m:chr m:val="̂"/>
                      </m:accPr>
                      <m:e>
                        <m:r>
                          <m:t>s</m:t>
                        </m:r>
                      </m:e>
                    </m:acc>
                    <m:r>
                      <m:t>|−0.5</m:t>
                    </m:r>
                  </m:e>
                  <m:e>
                    <m:r>
                      <m:rPr>
                        <m:nor/>
                      </m:rPr>
                      <m:t>otherwise</m:t>
                    </m:r>
                  </m:e>
                </m:mr>
              </m:m>
            </m:e>
          </m:d>
        </m:oMath>
      </m:oMathPara>
    </w:p>
    <w:p>
      <w:pPr>
        <w:spacing w:before="0" w:after="90" w:line="276" w:lineRule="auto"/>
        <w:jc w:val="both"/>
      </w:pPr>
      <w:r>
        <w:rPr>
          <w:rFonts w:ascii="Times New Roman" w:hAnsi="Times New Roman"/>
          <w:b w:val="0"/>
          <w:i w:val="0"/>
          <w:color w:val="1E1E1E"/>
          <w:sz w:val="20"/>
        </w:rPr>
        <w:t xml:space="preserve">At test time, the continuous scalar is clipped to </w:t>
      </w:r>
      <m:oMath>
        <m:d>
          <m:dPr>
            <m:begChr m:val="["/>
            <m:sepChr m:val=","/>
            <m:endChr m:val="]"/>
          </m:dPr>
          <m:e>
            <m:r>
              <m:t>0.0</m:t>
            </m:r>
          </m:e>
          <m:e>
            <m:r>
              <m:t>4.0</m:t>
            </m:r>
          </m:e>
        </m:d>
      </m:oMath>
      <w:r>
        <w:rPr>
          <w:rFonts w:ascii="Times New Roman" w:hAnsi="Times New Roman"/>
          <w:b w:val="0"/>
          <w:i w:val="0"/>
          <w:color w:val="1E1E1E"/>
          <w:sz w:val="20"/>
        </w:rPr>
        <w:t xml:space="preserve"> and rounded: </w:t>
      </w:r>
      <m:oMath>
        <m:acc>
          <m:accPr>
            <m:chr m:val="̂"/>
          </m:accPr>
          <m:e>
            <m:r>
              <m:t>y</m:t>
            </m:r>
          </m:e>
        </m:acc>
        <m:r>
          <m:t>=</m:t>
        </m:r>
        <m:r>
          <m:rPr>
            <m:nor/>
          </m:rPr>
          <m:t>round</m:t>
        </m:r>
        <m:r>
          <m:t>(</m:t>
        </m:r>
        <m:r>
          <m:rPr>
            <m:nor/>
          </m:rPr>
          <m:t>clip</m:t>
        </m:r>
        <m:r>
          <m:t>(</m:t>
        </m:r>
        <m:acc>
          <m:accPr>
            <m:chr m:val="̂"/>
          </m:accPr>
          <m:e>
            <m:r>
              <m:t>s</m:t>
            </m:r>
          </m:e>
        </m:acc>
        <m:r>
          <m:t>,0.0,4.0))</m:t>
        </m:r>
      </m:oMath>
      <w:r>
        <w:rPr>
          <w:rFonts w:ascii="Times New Roman" w:hAnsi="Times New Roman"/>
          <w:b w:val="0"/>
          <w:i w:val="0"/>
          <w:color w:val="1E1E1E"/>
          <w:sz w:val="20"/>
        </w:rPr>
        <w:t>. Because the loss scales with distance, large multi-grade errors are penalized severely, effectively suppressing catastrophic triage failures.</w:t>
      </w:r>
    </w:p>
    <w:p>
      <w:pPr>
        <w:keepNext/>
        <w:spacing w:before="160" w:after="40"/>
      </w:pPr>
      <w:r>
        <w:rPr>
          <w:rFonts w:ascii="Times New Roman" w:hAnsi="Times New Roman"/>
          <w:b/>
          <w:i w:val="0"/>
          <w:color w:val="323232"/>
          <w:sz w:val="20"/>
        </w:rPr>
        <w:t>4) Variant D (CORN): Conditional Ordinal Regression with Class-Balanced Weights and Soft-QWK Loss</w:t>
      </w:r>
    </w:p>
    <w:p>
      <w:pPr>
        <w:spacing w:before="0" w:after="90" w:line="276" w:lineRule="auto"/>
        <w:jc w:val="both"/>
      </w:pPr>
      <w:r>
        <w:rPr>
          <w:rFonts w:ascii="Times New Roman" w:hAnsi="Times New Roman"/>
          <w:b w:val="0"/>
          <w:i w:val="0"/>
          <w:color w:val="1E1E1E"/>
          <w:sz w:val="20"/>
        </w:rPr>
        <w:t>To rescue ordinal regression from the breakdown observed in CORAL, we implement the Conditional Ordinal Regression for Neural Networks (CORN) framework [13].</w:t>
      </w:r>
    </w:p>
    <w:p>
      <w:pPr>
        <w:spacing w:before="0" w:after="90" w:line="276" w:lineRule="auto"/>
        <w:jc w:val="both"/>
      </w:pPr>
      <w:r>
        <w:rPr>
          <w:rFonts w:ascii="Times New Roman" w:hAnsi="Times New Roman"/>
          <w:b/>
          <w:i w:val="0"/>
          <w:color w:val="1E1E1E"/>
          <w:sz w:val="20"/>
        </w:rPr>
        <w:t>The Conditional Probability Formulation:</w:t>
      </w:r>
    </w:p>
    <w:p>
      <w:pPr>
        <w:spacing w:before="0" w:after="90" w:line="276" w:lineRule="auto"/>
        <w:jc w:val="both"/>
      </w:pPr>
      <w:r>
        <w:rPr>
          <w:rFonts w:ascii="Times New Roman" w:hAnsi="Times New Roman"/>
          <w:b w:val="0"/>
          <w:i w:val="0"/>
          <w:color w:val="1E1E1E"/>
          <w:sz w:val="20"/>
        </w:rPr>
        <w:t xml:space="preserve">Instead of predicting unconditioned cumulative probabilities, CORN models the step-by-step conditional probability of exceeding rank </w:t>
      </w:r>
      <m:oMath>
        <m:r>
          <m:t>k</m:t>
        </m:r>
      </m:oMath>
      <w:r>
        <w:rPr>
          <w:rFonts w:ascii="Times New Roman" w:hAnsi="Times New Roman"/>
          <w:b w:val="0"/>
          <w:i w:val="0"/>
          <w:color w:val="1E1E1E"/>
          <w:sz w:val="20"/>
        </w:rPr>
        <w:t>, given that the previous rank was already reached:</w:t>
      </w:r>
    </w:p>
    <w:p>
      <w:pPr>
        <w:spacing w:before="120" w:after="120"/>
        <w:jc w:val="center"/>
      </w:pPr>
      <m:oMathPara>
        <m:oMath>
          <m:sSub>
            <m:e>
              <m:r>
                <m:t>q</m:t>
              </m:r>
            </m:e>
            <m:sub>
              <m:r>
                <m:t>k</m:t>
              </m:r>
            </m:sub>
          </m:sSub>
          <m:r>
            <m:t>(𝐱)=P(y&gt;k∣y&gt;k−1)=σ(</m:t>
          </m:r>
          <m:sSub>
            <m:e>
              <m:r>
                <m:t>g</m:t>
              </m:r>
            </m:e>
            <m:sub>
              <m:r>
                <m:t>k</m:t>
              </m:r>
            </m:sub>
          </m:sSub>
          <m:r>
            <m:t>(𝐱)),</m:t>
          </m:r>
          <m:r>
            <m:t>k∈{0,1,2,3}</m:t>
          </m:r>
        </m:oMath>
      </m:oMathPara>
    </w:p>
    <w:p>
      <w:pPr>
        <w:spacing w:before="0" w:after="90" w:line="276" w:lineRule="auto"/>
        <w:jc w:val="both"/>
      </w:pPr>
      <w:r>
        <w:rPr>
          <w:rFonts w:ascii="Times New Roman" w:hAnsi="Times New Roman"/>
          <w:b w:val="0"/>
          <w:i w:val="0"/>
          <w:color w:val="1E1E1E"/>
          <w:sz w:val="20"/>
        </w:rPr>
        <w:t>By the probability chain rule, the unconditional cumulative probability is the running product of conditional terms:</w:t>
      </w:r>
    </w:p>
    <w:p>
      <w:pPr>
        <w:spacing w:before="120" w:after="120"/>
        <w:jc w:val="center"/>
      </w:pPr>
      <m:oMathPara>
        <m:oMath>
          <m:r>
            <m:t>P(y&gt;k∣𝐱)=</m:t>
          </m:r>
          <m:nary>
            <m:naryPr>
              <m:chr m:val="∏"/>
              <m:limLoc m:val="subSup"/>
              <m:grow m:val="1"/>
              <m:subHide m:val="off"/>
              <m:supHide m:val="off"/>
            </m:naryPr>
            <m:sub>
              <m:r>
                <m:t>j=0</m:t>
              </m:r>
            </m:sub>
            <m:sup>
              <m:r>
                <m:t>k</m:t>
              </m:r>
            </m:sup>
            <m:e>
              <m:sSub>
                <m:e>
                  <m:r>
                    <m:t>q</m:t>
                  </m:r>
                </m:e>
                <m:sub>
                  <m:r>
                    <m:t>j</m:t>
                  </m:r>
                </m:sub>
              </m:sSub>
            </m:e>
          </m:nary>
          <m:r>
            <m:t>(𝐱)</m:t>
          </m:r>
        </m:oMath>
      </m:oMathPara>
    </w:p>
    <w:p>
      <w:pPr>
        <w:spacing w:before="0" w:after="90" w:line="276" w:lineRule="auto"/>
        <w:jc w:val="both"/>
      </w:pPr>
      <w:r>
        <w:rPr>
          <w:rFonts w:ascii="Times New Roman" w:hAnsi="Times New Roman"/>
          <w:b/>
          <w:i w:val="0"/>
          <w:color w:val="1E1E1E"/>
          <w:sz w:val="20"/>
        </w:rPr>
        <w:t>Selective Task Subsetting (Isolating the Minority Class):</w:t>
      </w:r>
    </w:p>
    <w:p>
      <w:pPr>
        <w:spacing w:before="0" w:after="90" w:line="276" w:lineRule="auto"/>
        <w:jc w:val="both"/>
      </w:pPr>
      <w:r>
        <w:rPr>
          <w:rFonts w:ascii="Times New Roman" w:hAnsi="Times New Roman"/>
          <w:b w:val="0"/>
          <w:i w:val="0"/>
          <w:color w:val="1E1E1E"/>
          <w:sz w:val="20"/>
        </w:rPr>
        <w:t xml:space="preserve">The crucial mathematical innovation of CORN is that an instance with label </w:t>
      </w:r>
      <m:oMath>
        <m:r>
          <m:t>y</m:t>
        </m:r>
      </m:oMath>
      <w:r>
        <w:rPr>
          <w:rFonts w:ascii="Times New Roman" w:hAnsi="Times New Roman"/>
          <w:b w:val="0"/>
          <w:i w:val="0"/>
          <w:color w:val="1E1E1E"/>
          <w:sz w:val="20"/>
        </w:rPr>
        <w:t xml:space="preserve"> participates </w:t>
      </w:r>
      <w:r>
        <w:rPr>
          <w:rFonts w:ascii="Times New Roman" w:hAnsi="Times New Roman"/>
          <w:b w:val="0"/>
          <w:i/>
          <w:color w:val="1E1E1E"/>
          <w:sz w:val="20"/>
        </w:rPr>
        <w:t>only</w:t>
      </w:r>
      <w:r>
        <w:rPr>
          <w:rFonts w:ascii="Times New Roman" w:hAnsi="Times New Roman"/>
          <w:b w:val="0"/>
          <w:i w:val="0"/>
          <w:color w:val="1E1E1E"/>
          <w:sz w:val="20"/>
        </w:rPr>
        <w:t xml:space="preserve"> in binary tasks up to its own label condition:</w:t>
      </w:r>
    </w:p>
    <w:p>
      <w:pPr>
        <w:spacing w:before="120" w:after="120"/>
        <w:jc w:val="center"/>
      </w:pPr>
      <m:oMathPara>
        <m:oMath>
          <m:sSub>
            <m:e>
              <m:r>
                <m:t>ℒ</m:t>
              </m:r>
            </m:e>
            <m:sub>
              <m:r>
                <m:t>CORN</m:t>
              </m:r>
            </m:sub>
          </m:sSub>
          <m:r>
            <m:t>(𝐱,y)=</m:t>
          </m:r>
          <m:f>
            <m:fPr>
              <m:type m:val="bar"/>
            </m:fPr>
            <m:num>
              <m:r>
                <m:t>1</m:t>
              </m:r>
            </m:num>
            <m:den>
              <m:r>
                <m:t>min(y+1,K−1)</m:t>
              </m:r>
            </m:den>
          </m:f>
          <m:nary>
            <m:naryPr>
              <m:chr m:val="∑"/>
              <m:limLoc m:val="subSup"/>
              <m:grow m:val="1"/>
              <m:subHide m:val="off"/>
              <m:supHide m:val="off"/>
            </m:naryPr>
            <m:sub>
              <m:r>
                <m:t>k=0</m:t>
              </m:r>
            </m:sub>
            <m:sup>
              <m:r>
                <m:t>min(y,K−2)</m:t>
              </m:r>
            </m:sup>
            <m:e>
              <m:r>
                <m:rPr>
                  <m:nor/>
                </m:rPr>
                <m:t>BCE</m:t>
              </m:r>
              <m:r>
                <m:t>(</m:t>
              </m:r>
            </m:e>
          </m:nary>
          <m:sSub>
            <m:e>
              <m:r>
                <m:t>g</m:t>
              </m:r>
            </m:e>
            <m:sub>
              <m:r>
                <m:t>k</m:t>
              </m:r>
            </m:sub>
          </m:sSub>
          <m:r>
            <m:t>(𝐱),𝕀(y&gt;k))</m:t>
          </m:r>
        </m:oMath>
      </m:oMathPara>
    </w:p>
    <w:p>
      <w:pPr>
        <w:spacing w:before="0" w:after="90" w:line="276" w:lineRule="auto"/>
        <w:jc w:val="both"/>
      </w:pPr>
      <w:r>
        <w:rPr>
          <w:rFonts w:ascii="Times New Roman" w:hAnsi="Times New Roman"/>
          <w:b w:val="0"/>
          <w:i w:val="0"/>
          <w:color w:val="1E1E1E"/>
          <w:sz w:val="20"/>
        </w:rPr>
        <w:t>A healthy patient (</w:t>
      </w:r>
      <m:oMath>
        <m:r>
          <m:t>y=0</m:t>
        </m:r>
      </m:oMath>
      <w:r>
        <w:rPr>
          <w:rFonts w:ascii="Times New Roman" w:hAnsi="Times New Roman"/>
          <w:b w:val="0"/>
          <w:i w:val="0"/>
          <w:color w:val="1E1E1E"/>
          <w:sz w:val="20"/>
        </w:rPr>
        <w:t xml:space="preserve">) updates </w:t>
      </w:r>
      <w:r>
        <w:rPr>
          <w:rFonts w:ascii="Times New Roman" w:hAnsi="Times New Roman"/>
          <w:b w:val="0"/>
          <w:i/>
          <w:color w:val="1E1E1E"/>
          <w:sz w:val="20"/>
        </w:rPr>
        <w:t>only</w:t>
      </w:r>
      <w:r>
        <w:rPr>
          <w:rFonts w:ascii="Times New Roman" w:hAnsi="Times New Roman"/>
          <w:b w:val="0"/>
          <w:i w:val="0"/>
          <w:color w:val="1E1E1E"/>
          <w:sz w:val="20"/>
        </w:rPr>
        <w:t xml:space="preserve"> task 0 (</w:t>
      </w:r>
      <m:oMath>
        <m:r>
          <m:t>y&gt;0</m:t>
        </m:r>
      </m:oMath>
      <w:r>
        <w:rPr>
          <w:rFonts w:ascii="Times New Roman" w:hAnsi="Times New Roman"/>
          <w:b w:val="0"/>
          <w:i w:val="0"/>
          <w:color w:val="1E1E1E"/>
          <w:sz w:val="20"/>
        </w:rPr>
        <w:t>). They generate zero gradient on tasks 1, 2, and 3. Consequently, the rare examples of Severe NPDR (</w:t>
      </w:r>
      <m:oMath>
        <m:r>
          <m:t>y=3</m:t>
        </m:r>
      </m:oMath>
      <w:r>
        <w:rPr>
          <w:rFonts w:ascii="Times New Roman" w:hAnsi="Times New Roman"/>
          <w:b w:val="0"/>
          <w:i w:val="0"/>
          <w:color w:val="1E1E1E"/>
          <w:sz w:val="20"/>
        </w:rPr>
        <w:t>) and Proliferative DR (</w:t>
      </w:r>
      <m:oMath>
        <m:r>
          <m:t>y=4</m:t>
        </m:r>
      </m:oMath>
      <w:r>
        <w:rPr>
          <w:rFonts w:ascii="Times New Roman" w:hAnsi="Times New Roman"/>
          <w:b w:val="0"/>
          <w:i w:val="0"/>
          <w:color w:val="1E1E1E"/>
          <w:sz w:val="20"/>
        </w:rPr>
        <w:t>) are fully protected from being drowned out by the healthy majority cohort.</w:t>
      </w:r>
    </w:p>
    <w:p>
      <w:pPr>
        <w:spacing w:before="0" w:after="90" w:line="276" w:lineRule="auto"/>
        <w:jc w:val="both"/>
      </w:pPr>
      <w:r>
        <w:rPr>
          <w:rFonts w:ascii="Times New Roman" w:hAnsi="Times New Roman"/>
          <w:b/>
          <w:i w:val="0"/>
          <w:color w:val="1E1E1E"/>
          <w:sz w:val="20"/>
        </w:rPr>
        <w:t>Effective Number of Samples Loss Weighting (Cui et al. [14]):</w:t>
      </w:r>
    </w:p>
    <w:p>
      <w:pPr>
        <w:spacing w:before="0" w:after="90" w:line="276" w:lineRule="auto"/>
        <w:jc w:val="both"/>
      </w:pPr>
      <w:r>
        <w:rPr>
          <w:rFonts w:ascii="Times New Roman" w:hAnsi="Times New Roman"/>
          <w:b w:val="0"/>
          <w:i w:val="0"/>
          <w:color w:val="1E1E1E"/>
          <w:sz w:val="20"/>
        </w:rPr>
        <w:t>To handle the remaining imbalance without generating fake SMOTE pixels, we apply effective-number class weighting:</w:t>
      </w:r>
    </w:p>
    <w:p>
      <w:pPr>
        <w:spacing w:before="120" w:after="120"/>
        <w:jc w:val="center"/>
      </w:pPr>
      <m:oMathPara>
        <m:oMath>
          <m:sSub>
            <m:e>
              <m:r>
                <m:t>W</m:t>
              </m:r>
            </m:e>
            <m:sub>
              <m:r>
                <m:t>c</m:t>
              </m:r>
            </m:sub>
          </m:sSub>
          <m:r>
            <m:t>=</m:t>
          </m:r>
          <m:f>
            <m:fPr>
              <m:type m:val="bar"/>
            </m:fPr>
            <m:num>
              <m:r>
                <m:t>1−β</m:t>
              </m:r>
            </m:num>
            <m:den>
              <m:r>
                <m:t>1−</m:t>
              </m:r>
              <m:sSup>
                <m:e>
                  <m:r>
                    <m:t>β</m:t>
                  </m:r>
                </m:e>
                <m:sup>
                  <m:sSub>
                    <m:e>
                      <m:r>
                        <m:t>n</m:t>
                      </m:r>
                    </m:e>
                    <m:sub>
                      <m:r>
                        <m:t>c</m:t>
                      </m:r>
                    </m:sub>
                  </m:sSub>
                </m:sup>
              </m:sSup>
            </m:den>
          </m:f>
          <m:r>
            <m:t>,</m:t>
          </m:r>
          <m:r>
            <m:rPr>
              <m:nor/>
            </m:rPr>
            <m:t>normalized such that </m:t>
          </m:r>
          <m:nary>
            <m:naryPr>
              <m:chr m:val="∑"/>
              <m:limLoc m:val="subSup"/>
              <m:grow m:val="1"/>
              <m:subHide m:val="off"/>
              <m:supHide m:val="off"/>
            </m:naryPr>
            <m:sub>
              <m:r>
                <m:t>c=0</m:t>
              </m:r>
            </m:sub>
            <m:sup>
              <m:r>
                <m:t>4</m:t>
              </m:r>
            </m:sup>
            <m:e>
              <m:sSub>
                <m:e>
                  <m:r>
                    <m:t>W</m:t>
                  </m:r>
                </m:e>
                <m:sub>
                  <m:r>
                    <m:t>c</m:t>
                  </m:r>
                </m:sub>
              </m:sSub>
            </m:e>
          </m:nary>
          <m:r>
            <m:t>=5</m:t>
          </m:r>
        </m:oMath>
      </m:oMathPara>
    </w:p>
    <w:p>
      <w:pPr>
        <w:spacing w:before="0" w:after="90" w:line="276" w:lineRule="auto"/>
        <w:jc w:val="both"/>
      </w:pPr>
      <w:r>
        <w:rPr>
          <w:rFonts w:ascii="Times New Roman" w:hAnsi="Times New Roman"/>
          <w:b w:val="0"/>
          <w:i w:val="0"/>
          <w:color w:val="1E1E1E"/>
          <w:sz w:val="20"/>
        </w:rPr>
        <w:t xml:space="preserve">Setting </w:t>
      </w:r>
      <m:oMath>
        <m:r>
          <m:t>β=0.9999</m:t>
        </m:r>
      </m:oMath>
      <w:r>
        <w:rPr>
          <w:rFonts w:ascii="Times New Roman" w:hAnsi="Times New Roman"/>
          <w:b w:val="0"/>
          <w:i w:val="0"/>
          <w:color w:val="1E1E1E"/>
          <w:sz w:val="20"/>
        </w:rPr>
        <w:t xml:space="preserve"> yields normalized weights:</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Grade 0: </w:t>
      </w:r>
      <m:oMath>
        <m:sSub>
          <m:e>
            <m:r>
              <m:t>W</m:t>
            </m:r>
          </m:e>
          <m:sub>
            <m:r>
              <m:t>0</m:t>
            </m:r>
          </m:sub>
        </m:sSub>
        <m:r>
          <m:t>=0.2269</m:t>
        </m:r>
      </m:oMath>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Grade 1: </w:t>
      </w:r>
      <m:oMath>
        <m:sSub>
          <m:e>
            <m:r>
              <m:t>W</m:t>
            </m:r>
          </m:e>
          <m:sub>
            <m:r>
              <m:t>1</m:t>
            </m:r>
          </m:sub>
        </m:sSub>
        <m:r>
          <m:t>=1.0529</m:t>
        </m:r>
      </m:oMath>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Grade 2: </w:t>
      </w:r>
      <m:oMath>
        <m:sSub>
          <m:e>
            <m:r>
              <m:t>W</m:t>
            </m:r>
          </m:e>
          <m:sub>
            <m:r>
              <m:t>2</m:t>
            </m:r>
          </m:sub>
        </m:sSub>
        <m:r>
          <m:t>=0.3987</m:t>
        </m:r>
      </m:oMath>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Grade 3 (Severe NPDR): </w:t>
      </w:r>
      <m:oMath>
        <m:sSub>
          <m:e>
            <m:r>
              <m:t>W</m:t>
            </m:r>
          </m:e>
          <m:sub>
            <m:r>
              <m:t>3</m:t>
            </m:r>
          </m:sub>
        </m:sSub>
        <m:r>
          <m:t>=2.0075</m:t>
        </m:r>
      </m:oMath>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Grade 4 (Proliferative DR): </w:t>
      </w:r>
      <m:oMath>
        <m:sSub>
          <m:e>
            <m:r>
              <m:t>W</m:t>
            </m:r>
          </m:e>
          <m:sub>
            <m:r>
              <m:t>4</m:t>
            </m:r>
          </m:sub>
        </m:sSub>
        <m:r>
          <m:t>=1.3140</m:t>
        </m:r>
      </m:oMath>
    </w:p>
    <w:p>
      <w:pPr>
        <w:spacing w:before="0" w:after="90" w:line="276" w:lineRule="auto"/>
        <w:jc w:val="both"/>
      </w:pPr>
      <w:r>
        <w:rPr>
          <w:rFonts w:ascii="Times New Roman" w:hAnsi="Times New Roman"/>
          <w:b w:val="0"/>
          <w:i w:val="0"/>
          <w:color w:val="1E1E1E"/>
          <w:sz w:val="20"/>
        </w:rPr>
        <w:t xml:space="preserve">This elevates gradient attention on Grade 3 cases by nearly 9x relative to Grade 0. Furthermore, a </w:t>
      </w:r>
      <w:r>
        <w:rPr>
          <w:rFonts w:ascii="Consolas" w:hAnsi="Consolas"/>
          <w:color w:val="3C3C3C"/>
          <w:sz w:val="20"/>
        </w:rPr>
        <w:t>WeightedRandomSampler</w:t>
      </w:r>
      <w:r>
        <w:rPr>
          <w:rFonts w:ascii="Times New Roman" w:hAnsi="Times New Roman"/>
          <w:b w:val="0"/>
          <w:i w:val="0"/>
          <w:color w:val="1E1E1E"/>
          <w:sz w:val="20"/>
        </w:rPr>
        <w:t xml:space="preserve"> at the DataLoader level ensures minority classes are sampled regularly throughout each epoch.</w:t>
      </w:r>
    </w:p>
    <w:p>
      <w:pPr>
        <w:spacing w:before="0" w:after="90" w:line="276" w:lineRule="auto"/>
        <w:jc w:val="both"/>
      </w:pPr>
      <w:r>
        <w:rPr>
          <w:rFonts w:ascii="Times New Roman" w:hAnsi="Times New Roman"/>
          <w:b/>
          <w:i w:val="0"/>
          <w:color w:val="1E1E1E"/>
          <w:sz w:val="20"/>
        </w:rPr>
        <w:t>Differentiable Soft-QWK Loss Regularization:</w:t>
      </w:r>
    </w:p>
    <w:p>
      <w:pPr>
        <w:spacing w:before="0" w:after="90" w:line="276" w:lineRule="auto"/>
        <w:jc w:val="both"/>
      </w:pPr>
      <w:r>
        <w:rPr>
          <w:rFonts w:ascii="Times New Roman" w:hAnsi="Times New Roman"/>
          <w:b w:val="0"/>
          <w:i w:val="0"/>
          <w:color w:val="1E1E1E"/>
          <w:sz w:val="20"/>
        </w:rPr>
        <w:t xml:space="preserve">To align training directly with our clinical target metric, we compute soft class probabilities </w:t>
      </w:r>
      <m:oMath>
        <m:r>
          <m:t>P(y=k)</m:t>
        </m:r>
      </m:oMath>
      <w:r>
        <w:rPr>
          <w:rFonts w:ascii="Times New Roman" w:hAnsi="Times New Roman"/>
          <w:b w:val="0"/>
          <w:i w:val="0"/>
          <w:color w:val="1E1E1E"/>
          <w:sz w:val="20"/>
        </w:rPr>
        <w:t xml:space="preserve"> from the cumulative products:</w:t>
      </w:r>
    </w:p>
    <w:p>
      <w:pPr>
        <w:spacing w:before="120" w:after="120"/>
        <w:jc w:val="center"/>
      </w:pPr>
      <m:oMathPara>
        <m:oMath>
          <m:r>
            <m:t>P(y=0)=1−P(y&gt;0),</m:t>
          </m:r>
          <m:r>
            <m:t>P(y=k)=P(y&gt;k−1)−P(y&gt;k),</m:t>
          </m:r>
          <m:r>
            <m:t>P(y=4)=P(y&gt;3)</m:t>
          </m:r>
        </m:oMath>
      </m:oMathPara>
    </w:p>
    <w:p>
      <w:pPr>
        <w:spacing w:before="0" w:after="90" w:line="276" w:lineRule="auto"/>
        <w:jc w:val="both"/>
      </w:pPr>
      <w:r>
        <w:rPr>
          <w:rFonts w:ascii="Times New Roman" w:hAnsi="Times New Roman"/>
          <w:b w:val="0"/>
          <w:i w:val="0"/>
          <w:color w:val="1E1E1E"/>
          <w:sz w:val="20"/>
        </w:rPr>
        <w:t xml:space="preserve">Over each mini-batch, the soft observed confusion matrix </w:t>
      </w:r>
      <m:oMath>
        <m:r>
          <m:t>𝐎</m:t>
        </m:r>
      </m:oMath>
      <w:r>
        <w:rPr>
          <w:rFonts w:ascii="Times New Roman" w:hAnsi="Times New Roman"/>
          <w:b w:val="0"/>
          <w:i w:val="0"/>
          <w:color w:val="1E1E1E"/>
          <w:sz w:val="20"/>
        </w:rPr>
        <w:t xml:space="preserve"> and chance agreement matrix </w:t>
      </w:r>
      <m:oMath>
        <m:r>
          <m:t>𝐄</m:t>
        </m:r>
      </m:oMath>
      <w:r>
        <w:rPr>
          <w:rFonts w:ascii="Times New Roman" w:hAnsi="Times New Roman"/>
          <w:b w:val="0"/>
          <w:i w:val="0"/>
          <w:color w:val="1E1E1E"/>
          <w:sz w:val="20"/>
        </w:rPr>
        <w:t xml:space="preserve"> are constructed to form a differentiable Soft-QWK loss:</w:t>
      </w:r>
    </w:p>
    <w:p>
      <w:pPr>
        <w:spacing w:before="120" w:after="120"/>
        <w:jc w:val="center"/>
      </w:pPr>
      <m:oMathPara>
        <m:oMath>
          <m:sSub>
            <m:e>
              <m:r>
                <m:t>ℒ</m:t>
              </m:r>
            </m:e>
            <m:sub>
              <m:r>
                <m:t>SoftQWK</m:t>
              </m:r>
            </m:sub>
          </m:sSub>
          <m:r>
            <m:t>=</m:t>
          </m:r>
          <m:f>
            <m:fPr>
              <m:type m:val="bar"/>
            </m:fPr>
            <m:num>
              <m:nary>
                <m:naryPr>
                  <m:chr m:val="∑"/>
                  <m:limLoc m:val="subSup"/>
                  <m:grow m:val="1"/>
                  <m:subHide m:val="off"/>
                  <m:supHide m:val="on"/>
                </m:naryPr>
                <m:sub>
                  <m:r>
                    <m:t>i,j</m:t>
                  </m:r>
                </m:sub>
                <m:sup/>
                <m:e>
                  <m:sSub>
                    <m:e>
                      <m:r>
                        <m:t>w</m:t>
                      </m:r>
                    </m:e>
                    <m:sub>
                      <m:r>
                        <m:t>i,j</m:t>
                      </m:r>
                    </m:sub>
                  </m:sSub>
                </m:e>
              </m:nary>
              <m:sSub>
                <m:e>
                  <m:r>
                    <m:t>O</m:t>
                  </m:r>
                </m:e>
                <m:sub>
                  <m:r>
                    <m:t>i,j</m:t>
                  </m:r>
                </m:sub>
              </m:sSub>
            </m:num>
            <m:den>
              <m:nary>
                <m:naryPr>
                  <m:chr m:val="∑"/>
                  <m:limLoc m:val="subSup"/>
                  <m:grow m:val="1"/>
                  <m:subHide m:val="off"/>
                  <m:supHide m:val="on"/>
                </m:naryPr>
                <m:sub>
                  <m:r>
                    <m:t>i,j</m:t>
                  </m:r>
                </m:sub>
                <m:sup/>
                <m:e>
                  <m:sSub>
                    <m:e>
                      <m:r>
                        <m:t>w</m:t>
                      </m:r>
                    </m:e>
                    <m:sub>
                      <m:r>
                        <m:t>i,j</m:t>
                      </m:r>
                    </m:sub>
                  </m:sSub>
                </m:e>
              </m:nary>
              <m:sSub>
                <m:e>
                  <m:r>
                    <m:t>E</m:t>
                  </m:r>
                </m:e>
                <m:sub>
                  <m:r>
                    <m:t>i,j</m:t>
                  </m:r>
                </m:sub>
              </m:sSub>
              <m:r>
                <m:t>+ϵ</m:t>
              </m:r>
            </m:den>
          </m:f>
          <m:r>
            <m:t>,</m:t>
          </m:r>
          <m:sSub>
            <m:e>
              <m:r>
                <m:t>w</m:t>
              </m:r>
            </m:e>
            <m:sub>
              <m:r>
                <m:t>i,j</m:t>
              </m:r>
            </m:sub>
          </m:sSub>
          <m:r>
            <m:t>=</m:t>
          </m:r>
          <m:f>
            <m:fPr>
              <m:type m:val="bar"/>
            </m:fPr>
            <m:num>
              <m:sSup>
                <m:e>
                  <m:d>
                    <m:dPr>
                      <m:sepChr m:val=""/>
                    </m:dPr>
                    <m:e>
                      <m:r>
                        <m:t>i</m:t>
                      </m:r>
                      <m:r>
                        <m:t>−</m:t>
                      </m:r>
                      <m:r>
                        <m:t>j</m:t>
                      </m:r>
                    </m:e>
                  </m:d>
                </m:e>
                <m:sup>
                  <m:r>
                    <m:t>2</m:t>
                  </m:r>
                </m:sup>
              </m:sSup>
            </m:num>
            <m:den>
              <m:sSup>
                <m:e>
                  <m:d>
                    <m:dPr>
                      <m:sepChr m:val=""/>
                    </m:dPr>
                    <m:e>
                      <m:r>
                        <m:t>K</m:t>
                      </m:r>
                      <m:r>
                        <m:t>−</m:t>
                      </m:r>
                      <m:r>
                        <m:t>1</m:t>
                      </m:r>
                    </m:e>
                  </m:d>
                </m:e>
                <m:sup>
                  <m:r>
                    <m:t>2</m:t>
                  </m:r>
                </m:sup>
              </m:sSup>
            </m:den>
          </m:f>
        </m:oMath>
      </m:oMathPara>
    </w:p>
    <w:p>
      <w:pPr>
        <w:spacing w:before="0" w:after="90" w:line="276" w:lineRule="auto"/>
        <w:jc w:val="both"/>
      </w:pPr>
      <w:r>
        <w:rPr>
          <w:rFonts w:ascii="Times New Roman" w:hAnsi="Times New Roman"/>
          <w:b w:val="0"/>
          <w:i w:val="0"/>
          <w:color w:val="1E1E1E"/>
          <w:sz w:val="20"/>
        </w:rPr>
        <w:t>The total optimization objective is:</w:t>
      </w:r>
    </w:p>
    <w:p>
      <w:pPr>
        <w:spacing w:before="120" w:after="120"/>
        <w:jc w:val="center"/>
      </w:pPr>
      <m:oMathPara>
        <m:oMath>
          <m:sSub>
            <m:e>
              <m:r>
                <m:t>ℒ</m:t>
              </m:r>
            </m:e>
            <m:sub>
              <m:r>
                <m:t>total</m:t>
              </m:r>
            </m:sub>
          </m:sSub>
          <m:r>
            <m:t>=</m:t>
          </m:r>
          <m:sSub>
            <m:e>
              <m:r>
                <m:t>ℒ</m:t>
              </m:r>
            </m:e>
            <m:sub>
              <m:r>
                <m:t>CORN</m:t>
              </m:r>
            </m:sub>
          </m:sSub>
          <m:r>
            <m:t>+</m:t>
          </m:r>
          <m:sSub>
            <m:e>
              <m:r>
                <m:t>λ</m:t>
              </m:r>
            </m:e>
            <m:sub>
              <m:r>
                <m:t>QWK</m:t>
              </m:r>
            </m:sub>
          </m:sSub>
          <m:r>
            <m:t>·</m:t>
          </m:r>
          <m:sSub>
            <m:e>
              <m:r>
                <m:t>ℒ</m:t>
              </m:r>
            </m:e>
            <m:sub>
              <m:r>
                <m:t>SoftQWK</m:t>
              </m:r>
            </m:sub>
          </m:sSub>
          <m:r>
            <m:t>,</m:t>
          </m:r>
          <m:r>
            <m:rPr>
              <m:nor/>
            </m:rPr>
            <m:t>with </m:t>
          </m:r>
          <m:sSub>
            <m:e>
              <m:r>
                <m:t>λ</m:t>
              </m:r>
            </m:e>
            <m:sub>
              <m:r>
                <m:t>QWK</m:t>
              </m:r>
            </m:sub>
          </m:sSub>
          <m:r>
            <m:t>=0.20</m:t>
          </m:r>
        </m:oMath>
      </m:oMathPara>
    </w:p>
    <w:p>
      <w:pPr>
        <w:keepNext/>
        <w:spacing w:before="160" w:after="40"/>
      </w:pPr>
      <w:r>
        <w:rPr>
          <w:rFonts w:ascii="Times New Roman" w:hAnsi="Times New Roman"/>
          <w:b/>
          <w:i w:val="0"/>
          <w:color w:val="323232"/>
          <w:sz w:val="20"/>
        </w:rPr>
        <w:t>5) Optimizing Raw Classification Accuracy: Label Smoothing, Logit Adjustment, and Ensembling</w:t>
      </w:r>
    </w:p>
    <w:p>
      <w:pPr>
        <w:spacing w:before="0" w:after="90" w:line="276" w:lineRule="auto"/>
        <w:jc w:val="both"/>
      </w:pPr>
      <w:r>
        <w:rPr>
          <w:rFonts w:ascii="Times New Roman" w:hAnsi="Times New Roman"/>
          <w:b w:val="0"/>
          <w:i w:val="0"/>
          <w:color w:val="1E1E1E"/>
          <w:sz w:val="20"/>
        </w:rPr>
        <w:t>For telemedicine scenarios where raw classification accuracy (</w:t>
      </w:r>
      <m:oMath>
        <m:r>
          <m:t>≥80%</m:t>
        </m:r>
      </m:oMath>
      <w:r>
        <w:rPr>
          <w:rFonts w:ascii="Times New Roman" w:hAnsi="Times New Roman"/>
          <w:b w:val="0"/>
          <w:i w:val="0"/>
          <w:color w:val="1E1E1E"/>
          <w:sz w:val="20"/>
        </w:rPr>
        <w:t>) and high specificity are paramount, we implement an accuracy-centric optimization suite:</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Cross-Entropy with Label Smoothing:</w:t>
      </w:r>
      <w:r>
        <w:rPr>
          <w:rFonts w:ascii="Times New Roman" w:hAnsi="Times New Roman"/>
          <w:b w:val="0"/>
          <w:i w:val="0"/>
          <w:color w:val="1E1E1E"/>
          <w:sz w:val="20"/>
        </w:rPr>
        <w:t xml:space="preserve"> Rather than forcing one-hot confidence, we smooth targets by </w:t>
      </w:r>
      <m:oMath>
        <m:r>
          <m:t>α=0.08</m:t>
        </m:r>
      </m:oMath>
      <w:r>
        <w:rPr>
          <w:rFonts w:ascii="Times New Roman" w:hAnsi="Times New Roman"/>
          <w:b w:val="0"/>
          <w:i w:val="0"/>
          <w:color w:val="1E1E1E"/>
          <w:sz w:val="20"/>
        </w:rPr>
        <w:t>:</w:t>
      </w:r>
    </w:p>
    <w:p>
      <w:pPr>
        <w:spacing w:before="120" w:after="120"/>
        <w:jc w:val="center"/>
      </w:pPr>
      <m:oMathPara>
        <m:oMath>
          <m:sSubSup>
            <m:e>
              <m:r>
                <m:t>y</m:t>
              </m:r>
            </m:e>
            <m:sub>
              <m:r>
                <m:t>k</m:t>
              </m:r>
            </m:sub>
            <m:sup>
              <m:r>
                <m:t>LS</m:t>
              </m:r>
            </m:sup>
          </m:sSubSup>
          <m:r>
            <m:t>=(1−α)</m:t>
          </m:r>
          <m:sSub>
            <m:e>
              <m:r>
                <m:t>y</m:t>
              </m:r>
            </m:e>
            <m:sub>
              <m:r>
                <m:t>k</m:t>
              </m:r>
            </m:sub>
          </m:sSub>
          <m:r>
            <m:t>+</m:t>
          </m:r>
          <m:f>
            <m:fPr>
              <m:type m:val="bar"/>
            </m:fPr>
            <m:num>
              <m:r>
                <m:t>α</m:t>
              </m:r>
            </m:num>
            <m:den>
              <m:r>
                <m:t>K</m:t>
              </m:r>
            </m:den>
          </m:f>
        </m:oMath>
      </m:oMathPara>
    </w:p>
    <w:p>
      <w:pPr>
        <w:spacing w:before="0" w:after="90" w:line="276" w:lineRule="auto"/>
        <w:jc w:val="both"/>
      </w:pPr>
      <w:r>
        <w:rPr>
          <w:rFonts w:ascii="Times New Roman" w:hAnsi="Times New Roman"/>
          <w:b w:val="0"/>
          <w:i w:val="0"/>
          <w:color w:val="1E1E1E"/>
          <w:sz w:val="20"/>
        </w:rPr>
        <w:t>This prevents the network from becoming overconfident on ambiguous retinal lesions and drastically reduces test-set margin errors.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Post-Hoc Logit Adjustment (Menon et al. [15]):</w:t>
      </w:r>
      <w:r>
        <w:rPr>
          <w:rFonts w:ascii="Times New Roman" w:hAnsi="Times New Roman"/>
          <w:b w:val="0"/>
          <w:i w:val="0"/>
          <w:color w:val="1E1E1E"/>
          <w:sz w:val="20"/>
        </w:rPr>
        <w:t xml:space="preserve"> At test time, we adjust unnormalized output logits using the empirical class prior distribution </w:t>
      </w:r>
      <m:oMath>
        <m:sSub>
          <m:e>
            <m:r>
              <m:t>π</m:t>
            </m:r>
          </m:e>
          <m:sub>
            <m:r>
              <m:t>y</m:t>
            </m:r>
          </m:sub>
        </m:sSub>
        <m:r>
          <m:t>=</m:t>
        </m:r>
        <m:f>
          <m:fPr>
            <m:type m:val="bar"/>
          </m:fPr>
          <m:num>
            <m:sSub>
              <m:e>
                <m:r>
                  <m:t>n</m:t>
                </m:r>
              </m:e>
              <m:sub>
                <m:r>
                  <m:t>y</m:t>
                </m:r>
              </m:sub>
            </m:sSub>
          </m:num>
          <m:den>
            <m:sSub>
              <m:e>
                <m:r>
                  <m:t>N</m:t>
                </m:r>
              </m:e>
              <m:sub>
                <m:r>
                  <m:t>train</m:t>
                </m:r>
              </m:sub>
            </m:sSub>
          </m:den>
        </m:f>
      </m:oMath>
      <w:r>
        <w:rPr>
          <w:rFonts w:ascii="Times New Roman" w:hAnsi="Times New Roman"/>
          <w:b w:val="0"/>
          <w:i w:val="0"/>
          <w:color w:val="1E1E1E"/>
          <w:sz w:val="20"/>
        </w:rPr>
        <w:t>:</w:t>
      </w:r>
    </w:p>
    <w:p>
      <w:pPr>
        <w:spacing w:before="120" w:after="120"/>
        <w:jc w:val="center"/>
      </w:pPr>
      <m:oMathPara>
        <m:oMath>
          <m:sSub>
            <m:e>
              <m:limUpp>
                <m:e>
                  <m:r>
                    <m:t>f</m:t>
                  </m:r>
                </m:e>
                <m:lim>
                  <m:r>
                    <m:t>~</m:t>
                  </m:r>
                </m:lim>
              </m:limUpp>
            </m:e>
            <m:sub>
              <m:r>
                <m:t>y</m:t>
              </m:r>
            </m:sub>
          </m:sSub>
          <m:r>
            <m:t>(𝐱)=</m:t>
          </m:r>
          <m:sSub>
            <m:e>
              <m:r>
                <m:t>f</m:t>
              </m:r>
            </m:e>
            <m:sub>
              <m:r>
                <m:t>y</m:t>
              </m:r>
            </m:sub>
          </m:sSub>
          <m:r>
            <m:t>(𝐱)−τ·</m:t>
          </m:r>
          <m:r>
            <m:rPr>
              <m:sty m:val="p"/>
            </m:rPr>
            <m:t>log</m:t>
          </m:r>
          <m:r>
            <m:t>(</m:t>
          </m:r>
          <m:sSub>
            <m:e>
              <m:r>
                <m:t>π</m:t>
              </m:r>
            </m:e>
            <m:sub>
              <m:r>
                <m:t>y</m:t>
              </m:r>
            </m:sub>
          </m:sSub>
          <m:r>
            <m:t>)</m:t>
          </m:r>
        </m:oMath>
      </m:oMathPara>
    </w:p>
    <w:p>
      <w:pPr>
        <w:spacing w:before="0" w:after="90" w:line="276" w:lineRule="auto"/>
        <w:jc w:val="both"/>
      </w:pPr>
      <w:r>
        <w:rPr>
          <w:rFonts w:ascii="Times New Roman" w:hAnsi="Times New Roman"/>
          <w:b w:val="0"/>
          <w:i w:val="0"/>
          <w:color w:val="1E1E1E"/>
          <w:sz w:val="20"/>
        </w:rPr>
        <w:t xml:space="preserve">where </w:t>
      </w:r>
      <m:oMath>
        <m:r>
          <m:t>τ≥0</m:t>
        </m:r>
      </m:oMath>
      <w:r>
        <w:rPr>
          <w:rFonts w:ascii="Times New Roman" w:hAnsi="Times New Roman"/>
          <w:b w:val="0"/>
          <w:i w:val="0"/>
          <w:color w:val="1E1E1E"/>
          <w:sz w:val="20"/>
        </w:rPr>
        <w:t xml:space="preserve"> is a tunable temperature parameter. Sweeping </w:t>
      </w:r>
      <m:oMath>
        <m:r>
          <m:t>τ</m:t>
        </m:r>
      </m:oMath>
      <w:r>
        <w:rPr>
          <w:rFonts w:ascii="Times New Roman" w:hAnsi="Times New Roman"/>
          <w:b w:val="0"/>
          <w:i w:val="0"/>
          <w:color w:val="1E1E1E"/>
          <w:sz w:val="20"/>
        </w:rPr>
        <w:t xml:space="preserve"> allows clinicians to smoothly slide along the trade-off curve between overall classification accuracy (</w:t>
      </w:r>
      <m:oMath>
        <m:r>
          <m:t>τ=0.0</m:t>
        </m:r>
      </m:oMath>
      <w:r>
        <w:rPr>
          <w:rFonts w:ascii="Times New Roman" w:hAnsi="Times New Roman"/>
          <w:b w:val="0"/>
          <w:i w:val="0"/>
          <w:color w:val="1E1E1E"/>
          <w:sz w:val="20"/>
        </w:rPr>
        <w:t>) and minority-tail sensitivity (</w:t>
      </w:r>
      <m:oMath>
        <m:r>
          <m:t>τ=1.5</m:t>
        </m:r>
      </m:oMath>
      <w:r>
        <w:rPr>
          <w:rFonts w:ascii="Times New Roman" w:hAnsi="Times New Roman"/>
          <w:b w:val="0"/>
          <w:i w:val="0"/>
          <w:color w:val="1E1E1E"/>
          <w:sz w:val="20"/>
        </w:rPr>
        <w:t>) without retraining the model.</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Multi-Seed Ensembling with Test-Time Augmentation:</w:t>
      </w:r>
      <w:r>
        <w:rPr>
          <w:rFonts w:ascii="Times New Roman" w:hAnsi="Times New Roman"/>
          <w:b w:val="0"/>
          <w:i w:val="0"/>
          <w:color w:val="1E1E1E"/>
          <w:sz w:val="20"/>
        </w:rPr>
        <w:t xml:space="preserve"> We train three models with label smoothing across random seeds </w:t>
      </w:r>
      <m:oMath>
        <m:d>
          <m:dPr>
            <m:begChr m:val="{"/>
            <m:sepChr m:val=","/>
            <m:endChr m:val="}"/>
          </m:dPr>
          <m:e>
            <m:r>
              <m:t>42</m:t>
            </m:r>
          </m:e>
          <m:e>
            <m:r>
              <m:t>43</m:t>
            </m:r>
          </m:e>
          <m:e>
            <m:r>
              <m:t>44</m:t>
            </m:r>
          </m:e>
        </m:d>
      </m:oMath>
      <w:r>
        <w:rPr>
          <w:rFonts w:ascii="Times New Roman" w:hAnsi="Times New Roman"/>
          <w:b w:val="0"/>
          <w:i w:val="0"/>
          <w:color w:val="1E1E1E"/>
          <w:sz w:val="20"/>
        </w:rPr>
        <w:t xml:space="preserve"> for 12 epochs each. At test time, each model evaluates 4-way flip TTA (original, horizontal, vertical, and both). Softmax probability distributions are averaged across all three seeds before applying the final decision rule.</w:t>
      </w:r>
    </w:p>
    <w:p>
      <w:pPr>
        <w:keepNext/>
        <w:spacing w:before="280" w:after="80"/>
      </w:pPr>
      <w:r>
        <w:rPr>
          <w:rFonts w:ascii="Times New Roman" w:hAnsi="Times New Roman"/>
          <w:b/>
          <w:color w:val="142850"/>
          <w:sz w:val="23"/>
        </w:rPr>
        <w:t>7. RESULTS</w:t>
      </w:r>
    </w:p>
    <w:p>
      <w:pPr>
        <w:spacing w:before="0" w:after="90" w:line="276" w:lineRule="auto"/>
        <w:jc w:val="both"/>
      </w:pPr>
      <w:r>
        <w:rPr>
          <w:rFonts w:ascii="Times New Roman" w:hAnsi="Times New Roman"/>
          <w:b w:val="0"/>
          <w:i w:val="0"/>
          <w:color w:val="1E1E1E"/>
          <w:sz w:val="20"/>
        </w:rPr>
        <w:t>All models were evaluated on the locked holdout test set of 550 images. None of these images were encountered during model training or hyperparameter selection.</w:t>
      </w:r>
    </w:p>
    <w:p>
      <w:pPr>
        <w:keepNext/>
        <w:spacing w:before="200" w:after="60"/>
      </w:pPr>
      <w:r>
        <w:rPr>
          <w:rFonts w:ascii="Times New Roman" w:hAnsi="Times New Roman"/>
          <w:b/>
          <w:i/>
          <w:color w:val="283246"/>
          <w:sz w:val="21"/>
        </w:rPr>
        <w:t>7.1 Comprehensive Comparison Across Model Variants</w:t>
      </w:r>
    </w:p>
    <w:p>
      <w:pPr>
        <w:spacing w:before="0" w:after="90" w:line="276" w:lineRule="auto"/>
        <w:jc w:val="both"/>
      </w:pPr>
      <w:r>
        <w:rPr>
          <w:rFonts w:ascii="Times New Roman" w:hAnsi="Times New Roman"/>
          <w:b w:val="0"/>
          <w:i w:val="0"/>
          <w:color w:val="1E1E1E"/>
          <w:sz w:val="20"/>
        </w:rPr>
        <w:t>Table 2 presents the complete performance comparison across the four primary paradigms. Table 3 breaks down diagnostic sensitivity, precision, and F1-scores with 95% non-parametric bootstrap confidence intervals (1,000 resamples).</w:t>
      </w:r>
    </w:p>
    <w:p>
      <w:pPr>
        <w:keepNext/>
        <w:spacing w:before="160" w:after="40"/>
        <w:jc w:val="center"/>
      </w:pPr>
      <w:r>
        <w:rPr>
          <w:rFonts w:ascii="Times New Roman" w:hAnsi="Times New Roman"/>
          <w:b/>
          <w:i w:val="0"/>
          <w:color w:val="142850"/>
          <w:sz w:val="19"/>
        </w:rPr>
        <w:t>TABLE 2: Comprehensive Performance Comparison Across Model Variants on APTOS 2019 Holdout Test Set (N = 550)</w:t>
      </w:r>
    </w:p>
    <w:tbl>
      <w:tblPr>
        <w:tblW w:type="auto" w:w="0"/>
        <w:jc w:val="center"/>
        <w:tblLook w:firstColumn="1" w:firstRow="1" w:lastColumn="0" w:lastRow="0" w:noHBand="0" w:noVBand="1" w:val="04A0"/>
        <w:tblBorders>
          <w:top w:val="single" w:sz="8" w:space="0" w:color="2B5C8F"/>
          <w:bottom w:val="single" w:sz="8" w:space="0" w:color="333333"/>
          <w:insideH w:val="single" w:sz="4" w:space="0" w:color="E0E0E0"/>
          <w:insideV w:val="none"/>
          <w:left w:val="none"/>
          <w:right w:val="none"/>
        </w:tblBorders>
      </w:tblPr>
      <w:tblGrid>
        <w:gridCol w:w="1120"/>
        <w:gridCol w:w="1120"/>
        <w:gridCol w:w="1120"/>
        <w:gridCol w:w="1120"/>
        <w:gridCol w:w="1120"/>
        <w:gridCol w:w="1120"/>
        <w:gridCol w:w="1120"/>
        <w:gridCol w:w="1120"/>
        <w:gridCol w:w="1120"/>
      </w:tblGrid>
      <w:tr>
        <w:trPr>
          <w:cantSplit/>
          <w:tblHeader/>
        </w:trPr>
        <w:tc>
          <w:tcPr>
            <w:tcW w:type="dxa" w:w="1120"/>
            <w:vAlign w:val="center"/>
            <w:tcW w:w="2232" w:type="dxa"/>
            <w:tcMar>
              <w:top w:w="50" w:type="dxa"/>
              <w:bottom w:w="50" w:type="dxa"/>
              <w:left w:w="50" w:type="dxa"/>
              <w:right w:w="50" w:type="dxa"/>
            </w:tcMar>
            <w:shd w:fill="2B5C8F"/>
          </w:tcPr>
          <w:p>
            <w:pPr>
              <w:spacing w:before="20" w:after="20"/>
              <w:jc w:val="center"/>
            </w:pPr>
            <w:r>
              <w:rPr>
                <w:rFonts w:ascii="Times New Roman" w:hAnsi="Times New Roman"/>
                <w:b/>
                <w:i w:val="0"/>
                <w:color w:val="FFFFFF"/>
                <w:sz w:val="14"/>
              </w:rPr>
              <w:t>Model Variant</w:t>
            </w:r>
          </w:p>
        </w:tc>
        <w:tc>
          <w:tcPr>
            <w:tcW w:type="dxa" w:w="1120"/>
            <w:vAlign w:val="center"/>
            <w:tcW w:w="1224" w:type="dxa"/>
            <w:tcMar>
              <w:top w:w="50" w:type="dxa"/>
              <w:bottom w:w="50" w:type="dxa"/>
              <w:left w:w="50" w:type="dxa"/>
              <w:right w:w="50" w:type="dxa"/>
            </w:tcMar>
            <w:shd w:fill="2B5C8F"/>
          </w:tcPr>
          <w:p>
            <w:pPr>
              <w:spacing w:before="20" w:after="20"/>
              <w:jc w:val="center"/>
            </w:pPr>
            <w:r>
              <w:rPr>
                <w:rFonts w:ascii="Times New Roman" w:hAnsi="Times New Roman"/>
                <w:b/>
                <w:i w:val="0"/>
                <w:color w:val="FFFFFF"/>
                <w:sz w:val="14"/>
              </w:rPr>
              <w:t>QWK (Primary) [95% CI]</w:t>
            </w:r>
          </w:p>
        </w:tc>
        <w:tc>
          <w:tcPr>
            <w:tcW w:type="dxa" w:w="1120"/>
            <w:vAlign w:val="center"/>
            <w:tcW w:w="792" w:type="dxa"/>
            <w:tcMar>
              <w:top w:w="50" w:type="dxa"/>
              <w:bottom w:w="50" w:type="dxa"/>
              <w:left w:w="50" w:type="dxa"/>
              <w:right w:w="50" w:type="dxa"/>
            </w:tcMar>
            <w:shd w:fill="2B5C8F"/>
          </w:tcPr>
          <w:p>
            <w:pPr>
              <w:spacing w:before="20" w:after="20"/>
              <w:jc w:val="center"/>
            </w:pPr>
            <w:r>
              <w:rPr>
                <w:rFonts w:ascii="Times New Roman" w:hAnsi="Times New Roman"/>
                <w:b/>
                <w:i w:val="0"/>
                <w:color w:val="FFFFFF"/>
                <w:sz w:val="14"/>
              </w:rPr>
              <w:t>Accuracy (%)</w:t>
            </w:r>
          </w:p>
        </w:tc>
        <w:tc>
          <w:tcPr>
            <w:tcW w:type="dxa" w:w="1120"/>
            <w:vAlign w:val="center"/>
            <w:tcW w:w="1080" w:type="dxa"/>
            <w:tcMar>
              <w:top w:w="50" w:type="dxa"/>
              <w:bottom w:w="50" w:type="dxa"/>
              <w:left w:w="50" w:type="dxa"/>
              <w:right w:w="50" w:type="dxa"/>
            </w:tcMar>
            <w:shd w:fill="2B5C8F"/>
          </w:tcPr>
          <w:p>
            <w:pPr>
              <w:spacing w:before="20" w:after="20"/>
              <w:jc w:val="center"/>
            </w:pPr>
            <w:r>
              <w:rPr>
                <w:rFonts w:ascii="Times New Roman" w:hAnsi="Times New Roman"/>
                <w:b/>
                <w:i w:val="0"/>
                <w:color w:val="FFFFFF"/>
                <w:sz w:val="14"/>
              </w:rPr>
              <w:t>MAE [95% CI]</w:t>
            </w:r>
          </w:p>
        </w:tc>
        <w:tc>
          <w:tcPr>
            <w:tcW w:type="dxa" w:w="1120"/>
            <w:vAlign w:val="center"/>
            <w:tcW w:w="1152" w:type="dxa"/>
            <w:tcMar>
              <w:top w:w="50" w:type="dxa"/>
              <w:bottom w:w="50" w:type="dxa"/>
              <w:left w:w="50" w:type="dxa"/>
              <w:right w:w="50" w:type="dxa"/>
            </w:tcMar>
            <w:shd w:fill="2B5C8F"/>
          </w:tcPr>
          <w:p>
            <w:pPr>
              <w:spacing w:before="20" w:after="20"/>
              <w:jc w:val="center"/>
            </w:pPr>
            <w:r>
              <w:rPr>
                <w:rFonts w:ascii="Times New Roman" w:hAnsi="Times New Roman"/>
                <w:b/>
                <w:i w:val="0"/>
                <w:color w:val="FFFFFF"/>
                <w:sz w:val="14"/>
              </w:rPr>
              <w:t>Severe Error (</w:t>
            </w:r>
            <m:oMath>
              <m:r>
                <m:t>d≥2</m:t>
              </m:r>
            </m:oMath>
            <w:r>
              <w:rPr>
                <w:rFonts w:ascii="Times New Roman" w:hAnsi="Times New Roman"/>
                <w:b/>
                <w:i w:val="0"/>
                <w:color w:val="FFFFFF"/>
                <w:sz w:val="14"/>
              </w:rPr>
              <w:t>) [95% CI]</w:t>
            </w:r>
          </w:p>
        </w:tc>
        <w:tc>
          <w:tcPr>
            <w:tcW w:type="dxa" w:w="1120"/>
            <w:vAlign w:val="center"/>
            <w:tcW w:w="936" w:type="dxa"/>
            <w:tcMar>
              <w:top w:w="50" w:type="dxa"/>
              <w:bottom w:w="50" w:type="dxa"/>
              <w:left w:w="50" w:type="dxa"/>
              <w:right w:w="50" w:type="dxa"/>
            </w:tcMar>
            <w:shd w:fill="2B5C8F"/>
          </w:tcPr>
          <w:p>
            <w:pPr>
              <w:spacing w:before="20" w:after="20"/>
              <w:jc w:val="center"/>
            </w:pPr>
            <w:r>
              <w:rPr>
                <w:rFonts w:ascii="Times New Roman" w:hAnsi="Times New Roman"/>
                <w:b/>
                <w:i w:val="0"/>
                <w:color w:val="FFFFFF"/>
                <w:sz w:val="14"/>
              </w:rPr>
              <w:t>Severe F1 (Grade 3)</w:t>
            </w:r>
          </w:p>
        </w:tc>
        <w:tc>
          <w:tcPr>
            <w:tcW w:type="dxa" w:w="1120"/>
            <w:vAlign w:val="center"/>
            <w:tcW w:w="936" w:type="dxa"/>
            <w:tcMar>
              <w:top w:w="50" w:type="dxa"/>
              <w:bottom w:w="50" w:type="dxa"/>
              <w:left w:w="50" w:type="dxa"/>
              <w:right w:w="50" w:type="dxa"/>
            </w:tcMar>
            <w:shd w:fill="2B5C8F"/>
          </w:tcPr>
          <w:p>
            <w:pPr>
              <w:spacing w:before="20" w:after="20"/>
              <w:jc w:val="center"/>
            </w:pPr>
            <w:r>
              <w:rPr>
                <w:rFonts w:ascii="Times New Roman" w:hAnsi="Times New Roman"/>
                <w:b/>
                <w:i w:val="0"/>
                <w:color w:val="FFFFFF"/>
                <w:sz w:val="14"/>
              </w:rPr>
              <w:t>PDR F1 (Grade 4)</w:t>
            </w:r>
          </w:p>
        </w:tc>
        <w:tc>
          <w:tcPr>
            <w:tcW w:type="dxa" w:w="1120"/>
            <w:vAlign w:val="center"/>
            <w:tcW w:w="864" w:type="dxa"/>
            <w:tcMar>
              <w:top w:w="50" w:type="dxa"/>
              <w:bottom w:w="50" w:type="dxa"/>
              <w:left w:w="50" w:type="dxa"/>
              <w:right w:w="50" w:type="dxa"/>
            </w:tcMar>
            <w:shd w:fill="2B5C8F"/>
          </w:tcPr>
          <w:p>
            <w:pPr>
              <w:spacing w:before="20" w:after="20"/>
              <w:jc w:val="center"/>
            </w:pPr>
            <w:r>
              <w:rPr>
                <w:rFonts w:ascii="Times New Roman" w:hAnsi="Times New Roman"/>
                <w:b/>
                <w:i w:val="0"/>
                <w:color w:val="FFFFFF"/>
                <w:sz w:val="14"/>
              </w:rPr>
              <w:t>Exact Match (</w:t>
            </w:r>
            <m:oMath>
              <m:r>
                <m:t>d=0</m:t>
              </m:r>
            </m:oMath>
            <w:r>
              <w:rPr>
                <w:rFonts w:ascii="Times New Roman" w:hAnsi="Times New Roman"/>
                <w:b/>
                <w:i w:val="0"/>
                <w:color w:val="FFFFFF"/>
                <w:sz w:val="14"/>
              </w:rPr>
              <w:t>)</w:t>
            </w:r>
          </w:p>
        </w:tc>
        <w:tc>
          <w:tcPr>
            <w:tcW w:type="dxa" w:w="1120"/>
            <w:vAlign w:val="center"/>
            <w:tcW w:w="864" w:type="dxa"/>
            <w:tcMar>
              <w:top w:w="50" w:type="dxa"/>
              <w:bottom w:w="50" w:type="dxa"/>
              <w:left w:w="50" w:type="dxa"/>
              <w:right w:w="50" w:type="dxa"/>
            </w:tcMar>
            <w:shd w:fill="2B5C8F"/>
          </w:tcPr>
          <w:p>
            <w:pPr>
              <w:spacing w:before="20" w:after="20"/>
              <w:jc w:val="center"/>
            </w:pPr>
            <w:r>
              <w:rPr>
                <w:rFonts w:ascii="Times New Roman" w:hAnsi="Times New Roman"/>
                <w:b/>
                <w:i w:val="0"/>
                <w:color w:val="FFFFFF"/>
                <w:sz w:val="14"/>
              </w:rPr>
              <w:t>Off-by-1 (</w:t>
            </w:r>
            <m:oMath>
              <m:r>
                <m:t>d=1</m:t>
              </m:r>
            </m:oMath>
            <w:r>
              <w:rPr>
                <w:rFonts w:ascii="Times New Roman" w:hAnsi="Times New Roman"/>
                <w:b/>
                <w:i w:val="0"/>
                <w:color w:val="FFFFFF"/>
                <w:sz w:val="14"/>
              </w:rPr>
              <w:t>)</w:t>
            </w:r>
          </w:p>
        </w:tc>
      </w:tr>
      <w:tr>
        <w:trPr>
          <w:cantSplit/>
        </w:trPr>
        <w:tc>
          <w:tcPr>
            <w:tcW w:type="dxa" w:w="1120"/>
            <w:vAlign w:val="center"/>
            <w:tcW w:w="2232" w:type="dxa"/>
            <w:tcMar>
              <w:top w:w="50" w:type="dxa"/>
              <w:bottom w:w="50" w:type="dxa"/>
              <w:left w:w="50" w:type="dxa"/>
              <w:right w:w="50" w:type="dxa"/>
            </w:tcMar>
            <w:shd w:fill="F7F9FC"/>
          </w:tcPr>
          <w:p>
            <w:pPr>
              <w:spacing w:before="20" w:after="20"/>
              <w:jc w:val="left"/>
            </w:pPr>
            <w:r>
              <w:rPr>
                <w:rFonts w:ascii="Times New Roman" w:hAnsi="Times New Roman"/>
                <w:b/>
                <w:i w:val="0"/>
                <w:color w:val="1E1E1E"/>
                <w:sz w:val="14"/>
              </w:rPr>
              <w:t>Variant A: Softmax Baseline</w:t>
            </w:r>
          </w:p>
        </w:tc>
        <w:tc>
          <w:tcPr>
            <w:tcW w:type="dxa" w:w="1120"/>
            <w:vAlign w:val="center"/>
            <w:tcW w:w="1224" w:type="dxa"/>
            <w:tcMar>
              <w:top w:w="50" w:type="dxa"/>
              <w:bottom w:w="50" w:type="dxa"/>
              <w:left w:w="50" w:type="dxa"/>
              <w:right w:w="50" w:type="dxa"/>
            </w:tcMar>
            <w:shd w:fill="F7F9FC"/>
          </w:tcPr>
          <w:p>
            <w:pPr>
              <w:spacing w:before="20" w:after="20"/>
              <w:jc w:val="center"/>
            </w:pPr>
            <w:r>
              <w:rPr>
                <w:rFonts w:ascii="Times New Roman" w:hAnsi="Times New Roman"/>
                <w:b/>
                <w:i w:val="0"/>
                <w:color w:val="1E1E1E"/>
                <w:sz w:val="14"/>
              </w:rPr>
              <w:t>0.8724</w:t>
            </w:r>
            <w:r>
              <w:rPr>
                <w:rFonts w:ascii="Times New Roman" w:hAnsi="Times New Roman"/>
                <w:b w:val="0"/>
                <w:i w:val="0"/>
                <w:color w:val="1E1E1E"/>
                <w:sz w:val="14"/>
              </w:rPr>
              <w:t xml:space="preserve"> [0.8385, 0.9044]</w:t>
            </w:r>
          </w:p>
        </w:tc>
        <w:tc>
          <w:tcPr>
            <w:tcW w:type="dxa" w:w="1120"/>
            <w:vAlign w:val="center"/>
            <w:tcW w:w="792" w:type="dxa"/>
            <w:tcMar>
              <w:top w:w="50" w:type="dxa"/>
              <w:bottom w:w="50" w:type="dxa"/>
              <w:left w:w="50" w:type="dxa"/>
              <w:right w:w="50" w:type="dxa"/>
            </w:tcMar>
            <w:shd w:fill="F7F9FC"/>
          </w:tcPr>
          <w:p>
            <w:pPr>
              <w:spacing w:before="20" w:after="20"/>
              <w:jc w:val="center"/>
            </w:pPr>
            <w:r>
              <w:rPr>
                <w:rFonts w:ascii="Times New Roman" w:hAnsi="Times New Roman"/>
                <w:b/>
                <w:i w:val="0"/>
                <w:color w:val="1E1E1E"/>
                <w:sz w:val="14"/>
              </w:rPr>
              <w:t>80.18%</w:t>
            </w:r>
          </w:p>
        </w:tc>
        <w:tc>
          <w:tcPr>
            <w:tcW w:type="dxa" w:w="1120"/>
            <w:vAlign w:val="center"/>
            <w:tcW w:w="1080" w:type="dxa"/>
            <w:tcMar>
              <w:top w:w="50" w:type="dxa"/>
              <w:bottom w:w="50" w:type="dxa"/>
              <w:left w:w="50" w:type="dxa"/>
              <w:right w:w="50" w:type="dxa"/>
            </w:tcMar>
            <w:shd w:fill="F7F9FC"/>
          </w:tcPr>
          <w:p>
            <w:pPr>
              <w:spacing w:before="20" w:after="20"/>
              <w:jc w:val="center"/>
            </w:pPr>
            <w:r>
              <w:rPr>
                <w:rFonts w:ascii="Times New Roman" w:hAnsi="Times New Roman"/>
                <w:b/>
                <w:i w:val="0"/>
                <w:color w:val="1E1E1E"/>
                <w:sz w:val="14"/>
              </w:rPr>
              <w:t>0.2673</w:t>
            </w:r>
            <w:r>
              <w:rPr>
                <w:rFonts w:ascii="Times New Roman" w:hAnsi="Times New Roman"/>
                <w:b w:val="0"/>
                <w:i w:val="0"/>
                <w:color w:val="1E1E1E"/>
                <w:sz w:val="14"/>
              </w:rPr>
              <w:t xml:space="preserve"> [0.2182, 0.3200]</w:t>
            </w:r>
          </w:p>
        </w:tc>
        <w:tc>
          <w:tcPr>
            <w:tcW w:type="dxa" w:w="1120"/>
            <w:vAlign w:val="center"/>
            <w:tcW w:w="1152" w:type="dxa"/>
            <w:tcMar>
              <w:top w:w="50" w:type="dxa"/>
              <w:bottom w:w="50" w:type="dxa"/>
              <w:left w:w="50" w:type="dxa"/>
              <w:right w:w="50" w:type="dxa"/>
            </w:tcMar>
            <w:shd w:fill="F7F9FC"/>
          </w:tcPr>
          <w:p>
            <w:pPr>
              <w:spacing w:before="20" w:after="20"/>
              <w:jc w:val="center"/>
            </w:pPr>
            <w:r>
              <w:rPr>
                <w:rFonts w:ascii="Times New Roman" w:hAnsi="Times New Roman"/>
                <w:b/>
                <w:i w:val="0"/>
                <w:color w:val="1E1E1E"/>
                <w:sz w:val="14"/>
              </w:rPr>
              <w:t>5.6%</w:t>
            </w:r>
            <w:r>
              <w:rPr>
                <w:rFonts w:ascii="Times New Roman" w:hAnsi="Times New Roman"/>
                <w:b w:val="0"/>
                <w:i w:val="0"/>
                <w:color w:val="1E1E1E"/>
                <w:sz w:val="14"/>
              </w:rPr>
              <w:t xml:space="preserve"> [3.6%, 7.6%]</w:t>
            </w:r>
          </w:p>
        </w:tc>
        <w:tc>
          <w:tcPr>
            <w:tcW w:type="dxa" w:w="1120"/>
            <w:vAlign w:val="center"/>
            <w:tcW w:w="936" w:type="dxa"/>
            <w:tcMar>
              <w:top w:w="50" w:type="dxa"/>
              <w:bottom w:w="50" w:type="dxa"/>
              <w:left w:w="50" w:type="dxa"/>
              <w:right w:w="50" w:type="dxa"/>
            </w:tcMar>
            <w:shd w:fill="F7F9FC"/>
          </w:tcPr>
          <w:p>
            <w:pPr>
              <w:spacing w:before="20" w:after="20"/>
              <w:jc w:val="center"/>
            </w:pPr>
            <w:r>
              <w:rPr>
                <w:rFonts w:ascii="Times New Roman" w:hAnsi="Times New Roman"/>
                <w:b w:val="0"/>
                <w:i w:val="0"/>
                <w:color w:val="1E1E1E"/>
                <w:sz w:val="14"/>
              </w:rPr>
              <w:t>0.3791 [0.2221, 0.5313]</w:t>
            </w:r>
          </w:p>
        </w:tc>
        <w:tc>
          <w:tcPr>
            <w:tcW w:type="dxa" w:w="1120"/>
            <w:vAlign w:val="center"/>
            <w:tcW w:w="936" w:type="dxa"/>
            <w:tcMar>
              <w:top w:w="50" w:type="dxa"/>
              <w:bottom w:w="50" w:type="dxa"/>
              <w:left w:w="50" w:type="dxa"/>
              <w:right w:w="50" w:type="dxa"/>
            </w:tcMar>
            <w:shd w:fill="F7F9FC"/>
          </w:tcPr>
          <w:p>
            <w:pPr>
              <w:spacing w:before="20" w:after="20"/>
              <w:jc w:val="center"/>
            </w:pPr>
            <w:r>
              <w:rPr>
                <w:rFonts w:ascii="Times New Roman" w:hAnsi="Times New Roman"/>
                <w:b w:val="0"/>
                <w:i w:val="0"/>
                <w:color w:val="1E1E1E"/>
                <w:sz w:val="14"/>
              </w:rPr>
              <w:t>0.5147 [0.3830, 0.6377]</w:t>
            </w:r>
          </w:p>
        </w:tc>
        <w:tc>
          <w:tcPr>
            <w:tcW w:type="dxa" w:w="1120"/>
            <w:vAlign w:val="center"/>
            <w:tcW w:w="864" w:type="dxa"/>
            <w:tcMar>
              <w:top w:w="50" w:type="dxa"/>
              <w:bottom w:w="50" w:type="dxa"/>
              <w:left w:w="50" w:type="dxa"/>
              <w:right w:w="50" w:type="dxa"/>
            </w:tcMar>
            <w:shd w:fill="F7F9FC"/>
          </w:tcPr>
          <w:p>
            <w:pPr>
              <w:spacing w:before="20" w:after="20"/>
              <w:jc w:val="center"/>
            </w:pPr>
            <w:r>
              <w:rPr>
                <w:rFonts w:ascii="Times New Roman" w:hAnsi="Times New Roman"/>
                <w:b w:val="0"/>
                <w:i w:val="0"/>
                <w:color w:val="1E1E1E"/>
                <w:sz w:val="14"/>
              </w:rPr>
              <w:t>80.2%</w:t>
            </w:r>
          </w:p>
        </w:tc>
        <w:tc>
          <w:tcPr>
            <w:tcW w:type="dxa" w:w="1120"/>
            <w:vAlign w:val="center"/>
            <w:tcW w:w="864" w:type="dxa"/>
            <w:tcMar>
              <w:top w:w="50" w:type="dxa"/>
              <w:bottom w:w="50" w:type="dxa"/>
              <w:left w:w="50" w:type="dxa"/>
              <w:right w:w="50" w:type="dxa"/>
            </w:tcMar>
            <w:shd w:fill="F7F9FC"/>
          </w:tcPr>
          <w:p>
            <w:pPr>
              <w:spacing w:before="20" w:after="20"/>
              <w:jc w:val="center"/>
            </w:pPr>
            <w:r>
              <w:rPr>
                <w:rFonts w:ascii="Times New Roman" w:hAnsi="Times New Roman"/>
                <w:b w:val="0"/>
                <w:i w:val="0"/>
                <w:color w:val="1E1E1E"/>
                <w:sz w:val="14"/>
              </w:rPr>
              <w:t>14.2%</w:t>
            </w:r>
          </w:p>
        </w:tc>
      </w:tr>
      <w:tr>
        <w:trPr>
          <w:cantSplit/>
        </w:trPr>
        <w:tc>
          <w:tcPr>
            <w:tcW w:type="dxa" w:w="1120"/>
            <w:vAlign w:val="center"/>
            <w:tcW w:w="2232" w:type="dxa"/>
            <w:tcMar>
              <w:top w:w="50" w:type="dxa"/>
              <w:bottom w:w="50" w:type="dxa"/>
              <w:left w:w="50" w:type="dxa"/>
              <w:right w:w="50" w:type="dxa"/>
            </w:tcMar>
            <w:shd w:fill="FFFFFF"/>
          </w:tcPr>
          <w:p>
            <w:pPr>
              <w:spacing w:before="20" w:after="20"/>
              <w:jc w:val="left"/>
            </w:pPr>
            <w:r>
              <w:rPr>
                <w:rFonts w:ascii="Times New Roman" w:hAnsi="Times New Roman"/>
                <w:b/>
                <w:i w:val="0"/>
                <w:color w:val="1E1E1E"/>
                <w:sz w:val="14"/>
              </w:rPr>
              <w:t>Variant B: CORAL Ordinal</w:t>
            </w:r>
          </w:p>
        </w:tc>
        <w:tc>
          <w:tcPr>
            <w:tcW w:type="dxa" w:w="1120"/>
            <w:vAlign w:val="center"/>
            <w:tcW w:w="1224" w:type="dxa"/>
            <w:tcMar>
              <w:top w:w="50" w:type="dxa"/>
              <w:bottom w:w="50" w:type="dxa"/>
              <w:left w:w="50" w:type="dxa"/>
              <w:right w:w="50" w:type="dxa"/>
            </w:tcMar>
            <w:shd w:fill="FFFFFF"/>
          </w:tcPr>
          <w:p>
            <w:pPr>
              <w:spacing w:before="20" w:after="20"/>
              <w:jc w:val="center"/>
            </w:pPr>
            <w:r>
              <w:rPr>
                <w:rFonts w:ascii="Times New Roman" w:hAnsi="Times New Roman"/>
                <w:b/>
                <w:i w:val="0"/>
                <w:color w:val="1E1E1E"/>
                <w:sz w:val="14"/>
              </w:rPr>
              <w:t>0.7273</w:t>
            </w:r>
            <w:r>
              <w:rPr>
                <w:rFonts w:ascii="Times New Roman" w:hAnsi="Times New Roman"/>
                <w:b w:val="0"/>
                <w:i w:val="0"/>
                <w:color w:val="1E1E1E"/>
                <w:sz w:val="14"/>
              </w:rPr>
              <w:t xml:space="preserve"> [0.6874, 0.7641]</w:t>
            </w:r>
          </w:p>
        </w:tc>
        <w:tc>
          <w:tcPr>
            <w:tcW w:type="dxa" w:w="1120"/>
            <w:vAlign w:val="center"/>
            <w:tcW w:w="792" w:type="dxa"/>
            <w:tcMar>
              <w:top w:w="50" w:type="dxa"/>
              <w:bottom w:w="50" w:type="dxa"/>
              <w:left w:w="50" w:type="dxa"/>
              <w:right w:w="50" w:type="dxa"/>
            </w:tcMar>
            <w:shd w:fill="FFFFFF"/>
          </w:tcPr>
          <w:p>
            <w:pPr>
              <w:spacing w:before="20" w:after="20"/>
              <w:jc w:val="center"/>
            </w:pPr>
            <w:r>
              <w:rPr>
                <w:rFonts w:ascii="Times New Roman" w:hAnsi="Times New Roman"/>
                <w:b/>
                <w:i w:val="0"/>
                <w:color w:val="1E1E1E"/>
                <w:sz w:val="14"/>
              </w:rPr>
              <w:t>59.64%</w:t>
            </w:r>
          </w:p>
        </w:tc>
        <w:tc>
          <w:tcPr>
            <w:tcW w:type="dxa" w:w="1120"/>
            <w:vAlign w:val="center"/>
            <w:tcW w:w="1080" w:type="dxa"/>
            <w:tcMar>
              <w:top w:w="50" w:type="dxa"/>
              <w:bottom w:w="50" w:type="dxa"/>
              <w:left w:w="50" w:type="dxa"/>
              <w:right w:w="50" w:type="dxa"/>
            </w:tcMar>
            <w:shd w:fill="FFFFFF"/>
          </w:tcPr>
          <w:p>
            <w:pPr>
              <w:spacing w:before="20" w:after="20"/>
              <w:jc w:val="center"/>
            </w:pPr>
            <w:r>
              <w:rPr>
                <w:rFonts w:ascii="Times New Roman" w:hAnsi="Times New Roman"/>
                <w:b/>
                <w:i w:val="0"/>
                <w:color w:val="1E1E1E"/>
                <w:sz w:val="14"/>
              </w:rPr>
              <w:t>0.6964</w:t>
            </w:r>
            <w:r>
              <w:rPr>
                <w:rFonts w:ascii="Times New Roman" w:hAnsi="Times New Roman"/>
                <w:b w:val="0"/>
                <w:i w:val="0"/>
                <w:color w:val="1E1E1E"/>
                <w:sz w:val="14"/>
              </w:rPr>
              <w:t xml:space="preserve"> [0.6200, 0.7710]</w:t>
            </w:r>
          </w:p>
        </w:tc>
        <w:tc>
          <w:tcPr>
            <w:tcW w:type="dxa" w:w="1120"/>
            <w:vAlign w:val="center"/>
            <w:tcW w:w="1152" w:type="dxa"/>
            <w:tcMar>
              <w:top w:w="50" w:type="dxa"/>
              <w:bottom w:w="50" w:type="dxa"/>
              <w:left w:w="50" w:type="dxa"/>
              <w:right w:w="50" w:type="dxa"/>
            </w:tcMar>
            <w:shd w:fill="FFFFFF"/>
          </w:tcPr>
          <w:p>
            <w:pPr>
              <w:spacing w:before="20" w:after="20"/>
              <w:jc w:val="center"/>
            </w:pPr>
            <w:r>
              <w:rPr>
                <w:rFonts w:ascii="Times New Roman" w:hAnsi="Times New Roman"/>
                <w:b/>
                <w:i w:val="0"/>
                <w:color w:val="1E1E1E"/>
                <w:sz w:val="14"/>
              </w:rPr>
              <w:t>26.4%</w:t>
            </w:r>
            <w:r>
              <w:rPr>
                <w:rFonts w:ascii="Times New Roman" w:hAnsi="Times New Roman"/>
                <w:b w:val="0"/>
                <w:i w:val="0"/>
                <w:color w:val="1E1E1E"/>
                <w:sz w:val="14"/>
              </w:rPr>
              <w:t xml:space="preserve"> [22.9%, 30.2%]</w:t>
            </w:r>
          </w:p>
        </w:tc>
        <w:tc>
          <w:tcPr>
            <w:tcW w:type="dxa" w:w="1120"/>
            <w:vAlign w:val="center"/>
            <w:tcW w:w="936" w:type="dxa"/>
            <w:tcMar>
              <w:top w:w="50" w:type="dxa"/>
              <w:bottom w:w="50" w:type="dxa"/>
              <w:left w:w="50" w:type="dxa"/>
              <w:right w:w="50" w:type="dxa"/>
            </w:tcMar>
            <w:shd w:fill="FFFFFF"/>
          </w:tcPr>
          <w:p>
            <w:pPr>
              <w:spacing w:before="20" w:after="20"/>
              <w:jc w:val="center"/>
            </w:pPr>
            <w:r>
              <w:rPr>
                <w:rFonts w:ascii="Times New Roman" w:hAnsi="Times New Roman"/>
                <w:b w:val="0"/>
                <w:i w:val="0"/>
                <w:color w:val="1E1E1E"/>
                <w:sz w:val="14"/>
              </w:rPr>
              <w:t>0.0000 [0.0000, 0.0000]</w:t>
            </w:r>
          </w:p>
        </w:tc>
        <w:tc>
          <w:tcPr>
            <w:tcW w:type="dxa" w:w="1120"/>
            <w:vAlign w:val="center"/>
            <w:tcW w:w="936" w:type="dxa"/>
            <w:tcMar>
              <w:top w:w="50" w:type="dxa"/>
              <w:bottom w:w="50" w:type="dxa"/>
              <w:left w:w="50" w:type="dxa"/>
              <w:right w:w="50" w:type="dxa"/>
            </w:tcMar>
            <w:shd w:fill="FFFFFF"/>
          </w:tcPr>
          <w:p>
            <w:pPr>
              <w:spacing w:before="20" w:after="20"/>
              <w:jc w:val="center"/>
            </w:pPr>
            <w:r>
              <w:rPr>
                <w:rFonts w:ascii="Times New Roman" w:hAnsi="Times New Roman"/>
                <w:b w:val="0"/>
                <w:i w:val="0"/>
                <w:color w:val="1E1E1E"/>
                <w:sz w:val="14"/>
              </w:rPr>
              <w:t>0.3692 [0.2857, 0.4502]</w:t>
            </w:r>
          </w:p>
        </w:tc>
        <w:tc>
          <w:tcPr>
            <w:tcW w:type="dxa" w:w="1120"/>
            <w:vAlign w:val="center"/>
            <w:tcW w:w="864" w:type="dxa"/>
            <w:tcMar>
              <w:top w:w="50" w:type="dxa"/>
              <w:bottom w:w="50" w:type="dxa"/>
              <w:left w:w="50" w:type="dxa"/>
              <w:right w:w="50" w:type="dxa"/>
            </w:tcMar>
            <w:shd w:fill="FFFFFF"/>
          </w:tcPr>
          <w:p>
            <w:pPr>
              <w:spacing w:before="20" w:after="20"/>
              <w:jc w:val="center"/>
            </w:pPr>
            <w:r>
              <w:rPr>
                <w:rFonts w:ascii="Times New Roman" w:hAnsi="Times New Roman"/>
                <w:b w:val="0"/>
                <w:i w:val="0"/>
                <w:color w:val="1E1E1E"/>
                <w:sz w:val="14"/>
              </w:rPr>
              <w:t>59.6%</w:t>
            </w:r>
          </w:p>
        </w:tc>
        <w:tc>
          <w:tcPr>
            <w:tcW w:type="dxa" w:w="1120"/>
            <w:vAlign w:val="center"/>
            <w:tcW w:w="864" w:type="dxa"/>
            <w:tcMar>
              <w:top w:w="50" w:type="dxa"/>
              <w:bottom w:w="50" w:type="dxa"/>
              <w:left w:w="50" w:type="dxa"/>
              <w:right w:w="50" w:type="dxa"/>
            </w:tcMar>
            <w:shd w:fill="FFFFFF"/>
          </w:tcPr>
          <w:p>
            <w:pPr>
              <w:spacing w:before="20" w:after="20"/>
              <w:jc w:val="center"/>
            </w:pPr>
            <w:r>
              <w:rPr>
                <w:rFonts w:ascii="Times New Roman" w:hAnsi="Times New Roman"/>
                <w:b w:val="0"/>
                <w:i w:val="0"/>
                <w:color w:val="1E1E1E"/>
                <w:sz w:val="14"/>
              </w:rPr>
              <w:t>14.0%</w:t>
            </w:r>
          </w:p>
        </w:tc>
      </w:tr>
      <w:tr>
        <w:trPr>
          <w:cantSplit/>
        </w:trPr>
        <w:tc>
          <w:tcPr>
            <w:tcW w:type="dxa" w:w="1120"/>
            <w:vAlign w:val="center"/>
            <w:tcW w:w="2232" w:type="dxa"/>
            <w:tcMar>
              <w:top w:w="50" w:type="dxa"/>
              <w:bottom w:w="50" w:type="dxa"/>
              <w:left w:w="50" w:type="dxa"/>
              <w:right w:w="50" w:type="dxa"/>
            </w:tcMar>
            <w:shd w:fill="F7F9FC"/>
          </w:tcPr>
          <w:p>
            <w:pPr>
              <w:spacing w:before="20" w:after="20"/>
              <w:jc w:val="left"/>
            </w:pPr>
            <w:r>
              <w:rPr>
                <w:rFonts w:ascii="Times New Roman" w:hAnsi="Times New Roman"/>
                <w:b/>
                <w:i w:val="0"/>
                <w:color w:val="1E1E1E"/>
                <w:sz w:val="14"/>
              </w:rPr>
              <w:t>Variant C: Continuous Regression</w:t>
            </w:r>
          </w:p>
        </w:tc>
        <w:tc>
          <w:tcPr>
            <w:tcW w:type="dxa" w:w="1120"/>
            <w:vAlign w:val="center"/>
            <w:tcW w:w="1224" w:type="dxa"/>
            <w:tcMar>
              <w:top w:w="50" w:type="dxa"/>
              <w:bottom w:w="50" w:type="dxa"/>
              <w:left w:w="50" w:type="dxa"/>
              <w:right w:w="50" w:type="dxa"/>
            </w:tcMar>
            <w:shd w:fill="F7F9FC"/>
          </w:tcPr>
          <w:p>
            <w:pPr>
              <w:spacing w:before="20" w:after="20"/>
              <w:jc w:val="center"/>
            </w:pPr>
            <w:r>
              <w:rPr>
                <w:rFonts w:ascii="Times New Roman" w:hAnsi="Times New Roman"/>
                <w:b/>
                <w:i w:val="0"/>
                <w:color w:val="1E1E1E"/>
                <w:sz w:val="14"/>
              </w:rPr>
              <w:t>0.8788</w:t>
            </w:r>
            <w:r>
              <w:rPr>
                <w:rFonts w:ascii="Times New Roman" w:hAnsi="Times New Roman"/>
                <w:b w:val="0"/>
                <w:i w:val="0"/>
                <w:color w:val="1E1E1E"/>
                <w:sz w:val="14"/>
              </w:rPr>
              <w:t xml:space="preserve"> [0.8490, 0.9039]</w:t>
            </w:r>
          </w:p>
        </w:tc>
        <w:tc>
          <w:tcPr>
            <w:tcW w:type="dxa" w:w="1120"/>
            <w:vAlign w:val="center"/>
            <w:tcW w:w="792" w:type="dxa"/>
            <w:tcMar>
              <w:top w:w="50" w:type="dxa"/>
              <w:bottom w:w="50" w:type="dxa"/>
              <w:left w:w="50" w:type="dxa"/>
              <w:right w:w="50" w:type="dxa"/>
            </w:tcMar>
            <w:shd w:fill="F7F9FC"/>
          </w:tcPr>
          <w:p>
            <w:pPr>
              <w:spacing w:before="20" w:after="20"/>
              <w:jc w:val="center"/>
            </w:pPr>
            <w:r>
              <w:rPr>
                <w:rFonts w:ascii="Times New Roman" w:hAnsi="Times New Roman"/>
                <w:b/>
                <w:i w:val="0"/>
                <w:color w:val="1E1E1E"/>
                <w:sz w:val="14"/>
              </w:rPr>
              <w:t>75.64%</w:t>
            </w:r>
          </w:p>
        </w:tc>
        <w:tc>
          <w:tcPr>
            <w:tcW w:type="dxa" w:w="1120"/>
            <w:vAlign w:val="center"/>
            <w:tcW w:w="1080" w:type="dxa"/>
            <w:tcMar>
              <w:top w:w="50" w:type="dxa"/>
              <w:bottom w:w="50" w:type="dxa"/>
              <w:left w:w="50" w:type="dxa"/>
              <w:right w:w="50" w:type="dxa"/>
            </w:tcMar>
            <w:shd w:fill="F7F9FC"/>
          </w:tcPr>
          <w:p>
            <w:pPr>
              <w:spacing w:before="20" w:after="20"/>
              <w:jc w:val="center"/>
            </w:pPr>
            <w:r>
              <w:rPr>
                <w:rFonts w:ascii="Times New Roman" w:hAnsi="Times New Roman"/>
                <w:b/>
                <w:i w:val="0"/>
                <w:color w:val="1E1E1E"/>
                <w:sz w:val="14"/>
              </w:rPr>
              <w:t>0.2873</w:t>
            </w:r>
            <w:r>
              <w:rPr>
                <w:rFonts w:ascii="Times New Roman" w:hAnsi="Times New Roman"/>
                <w:b w:val="0"/>
                <w:i w:val="0"/>
                <w:color w:val="1E1E1E"/>
                <w:sz w:val="14"/>
              </w:rPr>
              <w:t xml:space="preserve"> [0.2400, 0.3364]</w:t>
            </w:r>
          </w:p>
        </w:tc>
        <w:tc>
          <w:tcPr>
            <w:tcW w:type="dxa" w:w="1120"/>
            <w:vAlign w:val="center"/>
            <w:tcW w:w="1152" w:type="dxa"/>
            <w:tcMar>
              <w:top w:w="50" w:type="dxa"/>
              <w:bottom w:w="50" w:type="dxa"/>
              <w:left w:w="50" w:type="dxa"/>
              <w:right w:w="50" w:type="dxa"/>
            </w:tcMar>
            <w:shd w:fill="F7F9FC"/>
          </w:tcPr>
          <w:p>
            <w:pPr>
              <w:spacing w:before="20" w:after="20"/>
              <w:jc w:val="center"/>
            </w:pPr>
            <w:r>
              <w:rPr>
                <w:rFonts w:ascii="Times New Roman" w:hAnsi="Times New Roman"/>
                <w:b/>
                <w:i w:val="0"/>
                <w:color w:val="1E1E1E"/>
                <w:sz w:val="14"/>
              </w:rPr>
              <w:t>3.8%</w:t>
            </w:r>
            <w:r>
              <w:rPr>
                <w:rFonts w:ascii="Times New Roman" w:hAnsi="Times New Roman"/>
                <w:b w:val="0"/>
                <w:i w:val="0"/>
                <w:color w:val="1E1E1E"/>
                <w:sz w:val="14"/>
              </w:rPr>
              <w:t xml:space="preserve"> [2.4%, 5.5%]</w:t>
            </w:r>
          </w:p>
        </w:tc>
        <w:tc>
          <w:tcPr>
            <w:tcW w:type="dxa" w:w="1120"/>
            <w:vAlign w:val="center"/>
            <w:tcW w:w="936" w:type="dxa"/>
            <w:tcMar>
              <w:top w:w="50" w:type="dxa"/>
              <w:bottom w:w="50" w:type="dxa"/>
              <w:left w:w="50" w:type="dxa"/>
              <w:right w:w="50" w:type="dxa"/>
            </w:tcMar>
            <w:shd w:fill="F7F9FC"/>
          </w:tcPr>
          <w:p>
            <w:pPr>
              <w:spacing w:before="20" w:after="20"/>
              <w:jc w:val="center"/>
            </w:pPr>
            <w:r>
              <w:rPr>
                <w:rFonts w:ascii="Times New Roman" w:hAnsi="Times New Roman"/>
                <w:b w:val="0"/>
                <w:i w:val="0"/>
                <w:color w:val="1E1E1E"/>
                <w:sz w:val="14"/>
              </w:rPr>
              <w:t>0.2528 [0.1333, 0.3704]</w:t>
            </w:r>
          </w:p>
        </w:tc>
        <w:tc>
          <w:tcPr>
            <w:tcW w:type="dxa" w:w="1120"/>
            <w:vAlign w:val="center"/>
            <w:tcW w:w="936" w:type="dxa"/>
            <w:tcMar>
              <w:top w:w="50" w:type="dxa"/>
              <w:bottom w:w="50" w:type="dxa"/>
              <w:left w:w="50" w:type="dxa"/>
              <w:right w:w="50" w:type="dxa"/>
            </w:tcMar>
            <w:shd w:fill="F7F9FC"/>
          </w:tcPr>
          <w:p>
            <w:pPr>
              <w:spacing w:before="20" w:after="20"/>
              <w:jc w:val="center"/>
            </w:pPr>
            <w:r>
              <w:rPr>
                <w:rFonts w:ascii="Times New Roman" w:hAnsi="Times New Roman"/>
                <w:b w:val="0"/>
                <w:i w:val="0"/>
                <w:color w:val="1E1E1E"/>
                <w:sz w:val="14"/>
              </w:rPr>
              <w:t>0.3589 [0.2034, 0.5067]</w:t>
            </w:r>
          </w:p>
        </w:tc>
        <w:tc>
          <w:tcPr>
            <w:tcW w:type="dxa" w:w="1120"/>
            <w:vAlign w:val="center"/>
            <w:tcW w:w="864" w:type="dxa"/>
            <w:tcMar>
              <w:top w:w="50" w:type="dxa"/>
              <w:bottom w:w="50" w:type="dxa"/>
              <w:left w:w="50" w:type="dxa"/>
              <w:right w:w="50" w:type="dxa"/>
            </w:tcMar>
            <w:shd w:fill="F7F9FC"/>
          </w:tcPr>
          <w:p>
            <w:pPr>
              <w:spacing w:before="20" w:after="20"/>
              <w:jc w:val="center"/>
            </w:pPr>
            <w:r>
              <w:rPr>
                <w:rFonts w:ascii="Times New Roman" w:hAnsi="Times New Roman"/>
                <w:b w:val="0"/>
                <w:i w:val="0"/>
                <w:color w:val="1E1E1E"/>
                <w:sz w:val="14"/>
              </w:rPr>
              <w:t>75.6%</w:t>
            </w:r>
          </w:p>
        </w:tc>
        <w:tc>
          <w:tcPr>
            <w:tcW w:type="dxa" w:w="1120"/>
            <w:vAlign w:val="center"/>
            <w:tcW w:w="864" w:type="dxa"/>
            <w:tcMar>
              <w:top w:w="50" w:type="dxa"/>
              <w:bottom w:w="50" w:type="dxa"/>
              <w:left w:w="50" w:type="dxa"/>
              <w:right w:w="50" w:type="dxa"/>
            </w:tcMar>
            <w:shd w:fill="F7F9FC"/>
          </w:tcPr>
          <w:p>
            <w:pPr>
              <w:spacing w:before="20" w:after="20"/>
              <w:jc w:val="center"/>
            </w:pPr>
            <w:r>
              <w:rPr>
                <w:rFonts w:ascii="Times New Roman" w:hAnsi="Times New Roman"/>
                <w:b w:val="0"/>
                <w:i w:val="0"/>
                <w:color w:val="1E1E1E"/>
                <w:sz w:val="14"/>
              </w:rPr>
              <w:t>20.5%</w:t>
            </w:r>
          </w:p>
        </w:tc>
      </w:tr>
      <w:tr>
        <w:trPr>
          <w:cantSplit/>
        </w:trPr>
        <w:tc>
          <w:tcPr>
            <w:tcW w:type="dxa" w:w="1120"/>
            <w:vAlign w:val="center"/>
            <w:tcW w:w="2232" w:type="dxa"/>
            <w:tcMar>
              <w:top w:w="50" w:type="dxa"/>
              <w:bottom w:w="50" w:type="dxa"/>
              <w:left w:w="50" w:type="dxa"/>
              <w:right w:w="50" w:type="dxa"/>
            </w:tcMar>
            <w:shd w:fill="FFFFFF"/>
          </w:tcPr>
          <w:p>
            <w:pPr>
              <w:spacing w:before="20" w:after="20"/>
              <w:jc w:val="left"/>
            </w:pPr>
            <w:r>
              <w:rPr>
                <w:rFonts w:ascii="Times New Roman" w:hAnsi="Times New Roman"/>
                <w:b/>
                <w:i w:val="0"/>
                <w:color w:val="1E1E1E"/>
                <w:sz w:val="14"/>
              </w:rPr>
              <w:t>Variant D (CORN): Conditional Ordinal + Soft-QWK</w:t>
            </w:r>
          </w:p>
        </w:tc>
        <w:tc>
          <w:tcPr>
            <w:tcW w:type="dxa" w:w="1120"/>
            <w:vAlign w:val="center"/>
            <w:tcW w:w="1224" w:type="dxa"/>
            <w:tcMar>
              <w:top w:w="50" w:type="dxa"/>
              <w:bottom w:w="50" w:type="dxa"/>
              <w:left w:w="50" w:type="dxa"/>
              <w:right w:w="50" w:type="dxa"/>
            </w:tcMar>
            <w:shd w:fill="FFFFFF"/>
          </w:tcPr>
          <w:p>
            <w:pPr>
              <w:spacing w:before="20" w:after="20"/>
              <w:jc w:val="center"/>
            </w:pPr>
            <w:r>
              <w:rPr>
                <w:rFonts w:ascii="Times New Roman" w:hAnsi="Times New Roman"/>
                <w:b/>
                <w:i w:val="0"/>
                <w:color w:val="1E1E1E"/>
                <w:sz w:val="14"/>
              </w:rPr>
              <w:t>0.8482</w:t>
            </w:r>
            <w:r>
              <w:rPr>
                <w:rFonts w:ascii="Times New Roman" w:hAnsi="Times New Roman"/>
                <w:b w:val="0"/>
                <w:i w:val="0"/>
                <w:color w:val="1E1E1E"/>
                <w:sz w:val="14"/>
              </w:rPr>
              <w:t xml:space="preserve"> [0.8150, 0.8792]</w:t>
            </w:r>
          </w:p>
        </w:tc>
        <w:tc>
          <w:tcPr>
            <w:tcW w:type="dxa" w:w="1120"/>
            <w:vAlign w:val="center"/>
            <w:tcW w:w="792" w:type="dxa"/>
            <w:tcMar>
              <w:top w:w="50" w:type="dxa"/>
              <w:bottom w:w="50" w:type="dxa"/>
              <w:left w:w="50" w:type="dxa"/>
              <w:right w:w="50" w:type="dxa"/>
            </w:tcMar>
            <w:shd w:fill="FFFFFF"/>
          </w:tcPr>
          <w:p>
            <w:pPr>
              <w:spacing w:before="20" w:after="20"/>
              <w:jc w:val="center"/>
            </w:pPr>
            <w:r>
              <w:rPr>
                <w:rFonts w:ascii="Times New Roman" w:hAnsi="Times New Roman"/>
                <w:b/>
                <w:i w:val="0"/>
                <w:color w:val="1E1E1E"/>
                <w:sz w:val="14"/>
              </w:rPr>
              <w:t>69.09%</w:t>
            </w:r>
          </w:p>
        </w:tc>
        <w:tc>
          <w:tcPr>
            <w:tcW w:type="dxa" w:w="1120"/>
            <w:vAlign w:val="center"/>
            <w:tcW w:w="1080" w:type="dxa"/>
            <w:tcMar>
              <w:top w:w="50" w:type="dxa"/>
              <w:bottom w:w="50" w:type="dxa"/>
              <w:left w:w="50" w:type="dxa"/>
              <w:right w:w="50" w:type="dxa"/>
            </w:tcMar>
            <w:shd w:fill="FFFFFF"/>
          </w:tcPr>
          <w:p>
            <w:pPr>
              <w:spacing w:before="20" w:after="20"/>
              <w:jc w:val="center"/>
            </w:pPr>
            <w:r>
              <w:rPr>
                <w:rFonts w:ascii="Times New Roman" w:hAnsi="Times New Roman"/>
                <w:b/>
                <w:i w:val="0"/>
                <w:color w:val="1E1E1E"/>
                <w:sz w:val="14"/>
              </w:rPr>
              <w:t>0.3764</w:t>
            </w:r>
            <w:r>
              <w:rPr>
                <w:rFonts w:ascii="Times New Roman" w:hAnsi="Times New Roman"/>
                <w:b w:val="0"/>
                <w:i w:val="0"/>
                <w:color w:val="1E1E1E"/>
                <w:sz w:val="14"/>
              </w:rPr>
              <w:t xml:space="preserve"> [0.3200, 0.4291]</w:t>
            </w:r>
          </w:p>
        </w:tc>
        <w:tc>
          <w:tcPr>
            <w:tcW w:type="dxa" w:w="1120"/>
            <w:vAlign w:val="center"/>
            <w:tcW w:w="1152" w:type="dxa"/>
            <w:tcMar>
              <w:top w:w="50" w:type="dxa"/>
              <w:bottom w:w="50" w:type="dxa"/>
              <w:left w:w="50" w:type="dxa"/>
              <w:right w:w="50" w:type="dxa"/>
            </w:tcMar>
            <w:shd w:fill="FFFFFF"/>
          </w:tcPr>
          <w:p>
            <w:pPr>
              <w:spacing w:before="20" w:after="20"/>
              <w:jc w:val="center"/>
            </w:pPr>
            <w:r>
              <w:rPr>
                <w:rFonts w:ascii="Times New Roman" w:hAnsi="Times New Roman"/>
                <w:b/>
                <w:i w:val="0"/>
                <w:color w:val="1E1E1E"/>
                <w:sz w:val="14"/>
              </w:rPr>
              <w:t>5.1%</w:t>
            </w:r>
            <w:r>
              <w:rPr>
                <w:rFonts w:ascii="Times New Roman" w:hAnsi="Times New Roman"/>
                <w:b w:val="0"/>
                <w:i w:val="0"/>
                <w:color w:val="1E1E1E"/>
                <w:sz w:val="14"/>
              </w:rPr>
              <w:t xml:space="preserve"> [3.3%, 7.1%]</w:t>
            </w:r>
          </w:p>
        </w:tc>
        <w:tc>
          <w:tcPr>
            <w:tcW w:type="dxa" w:w="1120"/>
            <w:vAlign w:val="center"/>
            <w:tcW w:w="936" w:type="dxa"/>
            <w:tcMar>
              <w:top w:w="50" w:type="dxa"/>
              <w:bottom w:w="50" w:type="dxa"/>
              <w:left w:w="50" w:type="dxa"/>
              <w:right w:w="50" w:type="dxa"/>
            </w:tcMar>
            <w:shd w:fill="FFFFFF"/>
          </w:tcPr>
          <w:p>
            <w:pPr>
              <w:spacing w:before="20" w:after="20"/>
              <w:jc w:val="center"/>
            </w:pPr>
            <w:r>
              <w:rPr>
                <w:rFonts w:ascii="Times New Roman" w:hAnsi="Times New Roman"/>
                <w:b/>
                <w:i w:val="0"/>
                <w:color w:val="1E1E1E"/>
                <w:sz w:val="14"/>
              </w:rPr>
              <w:t>0.2724</w:t>
            </w:r>
            <w:r>
              <w:rPr>
                <w:rFonts w:ascii="Times New Roman" w:hAnsi="Times New Roman"/>
                <w:b w:val="0"/>
                <w:i w:val="0"/>
                <w:color w:val="1E1E1E"/>
                <w:sz w:val="14"/>
              </w:rPr>
              <w:t xml:space="preserve"> [0.1746, 0.3735]</w:t>
            </w:r>
          </w:p>
        </w:tc>
        <w:tc>
          <w:tcPr>
            <w:tcW w:type="dxa" w:w="1120"/>
            <w:vAlign w:val="center"/>
            <w:tcW w:w="936" w:type="dxa"/>
            <w:tcMar>
              <w:top w:w="50" w:type="dxa"/>
              <w:bottom w:w="50" w:type="dxa"/>
              <w:left w:w="50" w:type="dxa"/>
              <w:right w:w="50" w:type="dxa"/>
            </w:tcMar>
            <w:shd w:fill="FFFFFF"/>
          </w:tcPr>
          <w:p>
            <w:pPr>
              <w:spacing w:before="20" w:after="20"/>
              <w:jc w:val="center"/>
            </w:pPr>
            <w:r>
              <w:rPr>
                <w:rFonts w:ascii="Times New Roman" w:hAnsi="Times New Roman"/>
                <w:b/>
                <w:i w:val="0"/>
                <w:color w:val="1E1E1E"/>
                <w:sz w:val="14"/>
              </w:rPr>
              <w:t>0.4584</w:t>
            </w:r>
            <w:r>
              <w:rPr>
                <w:rFonts w:ascii="Times New Roman" w:hAnsi="Times New Roman"/>
                <w:b w:val="0"/>
                <w:i w:val="0"/>
                <w:color w:val="1E1E1E"/>
                <w:sz w:val="14"/>
              </w:rPr>
              <w:t xml:space="preserve"> [0.3124, 0.5909]</w:t>
            </w:r>
          </w:p>
        </w:tc>
        <w:tc>
          <w:tcPr>
            <w:tcW w:type="dxa" w:w="1120"/>
            <w:vAlign w:val="center"/>
            <w:tcW w:w="864" w:type="dxa"/>
            <w:tcMar>
              <w:top w:w="50" w:type="dxa"/>
              <w:bottom w:w="50" w:type="dxa"/>
              <w:left w:w="50" w:type="dxa"/>
              <w:right w:w="50" w:type="dxa"/>
            </w:tcMar>
            <w:shd w:fill="FFFFFF"/>
          </w:tcPr>
          <w:p>
            <w:pPr>
              <w:spacing w:before="20" w:after="20"/>
              <w:jc w:val="center"/>
            </w:pPr>
            <w:r>
              <w:rPr>
                <w:rFonts w:ascii="Times New Roman" w:hAnsi="Times New Roman"/>
                <w:b w:val="0"/>
                <w:i w:val="0"/>
                <w:color w:val="1E1E1E"/>
                <w:sz w:val="14"/>
              </w:rPr>
              <w:t>69.1%</w:t>
            </w:r>
          </w:p>
        </w:tc>
        <w:tc>
          <w:tcPr>
            <w:tcW w:type="dxa" w:w="1120"/>
            <w:vAlign w:val="center"/>
            <w:tcW w:w="864" w:type="dxa"/>
            <w:tcMar>
              <w:top w:w="50" w:type="dxa"/>
              <w:bottom w:w="50" w:type="dxa"/>
              <w:left w:w="50" w:type="dxa"/>
              <w:right w:w="50" w:type="dxa"/>
            </w:tcMar>
            <w:shd w:fill="FFFFFF"/>
          </w:tcPr>
          <w:p>
            <w:pPr>
              <w:spacing w:before="20" w:after="20"/>
              <w:jc w:val="center"/>
            </w:pPr>
            <w:r>
              <w:rPr>
                <w:rFonts w:ascii="Times New Roman" w:hAnsi="Times New Roman"/>
                <w:b w:val="0"/>
                <w:i w:val="0"/>
                <w:color w:val="1E1E1E"/>
                <w:sz w:val="14"/>
              </w:rPr>
              <w:t>25.8%</w:t>
            </w:r>
          </w:p>
        </w:tc>
      </w:tr>
    </w:tbl>
    <w:p>
      <w:pPr>
        <w:spacing w:before="40" w:after="120"/>
      </w:pPr>
    </w:p>
    <w:p>
      <w:pPr>
        <w:keepNext/>
        <w:spacing w:before="160" w:after="40"/>
        <w:jc w:val="center"/>
      </w:pPr>
      <w:r>
        <w:rPr>
          <w:rFonts w:ascii="Times New Roman" w:hAnsi="Times New Roman"/>
          <w:b/>
          <w:i w:val="0"/>
          <w:color w:val="142850"/>
          <w:sz w:val="19"/>
        </w:rPr>
        <w:t>TABLE 3: Per-Class Diagnostic Performance with 95% Bootstrap Confidence Intervals (1,000 Resamples)</w:t>
      </w:r>
    </w:p>
    <w:tbl>
      <w:tblPr>
        <w:tblW w:type="auto" w:w="0"/>
        <w:jc w:val="center"/>
        <w:tblLook w:firstColumn="1" w:firstRow="1" w:lastColumn="0" w:lastRow="0" w:noHBand="0" w:noVBand="1" w:val="04A0"/>
        <w:tblBorders>
          <w:top w:val="single" w:sz="8" w:space="0" w:color="2B5C8F"/>
          <w:bottom w:val="single" w:sz="8" w:space="0" w:color="333333"/>
          <w:insideH w:val="single" w:sz="4" w:space="0" w:color="E0E0E0"/>
          <w:insideV w:val="none"/>
          <w:left w:val="none"/>
          <w:right w:val="none"/>
        </w:tblBorders>
      </w:tblPr>
      <w:tblGrid>
        <w:gridCol w:w="2016"/>
        <w:gridCol w:w="2016"/>
        <w:gridCol w:w="2016"/>
        <w:gridCol w:w="2016"/>
        <w:gridCol w:w="2016"/>
      </w:tblGrid>
      <w:tr>
        <w:trPr>
          <w:cantSplit/>
          <w:tblHeader/>
        </w:trPr>
        <w:tc>
          <w:tcPr>
            <w:tcW w:type="dxa" w:w="2016"/>
            <w:vAlign w:val="center"/>
            <w:tcW w:w="1728" w:type="dxa"/>
            <w:tcMar>
              <w:top w:w="70" w:type="dxa"/>
              <w:bottom w:w="70" w:type="dxa"/>
              <w:left w:w="70" w:type="dxa"/>
              <w:right w:w="70" w:type="dxa"/>
            </w:tcMar>
            <w:shd w:fill="2B5C8F"/>
          </w:tcPr>
          <w:p>
            <w:pPr>
              <w:spacing w:before="20" w:after="20"/>
              <w:jc w:val="center"/>
            </w:pPr>
            <w:r>
              <w:rPr>
                <w:rFonts w:ascii="Times New Roman" w:hAnsi="Times New Roman"/>
                <w:b/>
                <w:i w:val="0"/>
                <w:color w:val="FFFFFF"/>
                <w:sz w:val="16"/>
              </w:rPr>
              <w:t>Class Grade</w:t>
            </w:r>
          </w:p>
        </w:tc>
        <w:tc>
          <w:tcPr>
            <w:tcW w:type="dxa" w:w="2016"/>
            <w:vAlign w:val="center"/>
            <w:tcW w:w="2592" w:type="dxa"/>
            <w:tcMar>
              <w:top w:w="70" w:type="dxa"/>
              <w:bottom w:w="70" w:type="dxa"/>
              <w:left w:w="70" w:type="dxa"/>
              <w:right w:w="70" w:type="dxa"/>
            </w:tcMar>
            <w:shd w:fill="2B5C8F"/>
          </w:tcPr>
          <w:p>
            <w:pPr>
              <w:spacing w:before="20" w:after="20"/>
              <w:jc w:val="center"/>
            </w:pPr>
            <w:r>
              <w:rPr>
                <w:rFonts w:ascii="Times New Roman" w:hAnsi="Times New Roman"/>
                <w:b/>
                <w:i w:val="0"/>
                <w:color w:val="FFFFFF"/>
                <w:sz w:val="16"/>
              </w:rPr>
              <w:t>Model Variant</w:t>
            </w:r>
          </w:p>
        </w:tc>
        <w:tc>
          <w:tcPr>
            <w:tcW w:type="dxa" w:w="2016"/>
            <w:vAlign w:val="center"/>
            <w:tcW w:w="1944" w:type="dxa"/>
            <w:tcMar>
              <w:top w:w="70" w:type="dxa"/>
              <w:bottom w:w="70" w:type="dxa"/>
              <w:left w:w="70" w:type="dxa"/>
              <w:right w:w="70" w:type="dxa"/>
            </w:tcMar>
            <w:shd w:fill="2B5C8F"/>
          </w:tcPr>
          <w:p>
            <w:pPr>
              <w:spacing w:before="20" w:after="20"/>
              <w:jc w:val="center"/>
            </w:pPr>
            <w:r>
              <w:rPr>
                <w:rFonts w:ascii="Times New Roman" w:hAnsi="Times New Roman"/>
                <w:b/>
                <w:i w:val="0"/>
                <w:color w:val="FFFFFF"/>
                <w:sz w:val="16"/>
              </w:rPr>
              <w:t>Recall / Sensitivity [95% CI]</w:t>
            </w:r>
          </w:p>
        </w:tc>
        <w:tc>
          <w:tcPr>
            <w:tcW w:type="dxa" w:w="2016"/>
            <w:vAlign w:val="center"/>
            <w:tcW w:w="1872" w:type="dxa"/>
            <w:tcMar>
              <w:top w:w="70" w:type="dxa"/>
              <w:bottom w:w="70" w:type="dxa"/>
              <w:left w:w="70" w:type="dxa"/>
              <w:right w:w="70" w:type="dxa"/>
            </w:tcMar>
            <w:shd w:fill="2B5C8F"/>
          </w:tcPr>
          <w:p>
            <w:pPr>
              <w:spacing w:before="20" w:after="20"/>
              <w:jc w:val="center"/>
            </w:pPr>
            <w:r>
              <w:rPr>
                <w:rFonts w:ascii="Times New Roman" w:hAnsi="Times New Roman"/>
                <w:b/>
                <w:i w:val="0"/>
                <w:color w:val="FFFFFF"/>
                <w:sz w:val="16"/>
              </w:rPr>
              <w:t>Precision [95% CI]</w:t>
            </w:r>
          </w:p>
        </w:tc>
        <w:tc>
          <w:tcPr>
            <w:tcW w:type="dxa" w:w="2016"/>
            <w:vAlign w:val="center"/>
            <w:tcW w:w="1944" w:type="dxa"/>
            <w:tcMar>
              <w:top w:w="70" w:type="dxa"/>
              <w:bottom w:w="70" w:type="dxa"/>
              <w:left w:w="70" w:type="dxa"/>
              <w:right w:w="70" w:type="dxa"/>
            </w:tcMar>
            <w:shd w:fill="2B5C8F"/>
          </w:tcPr>
          <w:p>
            <w:pPr>
              <w:spacing w:before="20" w:after="20"/>
              <w:jc w:val="center"/>
            </w:pPr>
            <w:r>
              <w:rPr>
                <w:rFonts w:ascii="Times New Roman" w:hAnsi="Times New Roman"/>
                <w:b/>
                <w:i w:val="0"/>
                <w:color w:val="FFFFFF"/>
                <w:sz w:val="16"/>
              </w:rPr>
              <w:t>F1-Score [95% CI]</w:t>
            </w:r>
          </w:p>
        </w:tc>
      </w:tr>
      <w:tr>
        <w:trPr>
          <w:cantSplit/>
        </w:trPr>
        <w:tc>
          <w:tcPr>
            <w:tcW w:type="dxa" w:w="2016"/>
            <w:vAlign w:val="center"/>
            <w:tcW w:w="1728" w:type="dxa"/>
            <w:tcMar>
              <w:top w:w="70" w:type="dxa"/>
              <w:bottom w:w="70" w:type="dxa"/>
              <w:left w:w="70" w:type="dxa"/>
              <w:right w:w="70" w:type="dxa"/>
            </w:tcMar>
            <w:shd w:fill="F7F9FC"/>
          </w:tcPr>
          <w:p>
            <w:pPr>
              <w:spacing w:before="20" w:after="20"/>
              <w:jc w:val="left"/>
            </w:pPr>
            <w:r>
              <w:rPr>
                <w:rFonts w:ascii="Times New Roman" w:hAnsi="Times New Roman"/>
                <w:b/>
                <w:i w:val="0"/>
                <w:color w:val="1E1E1E"/>
                <w:sz w:val="16"/>
              </w:rPr>
              <w:t>0 (No DR)</w:t>
            </w:r>
          </w:p>
        </w:tc>
        <w:tc>
          <w:tcPr>
            <w:tcW w:type="dxa" w:w="2016"/>
            <w:vAlign w:val="center"/>
            <w:tcW w:w="259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Variant A (Softmax Baseline)</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97.1% [94.9%, 98.9%]</w:t>
            </w:r>
          </w:p>
        </w:tc>
        <w:tc>
          <w:tcPr>
            <w:tcW w:type="dxa" w:w="2016"/>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96.7% [94.5%, 98.6%]</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0.9690 [0.9541, 0.9825]</w:t>
            </w:r>
          </w:p>
        </w:tc>
      </w:tr>
      <w:tr>
        <w:trPr>
          <w:cantSplit/>
        </w:trPr>
        <w:tc>
          <w:tcPr>
            <w:tcW w:type="dxa" w:w="2016"/>
            <w:vAlign w:val="center"/>
            <w:tcW w:w="1728" w:type="dxa"/>
            <w:tcMar>
              <w:top w:w="70" w:type="dxa"/>
              <w:bottom w:w="70" w:type="dxa"/>
              <w:left w:w="70" w:type="dxa"/>
              <w:right w:w="70" w:type="dxa"/>
            </w:tcMar>
            <w:shd w:fill="FFFFFF"/>
          </w:tcPr>
          <w:p>
            <w:pPr>
              <w:spacing w:before="20" w:after="20"/>
              <w:jc w:val="left"/>
            </w:pPr>
          </w:p>
        </w:tc>
        <w:tc>
          <w:tcPr>
            <w:tcW w:type="dxa" w:w="2016"/>
            <w:vAlign w:val="center"/>
            <w:tcW w:w="2592"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Variant B (CORAL Ordinal)</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100.0% [100.0%, 100.0%]</w:t>
            </w:r>
          </w:p>
        </w:tc>
        <w:tc>
          <w:tcPr>
            <w:tcW w:type="dxa" w:w="2016"/>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74.9% [70.7%, 79.3%]</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0.8560 [0.8281, 0.8843]</w:t>
            </w:r>
          </w:p>
        </w:tc>
      </w:tr>
      <w:tr>
        <w:trPr>
          <w:cantSplit/>
        </w:trPr>
        <w:tc>
          <w:tcPr>
            <w:tcW w:type="dxa" w:w="2016"/>
            <w:vAlign w:val="center"/>
            <w:tcW w:w="1728" w:type="dxa"/>
            <w:tcMar>
              <w:top w:w="70" w:type="dxa"/>
              <w:bottom w:w="70" w:type="dxa"/>
              <w:left w:w="70" w:type="dxa"/>
              <w:right w:w="70" w:type="dxa"/>
            </w:tcMar>
            <w:shd w:fill="F7F9FC"/>
          </w:tcPr>
          <w:p>
            <w:pPr>
              <w:spacing w:before="20" w:after="20"/>
              <w:jc w:val="left"/>
            </w:pPr>
          </w:p>
        </w:tc>
        <w:tc>
          <w:tcPr>
            <w:tcW w:type="dxa" w:w="2016"/>
            <w:vAlign w:val="center"/>
            <w:tcW w:w="259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Variant C (Continuous Regression)</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96.7% [94.4%, 98.6%]</w:t>
            </w:r>
          </w:p>
        </w:tc>
        <w:tc>
          <w:tcPr>
            <w:tcW w:type="dxa" w:w="2016"/>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96.0% [93.5%, 98.1%]</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0.9635 [0.9478, 0.9779]</w:t>
            </w:r>
          </w:p>
        </w:tc>
      </w:tr>
      <w:tr>
        <w:trPr>
          <w:cantSplit/>
        </w:trPr>
        <w:tc>
          <w:tcPr>
            <w:tcW w:type="dxa" w:w="2016"/>
            <w:vAlign w:val="center"/>
            <w:tcW w:w="1728" w:type="dxa"/>
            <w:tcMar>
              <w:top w:w="70" w:type="dxa"/>
              <w:bottom w:w="70" w:type="dxa"/>
              <w:left w:w="70" w:type="dxa"/>
              <w:right w:w="70" w:type="dxa"/>
            </w:tcMar>
            <w:shd w:fill="FFFFFF"/>
          </w:tcPr>
          <w:p>
            <w:pPr>
              <w:spacing w:before="20" w:after="20"/>
              <w:jc w:val="left"/>
            </w:pPr>
          </w:p>
        </w:tc>
        <w:tc>
          <w:tcPr>
            <w:tcW w:type="dxa" w:w="2016"/>
            <w:vAlign w:val="center"/>
            <w:tcW w:w="2592"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Variant D (CORN)</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97.4%</w:t>
            </w:r>
            <w:r>
              <w:rPr>
                <w:rFonts w:ascii="Times New Roman" w:hAnsi="Times New Roman"/>
                <w:b w:val="0"/>
                <w:i w:val="0"/>
                <w:color w:val="1E1E1E"/>
                <w:sz w:val="16"/>
              </w:rPr>
              <w:t xml:space="preserve"> [95.4%, 99.2%]</w:t>
            </w:r>
          </w:p>
        </w:tc>
        <w:tc>
          <w:tcPr>
            <w:tcW w:type="dxa" w:w="2016"/>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95.7%</w:t>
            </w:r>
            <w:r>
              <w:rPr>
                <w:rFonts w:ascii="Times New Roman" w:hAnsi="Times New Roman"/>
                <w:b w:val="0"/>
                <w:i w:val="0"/>
                <w:color w:val="1E1E1E"/>
                <w:sz w:val="16"/>
              </w:rPr>
              <w:t xml:space="preserve"> [93.3%, 97.9%]</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0.9655</w:t>
            </w:r>
            <w:r>
              <w:rPr>
                <w:rFonts w:ascii="Times New Roman" w:hAnsi="Times New Roman"/>
                <w:b w:val="0"/>
                <w:i w:val="0"/>
                <w:color w:val="1E1E1E"/>
                <w:sz w:val="16"/>
              </w:rPr>
              <w:t xml:space="preserve"> [0.9502, 0.9799]</w:t>
            </w:r>
          </w:p>
        </w:tc>
      </w:tr>
      <w:tr>
        <w:trPr>
          <w:cantSplit/>
        </w:trPr>
        <w:tc>
          <w:tcPr>
            <w:tcW w:type="dxa" w:w="2016"/>
            <w:vAlign w:val="center"/>
            <w:tcW w:w="1728" w:type="dxa"/>
            <w:tcMar>
              <w:top w:w="70" w:type="dxa"/>
              <w:bottom w:w="70" w:type="dxa"/>
              <w:left w:w="70" w:type="dxa"/>
              <w:right w:w="70" w:type="dxa"/>
            </w:tcMar>
            <w:shd w:fill="F7F9FC"/>
          </w:tcPr>
          <w:p>
            <w:pPr>
              <w:spacing w:before="20" w:after="20"/>
              <w:jc w:val="left"/>
            </w:pPr>
            <w:r>
              <w:rPr>
                <w:rFonts w:ascii="Times New Roman" w:hAnsi="Times New Roman"/>
                <w:b/>
                <w:i w:val="0"/>
                <w:color w:val="1E1E1E"/>
                <w:sz w:val="16"/>
              </w:rPr>
              <w:t>1 (Mild NPDR)</w:t>
            </w:r>
          </w:p>
        </w:tc>
        <w:tc>
          <w:tcPr>
            <w:tcW w:type="dxa" w:w="2016"/>
            <w:vAlign w:val="center"/>
            <w:tcW w:w="259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Variant A (Softmax Baseline)</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55.5% [42.4%, 68.4%]</w:t>
            </w:r>
          </w:p>
        </w:tc>
        <w:tc>
          <w:tcPr>
            <w:tcW w:type="dxa" w:w="2016"/>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59.7% [46.8%, 73.3%]</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0.5728 [0.4602, 0.6777]</w:t>
            </w:r>
          </w:p>
        </w:tc>
      </w:tr>
      <w:tr>
        <w:trPr>
          <w:cantSplit/>
        </w:trPr>
        <w:tc>
          <w:tcPr>
            <w:tcW w:type="dxa" w:w="2016"/>
            <w:vAlign w:val="center"/>
            <w:tcW w:w="1728" w:type="dxa"/>
            <w:tcMar>
              <w:top w:w="70" w:type="dxa"/>
              <w:bottom w:w="70" w:type="dxa"/>
              <w:left w:w="70" w:type="dxa"/>
              <w:right w:w="70" w:type="dxa"/>
            </w:tcMar>
            <w:shd w:fill="FFFFFF"/>
          </w:tcPr>
          <w:p>
            <w:pPr>
              <w:spacing w:before="20" w:after="20"/>
              <w:jc w:val="left"/>
            </w:pPr>
          </w:p>
        </w:tc>
        <w:tc>
          <w:tcPr>
            <w:tcW w:type="dxa" w:w="2016"/>
            <w:vAlign w:val="center"/>
            <w:tcW w:w="2592"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Variant B (CORAL Ordinal)</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1.8% [0.0%, 6.1%]</w:t>
            </w:r>
          </w:p>
        </w:tc>
        <w:tc>
          <w:tcPr>
            <w:tcW w:type="dxa" w:w="2016"/>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42.3% [0.0%, 100.0%]</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0.0344 [0.0000, 0.1132]</w:t>
            </w:r>
          </w:p>
        </w:tc>
      </w:tr>
      <w:tr>
        <w:trPr>
          <w:cantSplit/>
        </w:trPr>
        <w:tc>
          <w:tcPr>
            <w:tcW w:type="dxa" w:w="2016"/>
            <w:vAlign w:val="center"/>
            <w:tcW w:w="1728" w:type="dxa"/>
            <w:tcMar>
              <w:top w:w="70" w:type="dxa"/>
              <w:bottom w:w="70" w:type="dxa"/>
              <w:left w:w="70" w:type="dxa"/>
              <w:right w:w="70" w:type="dxa"/>
            </w:tcMar>
            <w:shd w:fill="F7F9FC"/>
          </w:tcPr>
          <w:p>
            <w:pPr>
              <w:spacing w:before="20" w:after="20"/>
              <w:jc w:val="left"/>
            </w:pPr>
          </w:p>
        </w:tc>
        <w:tc>
          <w:tcPr>
            <w:tcW w:type="dxa" w:w="2016"/>
            <w:vAlign w:val="center"/>
            <w:tcW w:w="259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Variant C (Continuous Regression)</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50.2% [37.7%, 63.6%]</w:t>
            </w:r>
          </w:p>
        </w:tc>
        <w:tc>
          <w:tcPr>
            <w:tcW w:type="dxa" w:w="2016"/>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50.9% [37.5%, 63.5%]</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0.5035 [0.3860, 0.6087]</w:t>
            </w:r>
          </w:p>
        </w:tc>
      </w:tr>
      <w:tr>
        <w:trPr>
          <w:cantSplit/>
        </w:trPr>
        <w:tc>
          <w:tcPr>
            <w:tcW w:type="dxa" w:w="2016"/>
            <w:vAlign w:val="center"/>
            <w:tcW w:w="1728" w:type="dxa"/>
            <w:tcMar>
              <w:top w:w="70" w:type="dxa"/>
              <w:bottom w:w="70" w:type="dxa"/>
              <w:left w:w="70" w:type="dxa"/>
              <w:right w:w="70" w:type="dxa"/>
            </w:tcMar>
            <w:shd w:fill="FFFFFF"/>
          </w:tcPr>
          <w:p>
            <w:pPr>
              <w:spacing w:before="20" w:after="20"/>
              <w:jc w:val="left"/>
            </w:pPr>
          </w:p>
        </w:tc>
        <w:tc>
          <w:tcPr>
            <w:tcW w:type="dxa" w:w="2016"/>
            <w:vAlign w:val="center"/>
            <w:tcW w:w="2592"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Variant D (CORN)</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66.1%</w:t>
            </w:r>
            <w:r>
              <w:rPr>
                <w:rFonts w:ascii="Times New Roman" w:hAnsi="Times New Roman"/>
                <w:b w:val="0"/>
                <w:i w:val="0"/>
                <w:color w:val="1E1E1E"/>
                <w:sz w:val="16"/>
              </w:rPr>
              <w:t xml:space="preserve"> [52.6%, 79.2%]</w:t>
            </w:r>
          </w:p>
        </w:tc>
        <w:tc>
          <w:tcPr>
            <w:tcW w:type="dxa" w:w="2016"/>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47.6%</w:t>
            </w:r>
            <w:r>
              <w:rPr>
                <w:rFonts w:ascii="Times New Roman" w:hAnsi="Times New Roman"/>
                <w:b w:val="0"/>
                <w:i w:val="0"/>
                <w:color w:val="1E1E1E"/>
                <w:sz w:val="16"/>
              </w:rPr>
              <w:t xml:space="preserve"> [36.5%, 59.3%]</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0.5515</w:t>
            </w:r>
            <w:r>
              <w:rPr>
                <w:rFonts w:ascii="Times New Roman" w:hAnsi="Times New Roman"/>
                <w:b w:val="0"/>
                <w:i w:val="0"/>
                <w:color w:val="1E1E1E"/>
                <w:sz w:val="16"/>
              </w:rPr>
              <w:t xml:space="preserve"> [0.4409, 0.6491]</w:t>
            </w:r>
          </w:p>
        </w:tc>
      </w:tr>
      <w:tr>
        <w:trPr>
          <w:cantSplit/>
        </w:trPr>
        <w:tc>
          <w:tcPr>
            <w:tcW w:type="dxa" w:w="2016"/>
            <w:vAlign w:val="center"/>
            <w:tcW w:w="1728" w:type="dxa"/>
            <w:tcMar>
              <w:top w:w="70" w:type="dxa"/>
              <w:bottom w:w="70" w:type="dxa"/>
              <w:left w:w="70" w:type="dxa"/>
              <w:right w:w="70" w:type="dxa"/>
            </w:tcMar>
            <w:shd w:fill="F7F9FC"/>
          </w:tcPr>
          <w:p>
            <w:pPr>
              <w:spacing w:before="20" w:after="20"/>
              <w:jc w:val="left"/>
            </w:pPr>
            <w:r>
              <w:rPr>
                <w:rFonts w:ascii="Times New Roman" w:hAnsi="Times New Roman"/>
                <w:b/>
                <w:i w:val="0"/>
                <w:color w:val="1E1E1E"/>
                <w:sz w:val="16"/>
              </w:rPr>
              <w:t>2 (Moderate NPDR)</w:t>
            </w:r>
          </w:p>
        </w:tc>
        <w:tc>
          <w:tcPr>
            <w:tcW w:type="dxa" w:w="2016"/>
            <w:vAlign w:val="center"/>
            <w:tcW w:w="259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Variant A (Softmax Baseline)</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74.6% [67.3%, 81.9%]</w:t>
            </w:r>
          </w:p>
        </w:tc>
        <w:tc>
          <w:tcPr>
            <w:tcW w:type="dxa" w:w="2016"/>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76.3% [69.0%, 83.1%]</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0.7538 [0.6978, 0.8053]</w:t>
            </w:r>
          </w:p>
        </w:tc>
      </w:tr>
      <w:tr>
        <w:trPr>
          <w:cantSplit/>
        </w:trPr>
        <w:tc>
          <w:tcPr>
            <w:tcW w:type="dxa" w:w="2016"/>
            <w:vAlign w:val="center"/>
            <w:tcW w:w="1728" w:type="dxa"/>
            <w:tcMar>
              <w:top w:w="70" w:type="dxa"/>
              <w:bottom w:w="70" w:type="dxa"/>
              <w:left w:w="70" w:type="dxa"/>
              <w:right w:w="70" w:type="dxa"/>
            </w:tcMar>
            <w:shd w:fill="FFFFFF"/>
          </w:tcPr>
          <w:p>
            <w:pPr>
              <w:spacing w:before="20" w:after="20"/>
              <w:jc w:val="left"/>
            </w:pPr>
          </w:p>
        </w:tc>
        <w:tc>
          <w:tcPr>
            <w:tcW w:type="dxa" w:w="2016"/>
            <w:vAlign w:val="center"/>
            <w:tcW w:w="2592"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Variant B (CORAL Ordinal)</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11.9% [7.0%, 17.5%]</w:t>
            </w:r>
          </w:p>
        </w:tc>
        <w:tc>
          <w:tcPr>
            <w:tcW w:type="dxa" w:w="2016"/>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71.9% [52.9%, 88.9%]</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0.2039 [0.1241, 0.2857]</w:t>
            </w:r>
          </w:p>
        </w:tc>
      </w:tr>
      <w:tr>
        <w:trPr>
          <w:cantSplit/>
        </w:trPr>
        <w:tc>
          <w:tcPr>
            <w:tcW w:type="dxa" w:w="2016"/>
            <w:vAlign w:val="center"/>
            <w:tcW w:w="1728" w:type="dxa"/>
            <w:tcMar>
              <w:top w:w="70" w:type="dxa"/>
              <w:bottom w:w="70" w:type="dxa"/>
              <w:left w:w="70" w:type="dxa"/>
              <w:right w:w="70" w:type="dxa"/>
            </w:tcMar>
            <w:shd w:fill="F7F9FC"/>
          </w:tcPr>
          <w:p>
            <w:pPr>
              <w:spacing w:before="20" w:after="20"/>
              <w:jc w:val="left"/>
            </w:pPr>
          </w:p>
        </w:tc>
        <w:tc>
          <w:tcPr>
            <w:tcW w:type="dxa" w:w="2016"/>
            <w:vAlign w:val="center"/>
            <w:tcW w:w="259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Variant C (Continuous Regression)</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68.5% [60.6%, 75.8%]</w:t>
            </w:r>
          </w:p>
        </w:tc>
        <w:tc>
          <w:tcPr>
            <w:tcW w:type="dxa" w:w="2016"/>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72.6% [64.4%, 80.0%]</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0.7044 [0.6370, 0.7638]</w:t>
            </w:r>
          </w:p>
        </w:tc>
      </w:tr>
      <w:tr>
        <w:trPr>
          <w:cantSplit/>
        </w:trPr>
        <w:tc>
          <w:tcPr>
            <w:tcW w:type="dxa" w:w="2016"/>
            <w:vAlign w:val="center"/>
            <w:tcW w:w="1728" w:type="dxa"/>
            <w:tcMar>
              <w:top w:w="70" w:type="dxa"/>
              <w:bottom w:w="70" w:type="dxa"/>
              <w:left w:w="70" w:type="dxa"/>
              <w:right w:w="70" w:type="dxa"/>
            </w:tcMar>
            <w:shd w:fill="FFFFFF"/>
          </w:tcPr>
          <w:p>
            <w:pPr>
              <w:spacing w:before="20" w:after="20"/>
              <w:jc w:val="left"/>
            </w:pPr>
          </w:p>
        </w:tc>
        <w:tc>
          <w:tcPr>
            <w:tcW w:type="dxa" w:w="2016"/>
            <w:vAlign w:val="center"/>
            <w:tcW w:w="2592"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Variant D (CORN)</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28.0%</w:t>
            </w:r>
            <w:r>
              <w:rPr>
                <w:rFonts w:ascii="Times New Roman" w:hAnsi="Times New Roman"/>
                <w:b w:val="0"/>
                <w:i w:val="0"/>
                <w:color w:val="1E1E1E"/>
                <w:sz w:val="16"/>
              </w:rPr>
              <w:t xml:space="preserve"> [21.1%, 35.3%]</w:t>
            </w:r>
          </w:p>
        </w:tc>
        <w:tc>
          <w:tcPr>
            <w:tcW w:type="dxa" w:w="2016"/>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81.0%</w:t>
            </w:r>
            <w:r>
              <w:rPr>
                <w:rFonts w:ascii="Times New Roman" w:hAnsi="Times New Roman"/>
                <w:b w:val="0"/>
                <w:i w:val="0"/>
                <w:color w:val="1E1E1E"/>
                <w:sz w:val="16"/>
              </w:rPr>
              <w:t xml:space="preserve"> [69.8%, 91.3%]</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0.4151</w:t>
            </w:r>
            <w:r>
              <w:rPr>
                <w:rFonts w:ascii="Times New Roman" w:hAnsi="Times New Roman"/>
                <w:b w:val="0"/>
                <w:i w:val="0"/>
                <w:color w:val="1E1E1E"/>
                <w:sz w:val="16"/>
              </w:rPr>
              <w:t xml:space="preserve"> [0.3284, 0.5000]</w:t>
            </w:r>
          </w:p>
        </w:tc>
      </w:tr>
      <w:tr>
        <w:trPr>
          <w:cantSplit/>
        </w:trPr>
        <w:tc>
          <w:tcPr>
            <w:tcW w:type="dxa" w:w="2016"/>
            <w:vAlign w:val="center"/>
            <w:tcW w:w="1728" w:type="dxa"/>
            <w:tcMar>
              <w:top w:w="70" w:type="dxa"/>
              <w:bottom w:w="70" w:type="dxa"/>
              <w:left w:w="70" w:type="dxa"/>
              <w:right w:w="70" w:type="dxa"/>
            </w:tcMar>
            <w:shd w:fill="F7F9FC"/>
          </w:tcPr>
          <w:p>
            <w:pPr>
              <w:spacing w:before="20" w:after="20"/>
              <w:jc w:val="left"/>
            </w:pPr>
            <w:r>
              <w:rPr>
                <w:rFonts w:ascii="Times New Roman" w:hAnsi="Times New Roman"/>
                <w:b/>
                <w:i w:val="0"/>
                <w:color w:val="1E1E1E"/>
                <w:sz w:val="16"/>
              </w:rPr>
              <w:t>3 (Severe NPDR)</w:t>
            </w:r>
          </w:p>
        </w:tc>
        <w:tc>
          <w:tcPr>
            <w:tcW w:type="dxa" w:w="2016"/>
            <w:vAlign w:val="center"/>
            <w:tcW w:w="259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Variant A (Softmax Baseline)</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41.7% [23.3%, 60.0%]</w:t>
            </w:r>
          </w:p>
        </w:tc>
        <w:tc>
          <w:tcPr>
            <w:tcW w:type="dxa" w:w="2016"/>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35.4% [20.0%, 51.6%]</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0.3791 [0.2221, 0.5313]</w:t>
            </w:r>
          </w:p>
        </w:tc>
      </w:tr>
      <w:tr>
        <w:trPr>
          <w:cantSplit/>
        </w:trPr>
        <w:tc>
          <w:tcPr>
            <w:tcW w:type="dxa" w:w="2016"/>
            <w:vAlign w:val="center"/>
            <w:tcW w:w="1728" w:type="dxa"/>
            <w:tcMar>
              <w:top w:w="70" w:type="dxa"/>
              <w:bottom w:w="70" w:type="dxa"/>
              <w:left w:w="70" w:type="dxa"/>
              <w:right w:w="70" w:type="dxa"/>
            </w:tcMar>
            <w:shd w:fill="FFFFFF"/>
          </w:tcPr>
          <w:p>
            <w:pPr>
              <w:spacing w:before="20" w:after="20"/>
              <w:jc w:val="left"/>
            </w:pPr>
          </w:p>
        </w:tc>
        <w:tc>
          <w:tcPr>
            <w:tcW w:type="dxa" w:w="2016"/>
            <w:vAlign w:val="center"/>
            <w:tcW w:w="2592"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Variant B (CORAL Ordinal)</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0.0% [0.0%, 0.0%]</w:t>
            </w:r>
          </w:p>
        </w:tc>
        <w:tc>
          <w:tcPr>
            <w:tcW w:type="dxa" w:w="2016"/>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0.0% [0.0%, 0.0%]</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0.0000 [0.0000, 0.0000]</w:t>
            </w:r>
          </w:p>
        </w:tc>
      </w:tr>
      <w:tr>
        <w:trPr>
          <w:cantSplit/>
        </w:trPr>
        <w:tc>
          <w:tcPr>
            <w:tcW w:type="dxa" w:w="2016"/>
            <w:vAlign w:val="center"/>
            <w:tcW w:w="1728" w:type="dxa"/>
            <w:tcMar>
              <w:top w:w="70" w:type="dxa"/>
              <w:bottom w:w="70" w:type="dxa"/>
              <w:left w:w="70" w:type="dxa"/>
              <w:right w:w="70" w:type="dxa"/>
            </w:tcMar>
            <w:shd w:fill="F7F9FC"/>
          </w:tcPr>
          <w:p>
            <w:pPr>
              <w:spacing w:before="20" w:after="20"/>
              <w:jc w:val="left"/>
            </w:pPr>
          </w:p>
        </w:tc>
        <w:tc>
          <w:tcPr>
            <w:tcW w:type="dxa" w:w="2016"/>
            <w:vAlign w:val="center"/>
            <w:tcW w:w="259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Variant C (Continuous Regression)</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38.4% [20.0%, 56.8%]</w:t>
            </w:r>
          </w:p>
        </w:tc>
        <w:tc>
          <w:tcPr>
            <w:tcW w:type="dxa" w:w="2016"/>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19.1% [9.2%, 29.0%]</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0.2528 [0.1333, 0.3704]</w:t>
            </w:r>
          </w:p>
        </w:tc>
      </w:tr>
      <w:tr>
        <w:trPr>
          <w:cantSplit/>
        </w:trPr>
        <w:tc>
          <w:tcPr>
            <w:tcW w:type="dxa" w:w="2016"/>
            <w:vAlign w:val="center"/>
            <w:tcW w:w="1728" w:type="dxa"/>
            <w:tcMar>
              <w:top w:w="70" w:type="dxa"/>
              <w:bottom w:w="70" w:type="dxa"/>
              <w:left w:w="70" w:type="dxa"/>
              <w:right w:w="70" w:type="dxa"/>
            </w:tcMar>
            <w:shd w:fill="FFFFFF"/>
          </w:tcPr>
          <w:p>
            <w:pPr>
              <w:spacing w:before="20" w:after="20"/>
              <w:jc w:val="left"/>
            </w:pPr>
          </w:p>
        </w:tc>
        <w:tc>
          <w:tcPr>
            <w:tcW w:type="dxa" w:w="2016"/>
            <w:vAlign w:val="center"/>
            <w:tcW w:w="2592"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Variant D (CORN)</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65.7%</w:t>
            </w:r>
            <w:r>
              <w:rPr>
                <w:rFonts w:ascii="Times New Roman" w:hAnsi="Times New Roman"/>
                <w:b w:val="0"/>
                <w:i w:val="0"/>
                <w:color w:val="1E1E1E"/>
                <w:sz w:val="16"/>
              </w:rPr>
              <w:t xml:space="preserve"> [48.3%, 82.9%]</w:t>
            </w:r>
          </w:p>
        </w:tc>
        <w:tc>
          <w:tcPr>
            <w:tcW w:type="dxa" w:w="2016"/>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17.3%</w:t>
            </w:r>
            <w:r>
              <w:rPr>
                <w:rFonts w:ascii="Times New Roman" w:hAnsi="Times New Roman"/>
                <w:b w:val="0"/>
                <w:i w:val="0"/>
                <w:color w:val="1E1E1E"/>
                <w:sz w:val="16"/>
              </w:rPr>
              <w:t xml:space="preserve"> [10.6%, 24.8%]</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0.2724</w:t>
            </w:r>
            <w:r>
              <w:rPr>
                <w:rFonts w:ascii="Times New Roman" w:hAnsi="Times New Roman"/>
                <w:b w:val="0"/>
                <w:i w:val="0"/>
                <w:color w:val="1E1E1E"/>
                <w:sz w:val="16"/>
              </w:rPr>
              <w:t xml:space="preserve"> [0.1746, 0.3735]</w:t>
            </w:r>
          </w:p>
        </w:tc>
      </w:tr>
      <w:tr>
        <w:trPr>
          <w:cantSplit/>
        </w:trPr>
        <w:tc>
          <w:tcPr>
            <w:tcW w:type="dxa" w:w="2016"/>
            <w:vAlign w:val="center"/>
            <w:tcW w:w="1728" w:type="dxa"/>
            <w:tcMar>
              <w:top w:w="70" w:type="dxa"/>
              <w:bottom w:w="70" w:type="dxa"/>
              <w:left w:w="70" w:type="dxa"/>
              <w:right w:w="70" w:type="dxa"/>
            </w:tcMar>
            <w:shd w:fill="F7F9FC"/>
          </w:tcPr>
          <w:p>
            <w:pPr>
              <w:spacing w:before="20" w:after="20"/>
              <w:jc w:val="left"/>
            </w:pPr>
            <w:r>
              <w:rPr>
                <w:rFonts w:ascii="Times New Roman" w:hAnsi="Times New Roman"/>
                <w:b/>
                <w:i w:val="0"/>
                <w:color w:val="1E1E1E"/>
                <w:sz w:val="16"/>
              </w:rPr>
              <w:t>4 (Proliferative DR)</w:t>
            </w:r>
          </w:p>
        </w:tc>
        <w:tc>
          <w:tcPr>
            <w:tcW w:type="dxa" w:w="2016"/>
            <w:vAlign w:val="center"/>
            <w:tcW w:w="259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Variant A (Softmax Baseline)</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52.3% [37.2%, 67.3%]</w:t>
            </w:r>
          </w:p>
        </w:tc>
        <w:tc>
          <w:tcPr>
            <w:tcW w:type="dxa" w:w="2016"/>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51.2% [36.6%, 65.1%]</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0.5147 [0.3830, 0.6377]</w:t>
            </w:r>
          </w:p>
        </w:tc>
      </w:tr>
      <w:tr>
        <w:trPr>
          <w:cantSplit/>
        </w:trPr>
        <w:tc>
          <w:tcPr>
            <w:tcW w:type="dxa" w:w="2016"/>
            <w:vAlign w:val="center"/>
            <w:tcW w:w="1728" w:type="dxa"/>
            <w:tcMar>
              <w:top w:w="70" w:type="dxa"/>
              <w:bottom w:w="70" w:type="dxa"/>
              <w:left w:w="70" w:type="dxa"/>
              <w:right w:w="70" w:type="dxa"/>
            </w:tcMar>
            <w:shd w:fill="FFFFFF"/>
          </w:tcPr>
          <w:p>
            <w:pPr>
              <w:spacing w:before="20" w:after="20"/>
              <w:jc w:val="left"/>
            </w:pPr>
          </w:p>
        </w:tc>
        <w:tc>
          <w:tcPr>
            <w:tcW w:type="dxa" w:w="2016"/>
            <w:vAlign w:val="center"/>
            <w:tcW w:w="2592"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Variant B (CORAL Ordinal)</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86.3% [75.6%, 95.1%]</w:t>
            </w:r>
          </w:p>
        </w:tc>
        <w:tc>
          <w:tcPr>
            <w:tcW w:type="dxa" w:w="2016"/>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23.6% [17.2%, 30.2%]</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0.3692 [0.2857, 0.4502]</w:t>
            </w:r>
          </w:p>
        </w:tc>
      </w:tr>
      <w:tr>
        <w:trPr>
          <w:cantSplit/>
        </w:trPr>
        <w:tc>
          <w:tcPr>
            <w:tcW w:type="dxa" w:w="2016"/>
            <w:vAlign w:val="center"/>
            <w:tcW w:w="1728" w:type="dxa"/>
            <w:tcMar>
              <w:top w:w="70" w:type="dxa"/>
              <w:bottom w:w="70" w:type="dxa"/>
              <w:left w:w="70" w:type="dxa"/>
              <w:right w:w="70" w:type="dxa"/>
            </w:tcMar>
            <w:shd w:fill="F7F9FC"/>
          </w:tcPr>
          <w:p>
            <w:pPr>
              <w:spacing w:before="20" w:after="20"/>
              <w:jc w:val="left"/>
            </w:pPr>
          </w:p>
        </w:tc>
        <w:tc>
          <w:tcPr>
            <w:tcW w:type="dxa" w:w="2016"/>
            <w:vAlign w:val="center"/>
            <w:tcW w:w="259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Variant C (Continuous Regression)</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27.1% [14.3%, 41.7%]</w:t>
            </w:r>
          </w:p>
        </w:tc>
        <w:tc>
          <w:tcPr>
            <w:tcW w:type="dxa" w:w="2016"/>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54.6% [33.3%, 75.0%]</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0.3589 [0.2034, 0.5067]</w:t>
            </w:r>
          </w:p>
        </w:tc>
      </w:tr>
      <w:tr>
        <w:trPr>
          <w:cantSplit/>
        </w:trPr>
        <w:tc>
          <w:tcPr>
            <w:tcW w:type="dxa" w:w="2016"/>
            <w:vAlign w:val="center"/>
            <w:tcW w:w="1728" w:type="dxa"/>
            <w:tcMar>
              <w:top w:w="70" w:type="dxa"/>
              <w:bottom w:w="70" w:type="dxa"/>
              <w:left w:w="70" w:type="dxa"/>
              <w:right w:w="70" w:type="dxa"/>
            </w:tcMar>
            <w:shd w:fill="FFFFFF"/>
          </w:tcPr>
          <w:p>
            <w:pPr>
              <w:spacing w:before="20" w:after="20"/>
              <w:jc w:val="left"/>
            </w:pPr>
          </w:p>
        </w:tc>
        <w:tc>
          <w:tcPr>
            <w:tcW w:type="dxa" w:w="2016"/>
            <w:vAlign w:val="center"/>
            <w:tcW w:w="2592"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Variant D (CORN)</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41.0%</w:t>
            </w:r>
            <w:r>
              <w:rPr>
                <w:rFonts w:ascii="Times New Roman" w:hAnsi="Times New Roman"/>
                <w:b w:val="0"/>
                <w:i w:val="0"/>
                <w:color w:val="1E1E1E"/>
                <w:sz w:val="16"/>
              </w:rPr>
              <w:t xml:space="preserve"> [26.2%, 55.1%]</w:t>
            </w:r>
          </w:p>
        </w:tc>
        <w:tc>
          <w:tcPr>
            <w:tcW w:type="dxa" w:w="2016"/>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52.8%</w:t>
            </w:r>
            <w:r>
              <w:rPr>
                <w:rFonts w:ascii="Times New Roman" w:hAnsi="Times New Roman"/>
                <w:b w:val="0"/>
                <w:i w:val="0"/>
                <w:color w:val="1E1E1E"/>
                <w:sz w:val="16"/>
              </w:rPr>
              <w:t xml:space="preserve"> [36.8%, 69.4%]</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0.4584</w:t>
            </w:r>
            <w:r>
              <w:rPr>
                <w:rFonts w:ascii="Times New Roman" w:hAnsi="Times New Roman"/>
                <w:b w:val="0"/>
                <w:i w:val="0"/>
                <w:color w:val="1E1E1E"/>
                <w:sz w:val="16"/>
              </w:rPr>
              <w:t xml:space="preserve"> [0.3124, 0.5909]</w:t>
            </w:r>
          </w:p>
        </w:tc>
      </w:tr>
    </w:tbl>
    <w:p>
      <w:pPr>
        <w:spacing w:before="40" w:after="120"/>
      </w:pPr>
    </w:p>
    <w:p>
      <w:pPr>
        <w:keepNext/>
        <w:spacing w:before="200" w:after="60"/>
      </w:pPr>
      <w:r>
        <w:rPr>
          <w:rFonts w:ascii="Times New Roman" w:hAnsi="Times New Roman"/>
          <w:b/>
          <w:i/>
          <w:color w:val="283246"/>
          <w:sz w:val="21"/>
        </w:rPr>
        <w:t>7.2 Confusion Matrix and Error Distribution Analysis</w:t>
      </w:r>
    </w:p>
    <w:p>
      <w:pPr>
        <w:spacing w:before="0" w:after="90" w:line="276" w:lineRule="auto"/>
        <w:jc w:val="both"/>
      </w:pPr>
      <w:r>
        <w:rPr>
          <w:rFonts w:ascii="Times New Roman" w:hAnsi="Times New Roman"/>
          <w:b w:val="0"/>
          <w:i w:val="0"/>
          <w:color w:val="1E1E1E"/>
          <w:sz w:val="20"/>
        </w:rPr>
        <w:t>Fig. 4 shows the side-by-side confusion matrices for all four models, and Fig. 5 illustrates the prediction error distance histograms (</w:t>
      </w:r>
      <m:oMath>
        <m:d>
          <m:dPr>
            <m:begChr m:val="|"/>
            <m:sepChr m:val="−"/>
            <m:endChr m:val="|"/>
          </m:dPr>
          <m:e>
            <m:r>
              <m:t>y</m:t>
            </m:r>
          </m:e>
          <m:e>
            <m:acc>
              <m:accPr>
                <m:chr m:val="̂"/>
              </m:accPr>
              <m:e>
                <m:r>
                  <m:t>y</m:t>
                </m:r>
              </m:e>
            </m:acc>
          </m:e>
        </m:d>
      </m:oMath>
      <w:r>
        <w:rPr>
          <w:rFonts w:ascii="Times New Roman" w:hAnsi="Times New Roman"/>
          <w:b w:val="0"/>
          <w:i w:val="0"/>
          <w:color w:val="1E1E1E"/>
          <w:sz w:val="20"/>
        </w:rPr>
        <w:t>).</w:t>
      </w:r>
    </w:p>
    <w:p>
      <w:pPr>
        <w:spacing w:before="160" w:after="60"/>
        <w:jc w:val="center"/>
      </w:pPr>
      <w:r>
        <w:drawing>
          <wp:inline xmlns:a="http://schemas.openxmlformats.org/drawingml/2006/main" xmlns:pic="http://schemas.openxmlformats.org/drawingml/2006/picture">
            <wp:extent cx="4937760" cy="1167107"/>
            <wp:docPr id="4" name="Picture 4"/>
            <wp:cNvGraphicFramePr>
              <a:graphicFrameLocks noChangeAspect="1"/>
            </wp:cNvGraphicFramePr>
            <a:graphic>
              <a:graphicData uri="http://schemas.openxmlformats.org/drawingml/2006/picture">
                <pic:pic>
                  <pic:nvPicPr>
                    <pic:cNvPr id="0" name="all_confusion_matrices.png"/>
                    <pic:cNvPicPr/>
                  </pic:nvPicPr>
                  <pic:blipFill>
                    <a:blip r:embed="rId12"/>
                    <a:stretch>
                      <a:fillRect/>
                    </a:stretch>
                  </pic:blipFill>
                  <pic:spPr>
                    <a:xfrm>
                      <a:off x="0" y="0"/>
                      <a:ext cx="4937760" cy="1167107"/>
                    </a:xfrm>
                    <a:prstGeom prst="rect"/>
                  </pic:spPr>
                </pic:pic>
              </a:graphicData>
            </a:graphic>
          </wp:inline>
        </w:drawing>
      </w:r>
    </w:p>
    <w:p>
      <w:pPr>
        <w:spacing w:before="0" w:after="200"/>
        <w:jc w:val="center"/>
      </w:pPr>
      <w:r>
        <w:rPr>
          <w:rFonts w:ascii="Times New Roman" w:hAnsi="Times New Roman"/>
          <w:b w:val="0"/>
          <w:i/>
          <w:color w:val="3C3C3C"/>
          <w:sz w:val="18"/>
        </w:rPr>
        <w:t>Fig. 4. Side-by-Side Confusion Matrices on the Holdout Test Set (N = 550) for Variant A (Softmax Baseline), Variant B (CORAL Ordinal), Variant C (Continuous Regression), and Variant D (CORN).</w:t>
      </w:r>
    </w:p>
    <w:p>
      <w:pPr>
        <w:spacing w:before="160" w:after="60"/>
        <w:jc w:val="center"/>
      </w:pPr>
      <w:r>
        <w:drawing>
          <wp:inline xmlns:a="http://schemas.openxmlformats.org/drawingml/2006/main" xmlns:pic="http://schemas.openxmlformats.org/drawingml/2006/picture">
            <wp:extent cx="4389120" cy="2414016"/>
            <wp:docPr id="5" name="Picture 5"/>
            <wp:cNvGraphicFramePr>
              <a:graphicFrameLocks noChangeAspect="1"/>
            </wp:cNvGraphicFramePr>
            <a:graphic>
              <a:graphicData uri="http://schemas.openxmlformats.org/drawingml/2006/picture">
                <pic:pic>
                  <pic:nvPicPr>
                    <pic:cNvPr id="0" name="error_distance_histogram.png"/>
                    <pic:cNvPicPr/>
                  </pic:nvPicPr>
                  <pic:blipFill>
                    <a:blip r:embed="rId13"/>
                    <a:stretch>
                      <a:fillRect/>
                    </a:stretch>
                  </pic:blipFill>
                  <pic:spPr>
                    <a:xfrm>
                      <a:off x="0" y="0"/>
                      <a:ext cx="4389120" cy="2414016"/>
                    </a:xfrm>
                    <a:prstGeom prst="rect"/>
                  </pic:spPr>
                </pic:pic>
              </a:graphicData>
            </a:graphic>
          </wp:inline>
        </w:drawing>
      </w:r>
    </w:p>
    <w:p>
      <w:pPr>
        <w:spacing w:before="0" w:after="200"/>
        <w:jc w:val="center"/>
      </w:pPr>
      <w:r>
        <w:rPr>
          <w:rFonts w:ascii="Times New Roman" w:hAnsi="Times New Roman"/>
          <w:b w:val="0"/>
          <w:i/>
          <w:color w:val="3C3C3C"/>
          <w:sz w:val="18"/>
        </w:rPr>
        <w:t>Fig. 5. Prediction Error Distance Distribution (</w:t>
      </w:r>
      <m:oMath>
        <m:r>
          <m:t>|y−</m:t>
        </m:r>
        <m:acc>
          <m:accPr>
            <m:chr m:val="̂"/>
          </m:accPr>
          <m:e>
            <m:r>
              <m:t>y</m:t>
            </m:r>
          </m:e>
        </m:acc>
        <m:r>
          <m:t>|∈{0,1,2,3,4}</m:t>
        </m:r>
      </m:oMath>
      <w:r>
        <w:rPr>
          <w:rFonts w:ascii="Times New Roman" w:hAnsi="Times New Roman"/>
          <w:b w:val="0"/>
          <w:i/>
          <w:color w:val="3C3C3C"/>
          <w:sz w:val="18"/>
        </w:rPr>
        <w:t>) across the 550 Holdout Test Images comparing All Four Model Variants.</w:t>
      </w:r>
    </w:p>
    <w:p>
      <w:pPr>
        <w:spacing w:before="0" w:after="90" w:line="276" w:lineRule="auto"/>
        <w:jc w:val="both"/>
      </w:pPr>
      <w:r>
        <w:rPr>
          <w:rFonts w:ascii="Times New Roman" w:hAnsi="Times New Roman"/>
          <w:b w:val="0"/>
          <w:i w:val="0"/>
          <w:color w:val="1E1E1E"/>
          <w:sz w:val="20"/>
        </w:rPr>
        <w:t>Key observations from the confusion matrices and histograms: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The CORAL Breakdown (Second Panel):</w:t>
      </w:r>
      <w:r>
        <w:rPr>
          <w:rFonts w:ascii="Times New Roman" w:hAnsi="Times New Roman"/>
          <w:b w:val="0"/>
          <w:i w:val="0"/>
          <w:color w:val="1E1E1E"/>
          <w:sz w:val="20"/>
        </w:rPr>
        <w:t xml:space="preserve"> Grade 1, 2, and 3 predictions are severely pulled down into Grade 0. Fully 26.4% of patients suffered catastrophic multi-grade misclassifications (</w:t>
      </w:r>
      <m:oMath>
        <m:r>
          <m:t>d≥2</m:t>
        </m:r>
      </m:oMath>
      <w:r>
        <w:rPr>
          <w:rFonts w:ascii="Times New Roman" w:hAnsi="Times New Roman"/>
          <w:b w:val="0"/>
          <w:i w:val="0"/>
          <w:color w:val="1E1E1E"/>
          <w:sz w:val="20"/>
        </w:rPr>
        <w:t>), and Grade 3 sensitivity collapsed entirely to 0.0%.</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The CORN Breakthrough (Fourth Panel):</w:t>
      </w:r>
      <w:r>
        <w:rPr>
          <w:rFonts w:ascii="Times New Roman" w:hAnsi="Times New Roman"/>
          <w:b w:val="0"/>
          <w:i w:val="0"/>
          <w:color w:val="1E1E1E"/>
          <w:sz w:val="20"/>
        </w:rPr>
        <w:t xml:space="preserve"> Conditioning probabilities and weighting samples restored high diagonal density. Severe NPDR recall surged to </w:t>
      </w:r>
      <w:r>
        <w:rPr>
          <w:rFonts w:ascii="Times New Roman" w:hAnsi="Times New Roman"/>
          <w:b/>
          <w:i w:val="0"/>
          <w:color w:val="1E1E1E"/>
          <w:sz w:val="20"/>
        </w:rPr>
        <w:t>65.7%</w:t>
      </w:r>
      <w:r>
        <w:rPr>
          <w:rFonts w:ascii="Times New Roman" w:hAnsi="Times New Roman"/>
          <w:b w:val="0"/>
          <w:i w:val="0"/>
          <w:color w:val="1E1E1E"/>
          <w:sz w:val="20"/>
        </w:rPr>
        <w:t xml:space="preserve">, and catastrophic multi-grade errors dropped to just </w:t>
      </w:r>
      <w:r>
        <w:rPr>
          <w:rFonts w:ascii="Times New Roman" w:hAnsi="Times New Roman"/>
          <w:b/>
          <w:i w:val="0"/>
          <w:color w:val="1E1E1E"/>
          <w:sz w:val="20"/>
        </w:rPr>
        <w:t>5.1%</w:t>
      </w:r>
      <w:r>
        <w:rPr>
          <w:rFonts w:ascii="Times New Roman" w:hAnsi="Times New Roman"/>
          <w:b w:val="0"/>
          <w:i w:val="0"/>
          <w:color w:val="1E1E1E"/>
          <w:sz w:val="20"/>
        </w:rPr>
        <w:t xml:space="preserve">. A total of </w:t>
      </w:r>
      <w:r>
        <w:rPr>
          <w:rFonts w:ascii="Times New Roman" w:hAnsi="Times New Roman"/>
          <w:b/>
          <w:i w:val="0"/>
          <w:color w:val="1E1E1E"/>
          <w:sz w:val="20"/>
        </w:rPr>
        <w:t>94.9%</w:t>
      </w:r>
      <w:r>
        <w:rPr>
          <w:rFonts w:ascii="Times New Roman" w:hAnsi="Times New Roman"/>
          <w:b w:val="0"/>
          <w:i w:val="0"/>
          <w:color w:val="1E1E1E"/>
          <w:sz w:val="20"/>
        </w:rPr>
        <w:t xml:space="preserve"> of all predictions landed within </w:t>
      </w:r>
      <m:oMath>
        <m:r>
          <m:t>±1</m:t>
        </m:r>
      </m:oMath>
      <w:r>
        <w:rPr>
          <w:rFonts w:ascii="Times New Roman" w:hAnsi="Times New Roman"/>
          <w:b w:val="0"/>
          <w:i w:val="0"/>
          <w:color w:val="1E1E1E"/>
          <w:sz w:val="20"/>
        </w:rPr>
        <w:t xml:space="preserve"> grade of true diagnosis.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Continuous Regression (Third Panel):</w:t>
      </w:r>
      <w:r>
        <w:rPr>
          <w:rFonts w:ascii="Times New Roman" w:hAnsi="Times New Roman"/>
          <w:b w:val="0"/>
          <w:i w:val="0"/>
          <w:color w:val="1E1E1E"/>
          <w:sz w:val="20"/>
        </w:rPr>
        <w:t xml:space="preserve"> Yielded the tightest error distribution, with </w:t>
      </w:r>
      <w:r>
        <w:rPr>
          <w:rFonts w:ascii="Times New Roman" w:hAnsi="Times New Roman"/>
          <w:b/>
          <w:i w:val="0"/>
          <w:color w:val="1E1E1E"/>
          <w:sz w:val="20"/>
        </w:rPr>
        <w:t>96.1%</w:t>
      </w:r>
      <w:r>
        <w:rPr>
          <w:rFonts w:ascii="Times New Roman" w:hAnsi="Times New Roman"/>
          <w:b w:val="0"/>
          <w:i w:val="0"/>
          <w:color w:val="1E1E1E"/>
          <w:sz w:val="20"/>
        </w:rPr>
        <w:t xml:space="preserve"> of predictions within </w:t>
      </w:r>
      <m:oMath>
        <m:r>
          <m:t>±1</m:t>
        </m:r>
      </m:oMath>
      <w:r>
        <w:rPr>
          <w:rFonts w:ascii="Times New Roman" w:hAnsi="Times New Roman"/>
          <w:b w:val="0"/>
          <w:i w:val="0"/>
          <w:color w:val="1E1E1E"/>
          <w:sz w:val="20"/>
        </w:rPr>
        <w:t xml:space="preserve"> grade and the lowest catastrophic error rate of </w:t>
      </w:r>
      <w:r>
        <w:rPr>
          <w:rFonts w:ascii="Times New Roman" w:hAnsi="Times New Roman"/>
          <w:b/>
          <w:i w:val="0"/>
          <w:color w:val="1E1E1E"/>
          <w:sz w:val="20"/>
        </w:rPr>
        <w:t>3.8%</w:t>
      </w:r>
      <w:r>
        <w:rPr>
          <w:rFonts w:ascii="Times New Roman" w:hAnsi="Times New Roman"/>
          <w:b w:val="0"/>
          <w:i w:val="0"/>
          <w:color w:val="1E1E1E"/>
          <w:sz w:val="20"/>
        </w:rPr>
        <w:t>.</w:t>
      </w:r>
    </w:p>
    <w:p>
      <w:pPr>
        <w:keepNext/>
        <w:spacing w:before="200" w:after="60"/>
      </w:pPr>
      <w:r>
        <w:rPr>
          <w:rFonts w:ascii="Times New Roman" w:hAnsi="Times New Roman"/>
          <w:b/>
          <w:i/>
          <w:color w:val="283246"/>
          <w:sz w:val="21"/>
        </w:rPr>
        <w:t>7.3 Statistical Significance Testing</w:t>
      </w:r>
    </w:p>
    <w:p>
      <w:pPr>
        <w:spacing w:before="0" w:after="90" w:line="276" w:lineRule="auto"/>
        <w:jc w:val="both"/>
      </w:pPr>
      <w:r>
        <w:rPr>
          <w:rFonts w:ascii="Times New Roman" w:hAnsi="Times New Roman"/>
          <w:b w:val="0"/>
          <w:i w:val="0"/>
          <w:color w:val="1E1E1E"/>
          <w:sz w:val="20"/>
        </w:rPr>
        <w:t>Paired bootstrap tests (1,000 iterations) and Wilcoxon signed-rank tests confirmed:</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Variant D (CORN) vs. Variant B (CORAL):</w:t>
      </w:r>
      <w:r>
        <w:rPr>
          <w:rFonts w:ascii="Times New Roman" w:hAnsi="Times New Roman"/>
          <w:b w:val="0"/>
          <w:i w:val="0"/>
          <w:color w:val="1E1E1E"/>
          <w:sz w:val="20"/>
        </w:rPr>
        <w:t xml:space="preserve"> </w:t>
      </w:r>
      <m:oMath>
        <m:r>
          <m:t>ΔQWK=+0.1212</m:t>
        </m:r>
      </m:oMath>
      <w:r>
        <w:rPr>
          <w:rFonts w:ascii="Times New Roman" w:hAnsi="Times New Roman"/>
          <w:b w:val="0"/>
          <w:i w:val="0"/>
          <w:color w:val="1E1E1E"/>
          <w:sz w:val="20"/>
        </w:rPr>
        <w:t xml:space="preserve"> (95% CI: </w:t>
      </w:r>
      <m:oMath>
        <m:d>
          <m:dPr>
            <m:begChr m:val="["/>
            <m:sepChr m:val=""/>
            <m:endChr m:val="]"/>
          </m:dPr>
          <m:e>
            <m:r>
              <m:t>+</m:t>
            </m:r>
            <m:r>
              <m:t>0.0924</m:t>
            </m:r>
            <m:r>
              <m:t>,</m:t>
            </m:r>
            <m:r>
              <m:t>+</m:t>
            </m:r>
            <m:r>
              <m:t>0.1504</m:t>
            </m:r>
          </m:e>
        </m:d>
      </m:oMath>
      <w:r>
        <w:rPr>
          <w:rFonts w:ascii="Times New Roman" w:hAnsi="Times New Roman"/>
          <w:b w:val="0"/>
          <w:i w:val="0"/>
          <w:color w:val="1E1E1E"/>
          <w:sz w:val="20"/>
        </w:rPr>
        <w:t xml:space="preserve">, </w:t>
      </w:r>
      <m:oMath>
        <m:r>
          <m:t>p&lt;0.001</m:t>
        </m:r>
      </m:oMath>
      <w:r>
        <w:rPr>
          <w:rFonts w:ascii="Times New Roman" w:hAnsi="Times New Roman"/>
          <w:b w:val="0"/>
          <w:i w:val="0"/>
          <w:color w:val="1E1E1E"/>
          <w:sz w:val="20"/>
        </w:rPr>
        <w:t xml:space="preserve">). The Wilcoxon signed-rank test on error distances yielded </w:t>
      </w:r>
      <m:oMath>
        <m:r>
          <m:t>W=4180.0,p=9.35×</m:t>
        </m:r>
        <m:sSup>
          <m:e>
            <m:r>
              <m:t>10</m:t>
            </m:r>
          </m:e>
          <m:sup>
            <m:r>
              <m:t>−21</m:t>
            </m:r>
          </m:sup>
        </m:sSup>
      </m:oMath>
      <w:r>
        <w:rPr>
          <w:rFonts w:ascii="Times New Roman" w:hAnsi="Times New Roman"/>
          <w:b w:val="0"/>
          <w:i w:val="0"/>
          <w:color w:val="1E1E1E"/>
          <w:sz w:val="20"/>
        </w:rPr>
        <w:t>. The improvement of Variant D (CORN) over CORAL is statistically decisive.</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Variant C (Continuous Regression) vs. Softmax Baseline:</w:t>
      </w:r>
      <w:r>
        <w:rPr>
          <w:rFonts w:ascii="Times New Roman" w:hAnsi="Times New Roman"/>
          <w:b w:val="0"/>
          <w:i w:val="0"/>
          <w:color w:val="1E1E1E"/>
          <w:sz w:val="20"/>
        </w:rPr>
        <w:t xml:space="preserve"> </w:t>
      </w:r>
      <m:oMath>
        <m:r>
          <m:t>ΔQWK=+0.0062</m:t>
        </m:r>
      </m:oMath>
      <w:r>
        <w:rPr>
          <w:rFonts w:ascii="Times New Roman" w:hAnsi="Times New Roman"/>
          <w:b w:val="0"/>
          <w:i w:val="0"/>
          <w:color w:val="1E1E1E"/>
          <w:sz w:val="20"/>
        </w:rPr>
        <w:t xml:space="preserve"> (95% CI: </w:t>
      </w:r>
      <m:oMath>
        <m:d>
          <m:dPr>
            <m:begChr m:val="["/>
            <m:sepChr m:val=""/>
            <m:endChr m:val="]"/>
          </m:dPr>
          <m:e>
            <m:r>
              <m:t>−</m:t>
            </m:r>
            <m:r>
              <m:t>0.0142</m:t>
            </m:r>
            <m:r>
              <m:t>,</m:t>
            </m:r>
            <m:r>
              <m:t>+</m:t>
            </m:r>
            <m:r>
              <m:t>0.0265</m:t>
            </m:r>
          </m:e>
        </m:d>
      </m:oMath>
      <w:r>
        <w:rPr>
          <w:rFonts w:ascii="Times New Roman" w:hAnsi="Times New Roman"/>
          <w:b w:val="0"/>
          <w:i w:val="0"/>
          <w:color w:val="1E1E1E"/>
          <w:sz w:val="20"/>
        </w:rPr>
        <w:t xml:space="preserve">, </w:t>
      </w:r>
      <m:oMath>
        <m:r>
          <m:t>p=0.264</m:t>
        </m:r>
      </m:oMath>
      <w:r>
        <w:rPr>
          <w:rFonts w:ascii="Times New Roman" w:hAnsi="Times New Roman"/>
          <w:b w:val="0"/>
          <w:i w:val="0"/>
          <w:color w:val="1E1E1E"/>
          <w:sz w:val="20"/>
        </w:rPr>
        <w:t>), while reducing catastrophic errors from 5.6% to 3.8%.</w:t>
      </w:r>
    </w:p>
    <w:p>
      <w:pPr>
        <w:keepNext/>
        <w:spacing w:before="200" w:after="60"/>
      </w:pPr>
      <w:r>
        <w:rPr>
          <w:rFonts w:ascii="Times New Roman" w:hAnsi="Times New Roman"/>
          <w:b/>
          <w:i/>
          <w:color w:val="283246"/>
          <w:sz w:val="21"/>
        </w:rPr>
        <w:t>7.4 Accuracy Enhancement: Label Smoothing, Ensembling, and Logit Adjustment</w:t>
      </w:r>
    </w:p>
    <w:p>
      <w:pPr>
        <w:spacing w:before="0" w:after="90" w:line="276" w:lineRule="auto"/>
        <w:jc w:val="both"/>
      </w:pPr>
      <w:r>
        <w:rPr>
          <w:rFonts w:ascii="Times New Roman" w:hAnsi="Times New Roman"/>
          <w:b w:val="0"/>
          <w:i w:val="0"/>
          <w:color w:val="1E1E1E"/>
          <w:sz w:val="20"/>
        </w:rPr>
        <w:t>Table 4 presents the results of our accuracy optimization experiments, and Table 5 provides the temperature sweep for post-hoc logit adjustment.</w:t>
      </w:r>
    </w:p>
    <w:p>
      <w:pPr>
        <w:keepNext/>
        <w:spacing w:before="160" w:after="40"/>
        <w:jc w:val="center"/>
      </w:pPr>
      <w:r>
        <w:rPr>
          <w:rFonts w:ascii="Times New Roman" w:hAnsi="Times New Roman"/>
          <w:b/>
          <w:i w:val="0"/>
          <w:color w:val="142850"/>
          <w:sz w:val="19"/>
        </w:rPr>
        <w:t>TABLE 4: Classification Accuracy Optimization Comparison on Holdout Test Set (N = 550)</w:t>
      </w:r>
    </w:p>
    <w:tbl>
      <w:tblPr>
        <w:tblW w:type="auto" w:w="0"/>
        <w:jc w:val="center"/>
        <w:tblLook w:firstColumn="1" w:firstRow="1" w:lastColumn="0" w:lastRow="0" w:noHBand="0" w:noVBand="1" w:val="04A0"/>
        <w:tblBorders>
          <w:top w:val="single" w:sz="8" w:space="0" w:color="2B5C8F"/>
          <w:bottom w:val="single" w:sz="8" w:space="0" w:color="333333"/>
          <w:insideH w:val="single" w:sz="4" w:space="0" w:color="E0E0E0"/>
          <w:insideV w:val="none"/>
          <w:left w:val="none"/>
          <w:right w:val="none"/>
        </w:tblBorders>
      </w:tblPr>
      <w:tblGrid>
        <w:gridCol w:w="1440"/>
        <w:gridCol w:w="1440"/>
        <w:gridCol w:w="1440"/>
        <w:gridCol w:w="1440"/>
        <w:gridCol w:w="1440"/>
        <w:gridCol w:w="1440"/>
        <w:gridCol w:w="1440"/>
      </w:tblGrid>
      <w:tr>
        <w:trPr>
          <w:cantSplit/>
          <w:tblHeader/>
        </w:trPr>
        <w:tc>
          <w:tcPr>
            <w:tcW w:type="dxa" w:w="1440"/>
            <w:vAlign w:val="center"/>
            <w:tcW w:w="2448"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Model Configuration</w:t>
            </w:r>
          </w:p>
        </w:tc>
        <w:tc>
          <w:tcPr>
            <w:tcW w:type="dxa" w:w="1440"/>
            <w:vAlign w:val="center"/>
            <w:tcW w:w="1296"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Accuracy [95% CI]</w:t>
            </w:r>
          </w:p>
        </w:tc>
        <w:tc>
          <w:tcPr>
            <w:tcW w:type="dxa" w:w="1440"/>
            <w:vAlign w:val="center"/>
            <w:tcW w:w="1224"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QWK [95% CI]</w:t>
            </w:r>
          </w:p>
        </w:tc>
        <w:tc>
          <w:tcPr>
            <w:tcW w:type="dxa" w:w="1440"/>
            <w:vAlign w:val="center"/>
            <w:tcW w:w="1152"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MAE [95% CI]</w:t>
            </w:r>
          </w:p>
        </w:tc>
        <w:tc>
          <w:tcPr>
            <w:tcW w:type="dxa" w:w="1440"/>
            <w:vAlign w:val="center"/>
            <w:tcW w:w="1296"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Catastrophic Err (</w:t>
            </w:r>
            <m:oMath>
              <m:r>
                <m:t>d≥2</m:t>
              </m:r>
            </m:oMath>
            <w:r>
              <w:rPr>
                <w:rFonts w:ascii="Times New Roman" w:hAnsi="Times New Roman"/>
                <w:b/>
                <w:i w:val="0"/>
                <w:color w:val="FFFFFF"/>
                <w:sz w:val="15"/>
              </w:rPr>
              <w:t>) [95% CI]</w:t>
            </w:r>
          </w:p>
        </w:tc>
        <w:tc>
          <w:tcPr>
            <w:tcW w:type="dxa" w:w="1440"/>
            <w:vAlign w:val="center"/>
            <w:tcW w:w="1296"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Grade 3 Severe F1 [95% CI]</w:t>
            </w:r>
          </w:p>
        </w:tc>
        <w:tc>
          <w:tcPr>
            <w:tcW w:type="dxa" w:w="1440"/>
            <w:vAlign w:val="center"/>
            <w:tcW w:w="1368"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Grade 4 PDR F1 [95% CI]</w:t>
            </w:r>
          </w:p>
        </w:tc>
      </w:tr>
      <w:tr>
        <w:trPr>
          <w:cantSplit/>
        </w:trPr>
        <w:tc>
          <w:tcPr>
            <w:tcW w:type="dxa" w:w="1440"/>
            <w:vAlign w:val="center"/>
            <w:tcW w:w="2448" w:type="dxa"/>
            <w:tcMar>
              <w:top w:w="60" w:type="dxa"/>
              <w:bottom w:w="60" w:type="dxa"/>
              <w:left w:w="60" w:type="dxa"/>
              <w:right w:w="60" w:type="dxa"/>
            </w:tcMar>
            <w:shd w:fill="F7F9FC"/>
          </w:tcPr>
          <w:p>
            <w:pPr>
              <w:spacing w:before="20" w:after="20"/>
              <w:jc w:val="left"/>
            </w:pPr>
            <w:r>
              <w:rPr>
                <w:rFonts w:ascii="Times New Roman" w:hAnsi="Times New Roman"/>
                <w:b/>
                <w:i w:val="0"/>
                <w:color w:val="1E1E1E"/>
                <w:sz w:val="15"/>
              </w:rPr>
              <w:t>Original Variant A (Baseline Softmax)</w:t>
            </w:r>
          </w:p>
        </w:tc>
        <w:tc>
          <w:tcPr>
            <w:tcW w:type="dxa" w:w="1440"/>
            <w:vAlign w:val="center"/>
            <w:tcW w:w="129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80.18% [76.73%, 83.45%]</w:t>
            </w:r>
          </w:p>
        </w:tc>
        <w:tc>
          <w:tcPr>
            <w:tcW w:type="dxa" w:w="1440"/>
            <w:vAlign w:val="center"/>
            <w:tcW w:w="1224"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0.8724 [0.8385, 0.9044]</w:t>
            </w:r>
          </w:p>
        </w:tc>
        <w:tc>
          <w:tcPr>
            <w:tcW w:type="dxa" w:w="1440"/>
            <w:vAlign w:val="center"/>
            <w:tcW w:w="1152"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0.2673 [0.2182, 0.3200]</w:t>
            </w:r>
          </w:p>
        </w:tc>
        <w:tc>
          <w:tcPr>
            <w:tcW w:type="dxa" w:w="1440"/>
            <w:vAlign w:val="center"/>
            <w:tcW w:w="129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5.64% [3.64%, 7.64%]</w:t>
            </w:r>
          </w:p>
        </w:tc>
        <w:tc>
          <w:tcPr>
            <w:tcW w:type="dxa" w:w="1440"/>
            <w:vAlign w:val="center"/>
            <w:tcW w:w="129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0.3810 [0.2221, 0.5313]</w:t>
            </w:r>
          </w:p>
        </w:tc>
        <w:tc>
          <w:tcPr>
            <w:tcW w:type="dxa" w:w="1440"/>
            <w:vAlign w:val="center"/>
            <w:tcW w:w="1368"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0.5169 [0.3830, 0.6377]</w:t>
            </w:r>
          </w:p>
        </w:tc>
      </w:tr>
      <w:tr>
        <w:trPr>
          <w:cantSplit/>
        </w:trPr>
        <w:tc>
          <w:tcPr>
            <w:tcW w:type="dxa" w:w="1440"/>
            <w:vAlign w:val="center"/>
            <w:tcW w:w="2448" w:type="dxa"/>
            <w:tcMar>
              <w:top w:w="60" w:type="dxa"/>
              <w:bottom w:w="60" w:type="dxa"/>
              <w:left w:w="60" w:type="dxa"/>
              <w:right w:w="60" w:type="dxa"/>
            </w:tcMar>
            <w:shd w:fill="FFFFFF"/>
          </w:tcPr>
          <w:p>
            <w:pPr>
              <w:spacing w:before="20" w:after="20"/>
              <w:jc w:val="left"/>
            </w:pPr>
            <w:r>
              <w:rPr>
                <w:rFonts w:ascii="Times New Roman" w:hAnsi="Times New Roman"/>
                <w:b/>
                <w:i w:val="0"/>
                <w:color w:val="1E1E1E"/>
                <w:sz w:val="15"/>
              </w:rPr>
              <w:t>Variant A (Single Seed 42 + Label Smooth 0.08)</w:t>
            </w:r>
          </w:p>
        </w:tc>
        <w:tc>
          <w:tcPr>
            <w:tcW w:type="dxa" w:w="1440"/>
            <w:vAlign w:val="center"/>
            <w:tcW w:w="1296"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82.00% [78.73%, 85.10%]</w:t>
            </w:r>
          </w:p>
        </w:tc>
        <w:tc>
          <w:tcPr>
            <w:tcW w:type="dxa" w:w="1440"/>
            <w:vAlign w:val="center"/>
            <w:tcW w:w="1224"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0.8709 [0.8330, 0.9039]</w:t>
            </w:r>
          </w:p>
        </w:tc>
        <w:tc>
          <w:tcPr>
            <w:tcW w:type="dxa" w:w="1440"/>
            <w:vAlign w:val="center"/>
            <w:tcW w:w="1152"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0.2473 [0.1982, 0.3000]</w:t>
            </w:r>
          </w:p>
        </w:tc>
        <w:tc>
          <w:tcPr>
            <w:tcW w:type="dxa" w:w="1440"/>
            <w:vAlign w:val="center"/>
            <w:tcW w:w="1296"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5.27% [3.45%, 7.27%]</w:t>
            </w:r>
          </w:p>
        </w:tc>
        <w:tc>
          <w:tcPr>
            <w:tcW w:type="dxa" w:w="1440"/>
            <w:vAlign w:val="center"/>
            <w:tcW w:w="1296"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0.4828 [0.3225, 0.6452]</w:t>
            </w:r>
          </w:p>
        </w:tc>
        <w:tc>
          <w:tcPr>
            <w:tcW w:type="dxa" w:w="1440"/>
            <w:vAlign w:val="center"/>
            <w:tcW w:w="1368"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0.5195 [0.3662, 0.6364]</w:t>
            </w:r>
          </w:p>
        </w:tc>
      </w:tr>
      <w:tr>
        <w:trPr>
          <w:cantSplit/>
        </w:trPr>
        <w:tc>
          <w:tcPr>
            <w:tcW w:type="dxa" w:w="1440"/>
            <w:vAlign w:val="center"/>
            <w:tcW w:w="2448" w:type="dxa"/>
            <w:tcMar>
              <w:top w:w="60" w:type="dxa"/>
              <w:bottom w:w="60" w:type="dxa"/>
              <w:left w:w="60" w:type="dxa"/>
              <w:right w:w="60" w:type="dxa"/>
            </w:tcMar>
            <w:shd w:fill="F7F9FC"/>
          </w:tcPr>
          <w:p>
            <w:pPr>
              <w:spacing w:before="20" w:after="20"/>
              <w:jc w:val="left"/>
            </w:pPr>
            <w:r>
              <w:rPr>
                <w:rFonts w:ascii="Times New Roman" w:hAnsi="Times New Roman"/>
                <w:b/>
                <w:i w:val="0"/>
                <w:color w:val="1E1E1E"/>
                <w:sz w:val="15"/>
              </w:rPr>
              <w:t xml:space="preserve">Variant A (Single Seed 42 + Logit Adj </w:t>
            </w:r>
            <m:oMath>
              <m:r>
                <m:t>τ=1.0</m:t>
              </m:r>
            </m:oMath>
            <w:r>
              <w:rPr>
                <w:rFonts w:ascii="Times New Roman" w:hAnsi="Times New Roman"/>
                <w:b/>
                <w:i w:val="0"/>
                <w:color w:val="1E1E1E"/>
                <w:sz w:val="15"/>
              </w:rPr>
              <w:t>)</w:t>
            </w:r>
          </w:p>
        </w:tc>
        <w:tc>
          <w:tcPr>
            <w:tcW w:type="dxa" w:w="1440"/>
            <w:vAlign w:val="center"/>
            <w:tcW w:w="129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80.00% [76.73%, 83.46%]</w:t>
            </w:r>
          </w:p>
        </w:tc>
        <w:tc>
          <w:tcPr>
            <w:tcW w:type="dxa" w:w="1440"/>
            <w:vAlign w:val="center"/>
            <w:tcW w:w="1224"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0.8682 [0.8303, 0.9010]</w:t>
            </w:r>
          </w:p>
        </w:tc>
        <w:tc>
          <w:tcPr>
            <w:tcW w:type="dxa" w:w="1440"/>
            <w:vAlign w:val="center"/>
            <w:tcW w:w="1152"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0.2673 [0.2145, 0.3200]</w:t>
            </w:r>
          </w:p>
        </w:tc>
        <w:tc>
          <w:tcPr>
            <w:tcW w:type="dxa" w:w="1440"/>
            <w:vAlign w:val="center"/>
            <w:tcW w:w="129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4.91% [3.27%, 6.73%]</w:t>
            </w:r>
          </w:p>
        </w:tc>
        <w:tc>
          <w:tcPr>
            <w:tcW w:type="dxa" w:w="1440"/>
            <w:vAlign w:val="center"/>
            <w:tcW w:w="129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0.4000 [0.2597, 0.5306]</w:t>
            </w:r>
          </w:p>
        </w:tc>
        <w:tc>
          <w:tcPr>
            <w:tcW w:type="dxa" w:w="1440"/>
            <w:vAlign w:val="center"/>
            <w:tcW w:w="1368"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0.5250 [0.3793, 0.6458]</w:t>
            </w:r>
          </w:p>
        </w:tc>
      </w:tr>
      <w:tr>
        <w:trPr>
          <w:cantSplit/>
        </w:trPr>
        <w:tc>
          <w:tcPr>
            <w:tcW w:type="dxa" w:w="1440"/>
            <w:vAlign w:val="center"/>
            <w:tcW w:w="2448" w:type="dxa"/>
            <w:tcMar>
              <w:top w:w="60" w:type="dxa"/>
              <w:bottom w:w="60" w:type="dxa"/>
              <w:left w:w="60" w:type="dxa"/>
              <w:right w:w="60" w:type="dxa"/>
            </w:tcMar>
            <w:shd w:fill="FFFFFF"/>
          </w:tcPr>
          <w:p>
            <w:pPr>
              <w:spacing w:before="20" w:after="20"/>
              <w:jc w:val="left"/>
            </w:pPr>
            <w:r>
              <w:rPr>
                <w:rFonts w:ascii="Times New Roman" w:hAnsi="Times New Roman"/>
                <w:b/>
                <w:i w:val="0"/>
                <w:color w:val="1E1E1E"/>
                <w:sz w:val="15"/>
              </w:rPr>
              <w:t>3-Seed Ensemble + TTA (</w:t>
            </w:r>
            <m:oMath>
              <m:r>
                <m:t>τ=0.0</m:t>
              </m:r>
            </m:oMath>
            <w:r>
              <w:rPr>
                <w:rFonts w:ascii="Times New Roman" w:hAnsi="Times New Roman"/>
                <w:b/>
                <w:i w:val="0"/>
                <w:color w:val="1E1E1E"/>
                <w:sz w:val="15"/>
              </w:rPr>
              <w:t>, Raw Acc Focus)</w:t>
            </w:r>
          </w:p>
        </w:tc>
        <w:tc>
          <w:tcPr>
            <w:tcW w:type="dxa" w:w="1440"/>
            <w:vAlign w:val="center"/>
            <w:tcW w:w="1296" w:type="dxa"/>
            <w:tcMar>
              <w:top w:w="60" w:type="dxa"/>
              <w:bottom w:w="60" w:type="dxa"/>
              <w:left w:w="60" w:type="dxa"/>
              <w:right w:w="60" w:type="dxa"/>
            </w:tcMar>
            <w:shd w:fill="FFFFFF"/>
          </w:tcPr>
          <w:p>
            <w:pPr>
              <w:spacing w:before="20" w:after="20"/>
              <w:jc w:val="center"/>
            </w:pPr>
            <w:r>
              <w:rPr>
                <w:rFonts w:ascii="Times New Roman" w:hAnsi="Times New Roman"/>
                <w:b/>
                <w:i w:val="0"/>
                <w:color w:val="1E1E1E"/>
                <w:sz w:val="15"/>
              </w:rPr>
              <w:t>83.82%</w:t>
            </w:r>
            <w:r>
              <w:rPr>
                <w:rFonts w:ascii="Times New Roman" w:hAnsi="Times New Roman"/>
                <w:b w:val="0"/>
                <w:i w:val="0"/>
                <w:color w:val="1E1E1E"/>
                <w:sz w:val="15"/>
              </w:rPr>
              <w:t xml:space="preserve"> [80.73%, 86.73%]</w:t>
            </w:r>
          </w:p>
        </w:tc>
        <w:tc>
          <w:tcPr>
            <w:tcW w:type="dxa" w:w="1440"/>
            <w:vAlign w:val="center"/>
            <w:tcW w:w="1224" w:type="dxa"/>
            <w:tcMar>
              <w:top w:w="60" w:type="dxa"/>
              <w:bottom w:w="60" w:type="dxa"/>
              <w:left w:w="60" w:type="dxa"/>
              <w:right w:w="60" w:type="dxa"/>
            </w:tcMar>
            <w:shd w:fill="FFFFFF"/>
          </w:tcPr>
          <w:p>
            <w:pPr>
              <w:spacing w:before="20" w:after="20"/>
              <w:jc w:val="center"/>
            </w:pPr>
            <w:r>
              <w:rPr>
                <w:rFonts w:ascii="Times New Roman" w:hAnsi="Times New Roman"/>
                <w:b/>
                <w:i w:val="0"/>
                <w:color w:val="1E1E1E"/>
                <w:sz w:val="15"/>
              </w:rPr>
              <w:t>0.8859</w:t>
            </w:r>
            <w:r>
              <w:rPr>
                <w:rFonts w:ascii="Times New Roman" w:hAnsi="Times New Roman"/>
                <w:b w:val="0"/>
                <w:i w:val="0"/>
                <w:color w:val="1E1E1E"/>
                <w:sz w:val="15"/>
              </w:rPr>
              <w:t xml:space="preserve"> [0.8503, 0.9170]</w:t>
            </w:r>
          </w:p>
        </w:tc>
        <w:tc>
          <w:tcPr>
            <w:tcW w:type="dxa" w:w="1440"/>
            <w:vAlign w:val="center"/>
            <w:tcW w:w="1152" w:type="dxa"/>
            <w:tcMar>
              <w:top w:w="60" w:type="dxa"/>
              <w:bottom w:w="60" w:type="dxa"/>
              <w:left w:w="60" w:type="dxa"/>
              <w:right w:w="60" w:type="dxa"/>
            </w:tcMar>
            <w:shd w:fill="FFFFFF"/>
          </w:tcPr>
          <w:p>
            <w:pPr>
              <w:spacing w:before="20" w:after="20"/>
              <w:jc w:val="center"/>
            </w:pPr>
            <w:r>
              <w:rPr>
                <w:rFonts w:ascii="Times New Roman" w:hAnsi="Times New Roman"/>
                <w:b/>
                <w:i w:val="0"/>
                <w:color w:val="1E1E1E"/>
                <w:sz w:val="15"/>
              </w:rPr>
              <w:t>0.2200</w:t>
            </w:r>
            <w:r>
              <w:rPr>
                <w:rFonts w:ascii="Times New Roman" w:hAnsi="Times New Roman"/>
                <w:b w:val="0"/>
                <w:i w:val="0"/>
                <w:color w:val="1E1E1E"/>
                <w:sz w:val="15"/>
              </w:rPr>
              <w:t xml:space="preserve"> [0.1727, 0.2691]</w:t>
            </w:r>
          </w:p>
        </w:tc>
        <w:tc>
          <w:tcPr>
            <w:tcW w:type="dxa" w:w="1440"/>
            <w:vAlign w:val="center"/>
            <w:tcW w:w="1296" w:type="dxa"/>
            <w:tcMar>
              <w:top w:w="60" w:type="dxa"/>
              <w:bottom w:w="60" w:type="dxa"/>
              <w:left w:w="60" w:type="dxa"/>
              <w:right w:w="60" w:type="dxa"/>
            </w:tcMar>
            <w:shd w:fill="FFFFFF"/>
          </w:tcPr>
          <w:p>
            <w:pPr>
              <w:spacing w:before="20" w:after="20"/>
              <w:jc w:val="center"/>
            </w:pPr>
            <w:r>
              <w:rPr>
                <w:rFonts w:ascii="Times New Roman" w:hAnsi="Times New Roman"/>
                <w:b/>
                <w:i w:val="0"/>
                <w:color w:val="1E1E1E"/>
                <w:sz w:val="15"/>
              </w:rPr>
              <w:t>4.36%</w:t>
            </w:r>
            <w:r>
              <w:rPr>
                <w:rFonts w:ascii="Times New Roman" w:hAnsi="Times New Roman"/>
                <w:b w:val="0"/>
                <w:i w:val="0"/>
                <w:color w:val="1E1E1E"/>
                <w:sz w:val="15"/>
              </w:rPr>
              <w:t xml:space="preserve"> [2.73%, 6.18%]</w:t>
            </w:r>
          </w:p>
        </w:tc>
        <w:tc>
          <w:tcPr>
            <w:tcW w:type="dxa" w:w="1440"/>
            <w:vAlign w:val="center"/>
            <w:tcW w:w="1296"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0.4561 [0.2999, 0.6134]</w:t>
            </w:r>
          </w:p>
        </w:tc>
        <w:tc>
          <w:tcPr>
            <w:tcW w:type="dxa" w:w="1440"/>
            <w:vAlign w:val="center"/>
            <w:tcW w:w="1368"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0.5570 [0.4179, 0.6739]</w:t>
            </w:r>
          </w:p>
        </w:tc>
      </w:tr>
      <w:tr>
        <w:trPr>
          <w:cantSplit/>
        </w:trPr>
        <w:tc>
          <w:tcPr>
            <w:tcW w:type="dxa" w:w="1440"/>
            <w:vAlign w:val="center"/>
            <w:tcW w:w="2448" w:type="dxa"/>
            <w:tcMar>
              <w:top w:w="60" w:type="dxa"/>
              <w:bottom w:w="60" w:type="dxa"/>
              <w:left w:w="60" w:type="dxa"/>
              <w:right w:w="60" w:type="dxa"/>
            </w:tcMar>
            <w:shd w:fill="F7F9FC"/>
          </w:tcPr>
          <w:p>
            <w:pPr>
              <w:spacing w:before="20" w:after="20"/>
              <w:jc w:val="left"/>
            </w:pPr>
            <w:r>
              <w:rPr>
                <w:rFonts w:ascii="Times New Roman" w:hAnsi="Times New Roman"/>
                <w:b/>
                <w:i w:val="0"/>
                <w:color w:val="1E1E1E"/>
                <w:sz w:val="15"/>
              </w:rPr>
              <w:t>3-Seed Ensemble + TTA (</w:t>
            </w:r>
            <m:oMath>
              <m:r>
                <m:t>τ=1.0</m:t>
              </m:r>
            </m:oMath>
            <w:r>
              <w:rPr>
                <w:rFonts w:ascii="Times New Roman" w:hAnsi="Times New Roman"/>
                <w:b/>
                <w:i w:val="0"/>
                <w:color w:val="1E1E1E"/>
                <w:sz w:val="15"/>
              </w:rPr>
              <w:t>, Logit Adj Focus)</w:t>
            </w:r>
          </w:p>
        </w:tc>
        <w:tc>
          <w:tcPr>
            <w:tcW w:type="dxa" w:w="1440"/>
            <w:vAlign w:val="center"/>
            <w:tcW w:w="129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79.27% [76.00%, 82.55%]</w:t>
            </w:r>
          </w:p>
        </w:tc>
        <w:tc>
          <w:tcPr>
            <w:tcW w:type="dxa" w:w="1440"/>
            <w:vAlign w:val="center"/>
            <w:tcW w:w="1224"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0.8787 [0.8451, 0.9091]</w:t>
            </w:r>
          </w:p>
        </w:tc>
        <w:tc>
          <w:tcPr>
            <w:tcW w:type="dxa" w:w="1440"/>
            <w:vAlign w:val="center"/>
            <w:tcW w:w="1152"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0.2691 [0.2200, 0.3164]</w:t>
            </w:r>
          </w:p>
        </w:tc>
        <w:tc>
          <w:tcPr>
            <w:tcW w:type="dxa" w:w="1440"/>
            <w:vAlign w:val="center"/>
            <w:tcW w:w="129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4.55% [2.73%, 6.36%]</w:t>
            </w:r>
          </w:p>
        </w:tc>
        <w:tc>
          <w:tcPr>
            <w:tcW w:type="dxa" w:w="1440"/>
            <w:vAlign w:val="center"/>
            <w:tcW w:w="129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0.3721 [0.2432, 0.5056]</w:t>
            </w:r>
          </w:p>
        </w:tc>
        <w:tc>
          <w:tcPr>
            <w:tcW w:type="dxa" w:w="1440"/>
            <w:vAlign w:val="center"/>
            <w:tcW w:w="1368" w:type="dxa"/>
            <w:tcMar>
              <w:top w:w="60" w:type="dxa"/>
              <w:bottom w:w="60" w:type="dxa"/>
              <w:left w:w="60" w:type="dxa"/>
              <w:right w:w="60" w:type="dxa"/>
            </w:tcMar>
            <w:shd w:fill="F7F9FC"/>
          </w:tcPr>
          <w:p>
            <w:pPr>
              <w:spacing w:before="20" w:after="20"/>
              <w:jc w:val="center"/>
            </w:pPr>
            <w:r>
              <w:rPr>
                <w:rFonts w:ascii="Times New Roman" w:hAnsi="Times New Roman"/>
                <w:b/>
                <w:i w:val="0"/>
                <w:color w:val="1E1E1E"/>
                <w:sz w:val="15"/>
              </w:rPr>
              <w:t>0.5778</w:t>
            </w:r>
            <w:r>
              <w:rPr>
                <w:rFonts w:ascii="Times New Roman" w:hAnsi="Times New Roman"/>
                <w:b w:val="0"/>
                <w:i w:val="0"/>
                <w:color w:val="1E1E1E"/>
                <w:sz w:val="15"/>
              </w:rPr>
              <w:t xml:space="preserve"> [0.4444, 0.6875]</w:t>
            </w:r>
          </w:p>
        </w:tc>
      </w:tr>
    </w:tbl>
    <w:p>
      <w:pPr>
        <w:spacing w:before="40" w:after="120"/>
      </w:pPr>
    </w:p>
    <w:p>
      <w:pPr>
        <w:keepNext/>
        <w:spacing w:before="160" w:after="40"/>
        <w:jc w:val="center"/>
      </w:pPr>
      <w:r>
        <w:rPr>
          <w:rFonts w:ascii="Times New Roman" w:hAnsi="Times New Roman"/>
          <w:b/>
          <w:i w:val="0"/>
          <w:color w:val="142850"/>
          <w:sz w:val="19"/>
        </w:rPr>
        <w:t>TABLE 5: Post-Hoc Logit Adjustment Temperature Sweep on 3-Seed Ensemble</w:t>
      </w:r>
    </w:p>
    <w:tbl>
      <w:tblPr>
        <w:tblW w:type="auto" w:w="0"/>
        <w:jc w:val="center"/>
        <w:tblLook w:firstColumn="1" w:firstRow="1" w:lastColumn="0" w:lastRow="0" w:noHBand="0" w:noVBand="1" w:val="04A0"/>
        <w:tblBorders>
          <w:top w:val="single" w:sz="8" w:space="0" w:color="2B5C8F"/>
          <w:bottom w:val="single" w:sz="8" w:space="0" w:color="333333"/>
          <w:insideH w:val="single" w:sz="4" w:space="0" w:color="E0E0E0"/>
          <w:insideV w:val="none"/>
          <w:left w:val="none"/>
          <w:right w:val="none"/>
        </w:tblBorders>
      </w:tblPr>
      <w:tblGrid>
        <w:gridCol w:w="1680"/>
        <w:gridCol w:w="1680"/>
        <w:gridCol w:w="1680"/>
        <w:gridCol w:w="1680"/>
        <w:gridCol w:w="1680"/>
        <w:gridCol w:w="1680"/>
      </w:tblGrid>
      <w:tr>
        <w:trPr>
          <w:cantSplit/>
          <w:tblHeader/>
        </w:trPr>
        <w:tc>
          <w:tcPr>
            <w:tcW w:type="dxa" w:w="1680"/>
            <w:vAlign w:val="center"/>
            <w:tcW w:w="2592" w:type="dxa"/>
            <w:tcMar>
              <w:top w:w="70" w:type="dxa"/>
              <w:bottom w:w="70" w:type="dxa"/>
              <w:left w:w="70" w:type="dxa"/>
              <w:right w:w="70" w:type="dxa"/>
            </w:tcMar>
            <w:shd w:fill="2B5C8F"/>
          </w:tcPr>
          <w:p>
            <w:pPr>
              <w:spacing w:before="20" w:after="20"/>
              <w:jc w:val="center"/>
            </w:pPr>
            <w:r>
              <w:rPr>
                <w:rFonts w:ascii="Times New Roman" w:hAnsi="Times New Roman"/>
                <w:b/>
                <w:i w:val="0"/>
                <w:color w:val="FFFFFF"/>
                <w:sz w:val="16"/>
              </w:rPr>
              <w:t>Logit Adjustment Temperature (</w:t>
            </w:r>
            <m:oMath>
              <m:r>
                <m:t>τ</m:t>
              </m:r>
            </m:oMath>
            <w:r>
              <w:rPr>
                <w:rFonts w:ascii="Times New Roman" w:hAnsi="Times New Roman"/>
                <w:b/>
                <w:i w:val="0"/>
                <w:color w:val="FFFFFF"/>
                <w:sz w:val="16"/>
              </w:rPr>
              <w:t>)</w:t>
            </w:r>
          </w:p>
        </w:tc>
        <w:tc>
          <w:tcPr>
            <w:tcW w:type="dxa" w:w="1680"/>
            <w:vAlign w:val="center"/>
            <w:tcW w:w="1224" w:type="dxa"/>
            <w:tcMar>
              <w:top w:w="70" w:type="dxa"/>
              <w:bottom w:w="70" w:type="dxa"/>
              <w:left w:w="70" w:type="dxa"/>
              <w:right w:w="70" w:type="dxa"/>
            </w:tcMar>
            <w:shd w:fill="2B5C8F"/>
          </w:tcPr>
          <w:p>
            <w:pPr>
              <w:spacing w:before="20" w:after="20"/>
              <w:jc w:val="center"/>
            </w:pPr>
            <w:r>
              <w:rPr>
                <w:rFonts w:ascii="Times New Roman" w:hAnsi="Times New Roman"/>
                <w:b/>
                <w:i w:val="0"/>
                <w:color w:val="FFFFFF"/>
                <w:sz w:val="16"/>
              </w:rPr>
              <w:t>Accuracy</w:t>
            </w:r>
          </w:p>
        </w:tc>
        <w:tc>
          <w:tcPr>
            <w:tcW w:type="dxa" w:w="1680"/>
            <w:vAlign w:val="center"/>
            <w:tcW w:w="1224" w:type="dxa"/>
            <w:tcMar>
              <w:top w:w="70" w:type="dxa"/>
              <w:bottom w:w="70" w:type="dxa"/>
              <w:left w:w="70" w:type="dxa"/>
              <w:right w:w="70" w:type="dxa"/>
            </w:tcMar>
            <w:shd w:fill="2B5C8F"/>
          </w:tcPr>
          <w:p>
            <w:pPr>
              <w:spacing w:before="20" w:after="20"/>
              <w:jc w:val="center"/>
            </w:pPr>
            <w:r>
              <w:rPr>
                <w:rFonts w:ascii="Times New Roman" w:hAnsi="Times New Roman"/>
                <w:b/>
                <w:i w:val="0"/>
                <w:color w:val="FFFFFF"/>
                <w:sz w:val="16"/>
              </w:rPr>
              <w:t>QWK</w:t>
            </w:r>
          </w:p>
        </w:tc>
        <w:tc>
          <w:tcPr>
            <w:tcW w:type="dxa" w:w="1680"/>
            <w:vAlign w:val="center"/>
            <w:tcW w:w="1224" w:type="dxa"/>
            <w:tcMar>
              <w:top w:w="70" w:type="dxa"/>
              <w:bottom w:w="70" w:type="dxa"/>
              <w:left w:w="70" w:type="dxa"/>
              <w:right w:w="70" w:type="dxa"/>
            </w:tcMar>
            <w:shd w:fill="2B5C8F"/>
          </w:tcPr>
          <w:p>
            <w:pPr>
              <w:spacing w:before="20" w:after="20"/>
              <w:jc w:val="center"/>
            </w:pPr>
            <w:r>
              <w:rPr>
                <w:rFonts w:ascii="Times New Roman" w:hAnsi="Times New Roman"/>
                <w:b/>
                <w:i w:val="0"/>
                <w:color w:val="FFFFFF"/>
                <w:sz w:val="16"/>
              </w:rPr>
              <w:t>MAE</w:t>
            </w:r>
          </w:p>
        </w:tc>
        <w:tc>
          <w:tcPr>
            <w:tcW w:type="dxa" w:w="1680"/>
            <w:vAlign w:val="center"/>
            <w:tcW w:w="1872" w:type="dxa"/>
            <w:tcMar>
              <w:top w:w="70" w:type="dxa"/>
              <w:bottom w:w="70" w:type="dxa"/>
              <w:left w:w="70" w:type="dxa"/>
              <w:right w:w="70" w:type="dxa"/>
            </w:tcMar>
            <w:shd w:fill="2B5C8F"/>
          </w:tcPr>
          <w:p>
            <w:pPr>
              <w:spacing w:before="20" w:after="20"/>
              <w:jc w:val="center"/>
            </w:pPr>
            <w:r>
              <w:rPr>
                <w:rFonts w:ascii="Times New Roman" w:hAnsi="Times New Roman"/>
                <w:b/>
                <w:i w:val="0"/>
                <w:color w:val="FFFFFF"/>
                <w:sz w:val="16"/>
              </w:rPr>
              <w:t>Severe Recall (Grade 3)</w:t>
            </w:r>
          </w:p>
        </w:tc>
        <w:tc>
          <w:tcPr>
            <w:tcW w:type="dxa" w:w="1680"/>
            <w:vAlign w:val="center"/>
            <w:tcW w:w="1944" w:type="dxa"/>
            <w:tcMar>
              <w:top w:w="70" w:type="dxa"/>
              <w:bottom w:w="70" w:type="dxa"/>
              <w:left w:w="70" w:type="dxa"/>
              <w:right w:w="70" w:type="dxa"/>
            </w:tcMar>
            <w:shd w:fill="2B5C8F"/>
          </w:tcPr>
          <w:p>
            <w:pPr>
              <w:spacing w:before="20" w:after="20"/>
              <w:jc w:val="center"/>
            </w:pPr>
            <w:r>
              <w:rPr>
                <w:rFonts w:ascii="Times New Roman" w:hAnsi="Times New Roman"/>
                <w:b/>
                <w:i w:val="0"/>
                <w:color w:val="FFFFFF"/>
                <w:sz w:val="16"/>
              </w:rPr>
              <w:t>PDR Recall (Grade 4)</w:t>
            </w:r>
          </w:p>
        </w:tc>
      </w:tr>
      <w:tr>
        <w:trPr>
          <w:cantSplit/>
        </w:trPr>
        <w:tc>
          <w:tcPr>
            <w:tcW w:type="dxa" w:w="1680"/>
            <w:vAlign w:val="center"/>
            <w:tcW w:w="2592" w:type="dxa"/>
            <w:tcMar>
              <w:top w:w="70" w:type="dxa"/>
              <w:bottom w:w="70" w:type="dxa"/>
              <w:left w:w="70" w:type="dxa"/>
              <w:right w:w="70" w:type="dxa"/>
            </w:tcMar>
            <w:shd w:fill="F7F9FC"/>
          </w:tcPr>
          <w:p>
            <w:pPr>
              <w:spacing w:before="20" w:after="20"/>
              <w:jc w:val="left"/>
            </w:pPr>
            <w:r>
              <w:rPr>
                <w:rFonts w:ascii="Times New Roman" w:hAnsi="Times New Roman"/>
                <w:b/>
                <w:i w:val="0"/>
                <w:color w:val="1E1E1E"/>
                <w:sz w:val="16"/>
              </w:rPr>
              <w:t>0.0 (Unadjusted, Raw Acc Focus)</w:t>
            </w:r>
          </w:p>
        </w:tc>
        <w:tc>
          <w:tcPr>
            <w:tcW w:type="dxa" w:w="1680"/>
            <w:vAlign w:val="center"/>
            <w:tcW w:w="1224" w:type="dxa"/>
            <w:tcMar>
              <w:top w:w="70" w:type="dxa"/>
              <w:bottom w:w="70" w:type="dxa"/>
              <w:left w:w="70" w:type="dxa"/>
              <w:right w:w="70" w:type="dxa"/>
            </w:tcMar>
            <w:shd w:fill="F7F9FC"/>
          </w:tcPr>
          <w:p>
            <w:pPr>
              <w:spacing w:before="20" w:after="20"/>
              <w:jc w:val="center"/>
            </w:pPr>
            <w:r>
              <w:rPr>
                <w:rFonts w:ascii="Times New Roman" w:hAnsi="Times New Roman"/>
                <w:b/>
                <w:i w:val="0"/>
                <w:color w:val="1E1E1E"/>
                <w:sz w:val="16"/>
              </w:rPr>
              <w:t>83.82%</w:t>
            </w:r>
          </w:p>
        </w:tc>
        <w:tc>
          <w:tcPr>
            <w:tcW w:type="dxa" w:w="1680"/>
            <w:vAlign w:val="center"/>
            <w:tcW w:w="122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0.8859</w:t>
            </w:r>
          </w:p>
        </w:tc>
        <w:tc>
          <w:tcPr>
            <w:tcW w:type="dxa" w:w="1680"/>
            <w:vAlign w:val="center"/>
            <w:tcW w:w="1224" w:type="dxa"/>
            <w:tcMar>
              <w:top w:w="70" w:type="dxa"/>
              <w:bottom w:w="70" w:type="dxa"/>
              <w:left w:w="70" w:type="dxa"/>
              <w:right w:w="70" w:type="dxa"/>
            </w:tcMar>
            <w:shd w:fill="F7F9FC"/>
          </w:tcPr>
          <w:p>
            <w:pPr>
              <w:spacing w:before="20" w:after="20"/>
              <w:jc w:val="center"/>
            </w:pPr>
            <w:r>
              <w:rPr>
                <w:rFonts w:ascii="Times New Roman" w:hAnsi="Times New Roman"/>
                <w:b/>
                <w:i w:val="0"/>
                <w:color w:val="1E1E1E"/>
                <w:sz w:val="16"/>
              </w:rPr>
              <w:t>0.2200</w:t>
            </w:r>
          </w:p>
        </w:tc>
        <w:tc>
          <w:tcPr>
            <w:tcW w:type="dxa" w:w="1680"/>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44.8%</w:t>
            </w:r>
          </w:p>
        </w:tc>
        <w:tc>
          <w:tcPr>
            <w:tcW w:type="dxa" w:w="1680"/>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50.0%</w:t>
            </w:r>
          </w:p>
        </w:tc>
      </w:tr>
      <w:tr>
        <w:trPr>
          <w:cantSplit/>
        </w:trPr>
        <w:tc>
          <w:tcPr>
            <w:tcW w:type="dxa" w:w="1680"/>
            <w:vAlign w:val="center"/>
            <w:tcW w:w="2592" w:type="dxa"/>
            <w:tcMar>
              <w:top w:w="70" w:type="dxa"/>
              <w:bottom w:w="70" w:type="dxa"/>
              <w:left w:w="70" w:type="dxa"/>
              <w:right w:w="70" w:type="dxa"/>
            </w:tcMar>
            <w:shd w:fill="FFFFFF"/>
          </w:tcPr>
          <w:p>
            <w:pPr>
              <w:spacing w:before="20" w:after="20"/>
              <w:jc w:val="left"/>
            </w:pPr>
            <w:r>
              <w:rPr>
                <w:rFonts w:ascii="Times New Roman" w:hAnsi="Times New Roman"/>
                <w:b/>
                <w:i w:val="0"/>
                <w:color w:val="1E1E1E"/>
                <w:sz w:val="16"/>
              </w:rPr>
              <w:t>0.5 (Balanced Trade-off)</w:t>
            </w:r>
          </w:p>
        </w:tc>
        <w:tc>
          <w:tcPr>
            <w:tcW w:type="dxa" w:w="1680"/>
            <w:vAlign w:val="center"/>
            <w:tcW w:w="122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82.18%</w:t>
            </w:r>
          </w:p>
        </w:tc>
        <w:tc>
          <w:tcPr>
            <w:tcW w:type="dxa" w:w="1680"/>
            <w:vAlign w:val="center"/>
            <w:tcW w:w="1224"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0.8929</w:t>
            </w:r>
          </w:p>
        </w:tc>
        <w:tc>
          <w:tcPr>
            <w:tcW w:type="dxa" w:w="1680"/>
            <w:vAlign w:val="center"/>
            <w:tcW w:w="122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0.2291</w:t>
            </w:r>
          </w:p>
        </w:tc>
        <w:tc>
          <w:tcPr>
            <w:tcW w:type="dxa" w:w="1680"/>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51.7%</w:t>
            </w:r>
          </w:p>
        </w:tc>
        <w:tc>
          <w:tcPr>
            <w:tcW w:type="dxa" w:w="1680"/>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56.8%</w:t>
            </w:r>
          </w:p>
        </w:tc>
      </w:tr>
      <w:tr>
        <w:trPr>
          <w:cantSplit/>
        </w:trPr>
        <w:tc>
          <w:tcPr>
            <w:tcW w:type="dxa" w:w="1680"/>
            <w:vAlign w:val="center"/>
            <w:tcW w:w="2592" w:type="dxa"/>
            <w:tcMar>
              <w:top w:w="70" w:type="dxa"/>
              <w:bottom w:w="70" w:type="dxa"/>
              <w:left w:w="70" w:type="dxa"/>
              <w:right w:w="70" w:type="dxa"/>
            </w:tcMar>
            <w:shd w:fill="F7F9FC"/>
          </w:tcPr>
          <w:p>
            <w:pPr>
              <w:spacing w:before="20" w:after="20"/>
              <w:jc w:val="left"/>
            </w:pPr>
            <w:r>
              <w:rPr>
                <w:rFonts w:ascii="Times New Roman" w:hAnsi="Times New Roman"/>
                <w:b/>
                <w:i w:val="0"/>
                <w:color w:val="1E1E1E"/>
                <w:sz w:val="16"/>
              </w:rPr>
              <w:t>1.0 (Standard Prior Adjustment)</w:t>
            </w:r>
          </w:p>
        </w:tc>
        <w:tc>
          <w:tcPr>
            <w:tcW w:type="dxa" w:w="1680"/>
            <w:vAlign w:val="center"/>
            <w:tcW w:w="122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79.27%</w:t>
            </w:r>
          </w:p>
        </w:tc>
        <w:tc>
          <w:tcPr>
            <w:tcW w:type="dxa" w:w="1680"/>
            <w:vAlign w:val="center"/>
            <w:tcW w:w="122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0.8787</w:t>
            </w:r>
          </w:p>
        </w:tc>
        <w:tc>
          <w:tcPr>
            <w:tcW w:type="dxa" w:w="1680"/>
            <w:vAlign w:val="center"/>
            <w:tcW w:w="122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0.2691</w:t>
            </w:r>
          </w:p>
        </w:tc>
        <w:tc>
          <w:tcPr>
            <w:tcW w:type="dxa" w:w="1680"/>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55.2%</w:t>
            </w:r>
          </w:p>
        </w:tc>
        <w:tc>
          <w:tcPr>
            <w:tcW w:type="dxa" w:w="1680"/>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i w:val="0"/>
                <w:color w:val="1E1E1E"/>
                <w:sz w:val="16"/>
              </w:rPr>
              <w:t>59.1%</w:t>
            </w:r>
          </w:p>
        </w:tc>
      </w:tr>
      <w:tr>
        <w:trPr>
          <w:cantSplit/>
        </w:trPr>
        <w:tc>
          <w:tcPr>
            <w:tcW w:type="dxa" w:w="1680"/>
            <w:vAlign w:val="center"/>
            <w:tcW w:w="2592" w:type="dxa"/>
            <w:tcMar>
              <w:top w:w="70" w:type="dxa"/>
              <w:bottom w:w="70" w:type="dxa"/>
              <w:left w:w="70" w:type="dxa"/>
              <w:right w:w="70" w:type="dxa"/>
            </w:tcMar>
            <w:shd w:fill="FFFFFF"/>
          </w:tcPr>
          <w:p>
            <w:pPr>
              <w:spacing w:before="20" w:after="20"/>
              <w:jc w:val="left"/>
            </w:pPr>
            <w:r>
              <w:rPr>
                <w:rFonts w:ascii="Times New Roman" w:hAnsi="Times New Roman"/>
                <w:b/>
                <w:i w:val="0"/>
                <w:color w:val="1E1E1E"/>
                <w:sz w:val="16"/>
              </w:rPr>
              <w:t>1.5 (Minority-Tail Focus)</w:t>
            </w:r>
          </w:p>
        </w:tc>
        <w:tc>
          <w:tcPr>
            <w:tcW w:type="dxa" w:w="1680"/>
            <w:vAlign w:val="center"/>
            <w:tcW w:w="122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74.91%</w:t>
            </w:r>
          </w:p>
        </w:tc>
        <w:tc>
          <w:tcPr>
            <w:tcW w:type="dxa" w:w="1680"/>
            <w:vAlign w:val="center"/>
            <w:tcW w:w="122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0.8438</w:t>
            </w:r>
          </w:p>
        </w:tc>
        <w:tc>
          <w:tcPr>
            <w:tcW w:type="dxa" w:w="1680"/>
            <w:vAlign w:val="center"/>
            <w:tcW w:w="122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0.3364</w:t>
            </w:r>
          </w:p>
        </w:tc>
        <w:tc>
          <w:tcPr>
            <w:tcW w:type="dxa" w:w="1680"/>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69.0%</w:t>
            </w:r>
          </w:p>
        </w:tc>
        <w:tc>
          <w:tcPr>
            <w:tcW w:type="dxa" w:w="1680"/>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50.0%</w:t>
            </w:r>
          </w:p>
        </w:tc>
      </w:tr>
    </w:tbl>
    <w:p>
      <w:pPr>
        <w:spacing w:before="40" w:after="120"/>
      </w:pPr>
    </w:p>
    <w:p>
      <w:pPr>
        <w:spacing w:before="160" w:after="60"/>
        <w:jc w:val="center"/>
      </w:pPr>
      <w:r>
        <w:drawing>
          <wp:inline xmlns:a="http://schemas.openxmlformats.org/drawingml/2006/main" xmlns:pic="http://schemas.openxmlformats.org/drawingml/2006/picture">
            <wp:extent cx="4937760" cy="1167107"/>
            <wp:docPr id="6" name="Picture 6"/>
            <wp:cNvGraphicFramePr>
              <a:graphicFrameLocks noChangeAspect="1"/>
            </wp:cNvGraphicFramePr>
            <a:graphic>
              <a:graphicData uri="http://schemas.openxmlformats.org/drawingml/2006/picture">
                <pic:pic>
                  <pic:nvPicPr>
                    <pic:cNvPr id="0" name="confusion_matrix_accuracy_ensemble.png"/>
                    <pic:cNvPicPr/>
                  </pic:nvPicPr>
                  <pic:blipFill>
                    <a:blip r:embed="rId14"/>
                    <a:stretch>
                      <a:fillRect/>
                    </a:stretch>
                  </pic:blipFill>
                  <pic:spPr>
                    <a:xfrm>
                      <a:off x="0" y="0"/>
                      <a:ext cx="4937760" cy="1167107"/>
                    </a:xfrm>
                    <a:prstGeom prst="rect"/>
                  </pic:spPr>
                </pic:pic>
              </a:graphicData>
            </a:graphic>
          </wp:inline>
        </w:drawing>
      </w:r>
    </w:p>
    <w:p>
      <w:pPr>
        <w:spacing w:before="0" w:after="200"/>
        <w:jc w:val="center"/>
      </w:pPr>
      <w:r>
        <w:rPr>
          <w:rFonts w:ascii="Times New Roman" w:hAnsi="Times New Roman"/>
          <w:b w:val="0"/>
          <w:i/>
          <w:color w:val="3C3C3C"/>
          <w:sz w:val="18"/>
        </w:rPr>
        <w:t>Fig. 6. Confusion Matrices for Accuracy Optimization Configurations on the Holdout Test Set (N = 550) comparing Baseline Softmax, Label-Smoothed Seed 42, and 3-Seed Ensembles (tau = 0.0 and tau = 1.0).</w:t>
      </w:r>
    </w:p>
    <w:p>
      <w:pPr>
        <w:spacing w:before="0" w:after="90" w:line="276" w:lineRule="auto"/>
        <w:jc w:val="both"/>
      </w:pPr>
      <w:r>
        <w:rPr>
          <w:rFonts w:ascii="Times New Roman" w:hAnsi="Times New Roman"/>
          <w:b w:val="0"/>
          <w:i w:val="0"/>
          <w:color w:val="1E1E1E"/>
          <w:sz w:val="20"/>
        </w:rPr>
        <w:t>Key insights from the accuracy optimization experiments: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Single Model Gains:</w:t>
      </w:r>
      <w:r>
        <w:rPr>
          <w:rFonts w:ascii="Times New Roman" w:hAnsi="Times New Roman"/>
          <w:b w:val="0"/>
          <w:i w:val="0"/>
          <w:color w:val="1E1E1E"/>
          <w:sz w:val="20"/>
        </w:rPr>
        <w:t xml:space="preserve"> Adding label smoothing (</w:t>
      </w:r>
      <m:oMath>
        <m:r>
          <m:t>α=0.08</m:t>
        </m:r>
      </m:oMath>
      <w:r>
        <w:rPr>
          <w:rFonts w:ascii="Times New Roman" w:hAnsi="Times New Roman"/>
          <w:b w:val="0"/>
          <w:i w:val="0"/>
          <w:color w:val="1E1E1E"/>
          <w:sz w:val="20"/>
        </w:rPr>
        <w:t xml:space="preserve">) and safe geometric jitter increased single-model accuracy from 80.18% to </w:t>
      </w:r>
      <w:r>
        <w:rPr>
          <w:rFonts w:ascii="Times New Roman" w:hAnsi="Times New Roman"/>
          <w:b/>
          <w:i w:val="0"/>
          <w:color w:val="1E1E1E"/>
          <w:sz w:val="20"/>
        </w:rPr>
        <w:t>82.00%</w:t>
      </w:r>
      <w:r>
        <w:rPr>
          <w:rFonts w:ascii="Times New Roman" w:hAnsi="Times New Roman"/>
          <w:b w:val="0"/>
          <w:i w:val="0"/>
          <w:color w:val="1E1E1E"/>
          <w:sz w:val="20"/>
        </w:rPr>
        <w:t xml:space="preserve"> (+1.82%).</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Ensemble Peak:</w:t>
      </w:r>
      <w:r>
        <w:rPr>
          <w:rFonts w:ascii="Times New Roman" w:hAnsi="Times New Roman"/>
          <w:b w:val="0"/>
          <w:i w:val="0"/>
          <w:color w:val="1E1E1E"/>
          <w:sz w:val="20"/>
        </w:rPr>
        <w:t xml:space="preserve"> Combining three random seeds with 4-way flip TTA pushed accuracy to </w:t>
      </w:r>
      <w:r>
        <w:rPr>
          <w:rFonts w:ascii="Times New Roman" w:hAnsi="Times New Roman"/>
          <w:b/>
          <w:i w:val="0"/>
          <w:color w:val="1E1E1E"/>
          <w:sz w:val="20"/>
        </w:rPr>
        <w:t>83.82%</w:t>
      </w:r>
      <w:r>
        <w:rPr>
          <w:rFonts w:ascii="Times New Roman" w:hAnsi="Times New Roman"/>
          <w:b w:val="0"/>
          <w:i w:val="0"/>
          <w:color w:val="1E1E1E"/>
          <w:sz w:val="20"/>
        </w:rPr>
        <w:t xml:space="preserve">, QWK to </w:t>
      </w:r>
      <w:r>
        <w:rPr>
          <w:rFonts w:ascii="Times New Roman" w:hAnsi="Times New Roman"/>
          <w:b/>
          <w:i w:val="0"/>
          <w:color w:val="1E1E1E"/>
          <w:sz w:val="20"/>
        </w:rPr>
        <w:t>0.8859</w:t>
      </w:r>
      <w:r>
        <w:rPr>
          <w:rFonts w:ascii="Times New Roman" w:hAnsi="Times New Roman"/>
          <w:b w:val="0"/>
          <w:i w:val="0"/>
          <w:color w:val="1E1E1E"/>
          <w:sz w:val="20"/>
        </w:rPr>
        <w:t xml:space="preserve">, and reduced MAE to </w:t>
      </w:r>
      <w:r>
        <w:rPr>
          <w:rFonts w:ascii="Times New Roman" w:hAnsi="Times New Roman"/>
          <w:b/>
          <w:i w:val="0"/>
          <w:color w:val="1E1E1E"/>
          <w:sz w:val="20"/>
        </w:rPr>
        <w:t>0.2200</w:t>
      </w:r>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Adjustable Clinical Dial (</w:t>
      </w:r>
      <m:oMath>
        <m:r>
          <m:t>τ</m:t>
        </m:r>
      </m:oMath>
      <w:r>
        <w:rPr>
          <w:rFonts w:ascii="Times New Roman" w:hAnsi="Times New Roman"/>
          <w:b/>
          <w:i w:val="0"/>
          <w:color w:val="1E1E1E"/>
          <w:sz w:val="20"/>
        </w:rPr>
        <w:t>):</w:t>
      </w:r>
      <w:r>
        <w:rPr>
          <w:rFonts w:ascii="Times New Roman" w:hAnsi="Times New Roman"/>
          <w:b w:val="0"/>
          <w:i w:val="0"/>
          <w:color w:val="1E1E1E"/>
          <w:sz w:val="20"/>
        </w:rPr>
        <w:t xml:space="preserve"> Logit adjustment provides a post-hoc slider. At </w:t>
      </w:r>
      <m:oMath>
        <m:r>
          <m:t>τ=0.5</m:t>
        </m:r>
      </m:oMath>
      <w:r>
        <w:rPr>
          <w:rFonts w:ascii="Times New Roman" w:hAnsi="Times New Roman"/>
          <w:b w:val="0"/>
          <w:i w:val="0"/>
          <w:color w:val="1E1E1E"/>
          <w:sz w:val="20"/>
        </w:rPr>
        <w:t xml:space="preserve">, QWK peaks at </w:t>
      </w:r>
      <w:r>
        <w:rPr>
          <w:rFonts w:ascii="Times New Roman" w:hAnsi="Times New Roman"/>
          <w:b/>
          <w:i w:val="0"/>
          <w:color w:val="1E1E1E"/>
          <w:sz w:val="20"/>
        </w:rPr>
        <w:t>0.8929</w:t>
      </w:r>
      <w:r>
        <w:rPr>
          <w:rFonts w:ascii="Times New Roman" w:hAnsi="Times New Roman"/>
          <w:b w:val="0"/>
          <w:i w:val="0"/>
          <w:color w:val="1E1E1E"/>
          <w:sz w:val="20"/>
        </w:rPr>
        <w:t xml:space="preserve"> (highest in the study) with 82.18% accuracy. At </w:t>
      </w:r>
      <m:oMath>
        <m:r>
          <m:t>τ=1.5</m:t>
        </m:r>
      </m:oMath>
      <w:r>
        <w:rPr>
          <w:rFonts w:ascii="Times New Roman" w:hAnsi="Times New Roman"/>
          <w:b w:val="0"/>
          <w:i w:val="0"/>
          <w:color w:val="1E1E1E"/>
          <w:sz w:val="20"/>
        </w:rPr>
        <w:t xml:space="preserve">, Severe NPDR recall jumps to </w:t>
      </w:r>
      <w:r>
        <w:rPr>
          <w:rFonts w:ascii="Times New Roman" w:hAnsi="Times New Roman"/>
          <w:b/>
          <w:i w:val="0"/>
          <w:color w:val="1E1E1E"/>
          <w:sz w:val="20"/>
        </w:rPr>
        <w:t>69.0%</w:t>
      </w:r>
      <w:r>
        <w:rPr>
          <w:rFonts w:ascii="Times New Roman" w:hAnsi="Times New Roman"/>
          <w:b w:val="0"/>
          <w:i w:val="0"/>
          <w:color w:val="1E1E1E"/>
          <w:sz w:val="20"/>
        </w:rPr>
        <w:t>.</w:t>
      </w:r>
    </w:p>
    <w:p>
      <w:pPr>
        <w:keepNext/>
        <w:spacing w:before="280" w:after="80"/>
      </w:pPr>
      <w:r>
        <w:rPr>
          <w:rFonts w:ascii="Times New Roman" w:hAnsi="Times New Roman"/>
          <w:b/>
          <w:color w:val="142850"/>
          <w:sz w:val="23"/>
        </w:rPr>
        <w:t>8. SYSTEM DESIGN: ACTIVITY AND CLASS DIAGRAMS</w:t>
      </w:r>
    </w:p>
    <w:p>
      <w:pPr>
        <w:spacing w:before="0" w:after="90" w:line="276" w:lineRule="auto"/>
        <w:jc w:val="both"/>
      </w:pPr>
      <w:r>
        <w:rPr>
          <w:rFonts w:ascii="Times New Roman" w:hAnsi="Times New Roman"/>
          <w:b w:val="0"/>
          <w:i w:val="0"/>
          <w:color w:val="1E1E1E"/>
          <w:sz w:val="20"/>
        </w:rPr>
        <w:t>To formalize the dynamic workflow and structural software architecture of the clinical triage platform, we present StarUML-compliant Activity and Class Diagrams.</w:t>
      </w:r>
    </w:p>
    <w:p>
      <w:pPr>
        <w:keepNext/>
        <w:spacing w:before="200" w:after="60"/>
      </w:pPr>
      <w:r>
        <w:rPr>
          <w:rFonts w:ascii="Times New Roman" w:hAnsi="Times New Roman"/>
          <w:b/>
          <w:i/>
          <w:color w:val="283246"/>
          <w:sz w:val="21"/>
        </w:rPr>
        <w:t>8.1 UML Activity Diagram</w:t>
      </w:r>
    </w:p>
    <w:p>
      <w:pPr>
        <w:spacing w:before="0" w:after="90" w:line="276" w:lineRule="auto"/>
        <w:jc w:val="both"/>
      </w:pPr>
      <w:r>
        <w:rPr>
          <w:rFonts w:ascii="Times New Roman" w:hAnsi="Times New Roman"/>
          <w:b w:val="0"/>
          <w:i w:val="0"/>
          <w:color w:val="1E1E1E"/>
          <w:sz w:val="20"/>
        </w:rPr>
        <w:t>The Activity Diagram defines the operational workflow across three synchronized clinical partitions: Primary Screening Clinic, Automated AI Diagnostic Engine, and Clinical Triage &amp; Specialist Referral.</w:t>
      </w:r>
    </w:p>
    <w:p>
      <w:pPr>
        <w:spacing w:before="160" w:after="60"/>
        <w:jc w:val="center"/>
      </w:pPr>
      <w:r>
        <w:drawing>
          <wp:inline xmlns:a="http://schemas.openxmlformats.org/drawingml/2006/main" xmlns:pic="http://schemas.openxmlformats.org/drawingml/2006/picture">
            <wp:extent cx="4572000" cy="2410691"/>
            <wp:docPr id="7" name="Picture 7"/>
            <wp:cNvGraphicFramePr>
              <a:graphicFrameLocks noChangeAspect="1"/>
            </wp:cNvGraphicFramePr>
            <a:graphic>
              <a:graphicData uri="http://schemas.openxmlformats.org/drawingml/2006/picture">
                <pic:pic>
                  <pic:nvPicPr>
                    <pic:cNvPr id="0" name="uml_activity_diagram.png"/>
                    <pic:cNvPicPr/>
                  </pic:nvPicPr>
                  <pic:blipFill>
                    <a:blip r:embed="rId15"/>
                    <a:stretch>
                      <a:fillRect/>
                    </a:stretch>
                  </pic:blipFill>
                  <pic:spPr>
                    <a:xfrm>
                      <a:off x="0" y="0"/>
                      <a:ext cx="4572000" cy="2410691"/>
                    </a:xfrm>
                    <a:prstGeom prst="rect"/>
                  </pic:spPr>
                </pic:pic>
              </a:graphicData>
            </a:graphic>
          </wp:inline>
        </w:drawing>
      </w:r>
    </w:p>
    <w:p>
      <w:pPr>
        <w:spacing w:before="0" w:after="200"/>
        <w:jc w:val="center"/>
      </w:pPr>
      <w:r>
        <w:rPr>
          <w:rFonts w:ascii="Times New Roman" w:hAnsi="Times New Roman"/>
          <w:b w:val="0"/>
          <w:i/>
          <w:color w:val="3C3C3C"/>
          <w:sz w:val="18"/>
        </w:rPr>
        <w:t>Fig. 7. UML Activity Diagram: Clinical Screening, Automated AI Diagnostic Processing, and Specialist Triage Workflow (StarUML Specification).</w:t>
      </w:r>
    </w:p>
    <w:p>
      <w:pPr>
        <w:keepNext/>
        <w:spacing w:before="160" w:after="40"/>
      </w:pPr>
      <w:r>
        <w:rPr>
          <w:rFonts w:ascii="Times New Roman" w:hAnsi="Times New Roman"/>
          <w:b/>
          <w:i w:val="0"/>
          <w:color w:val="323232"/>
          <w:sz w:val="20"/>
        </w:rPr>
        <w:t>Detailed Workflow Description:</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Partition 1 (Primary Screening Clinic / Technician):</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The workflow initiates at the handheld or tabletop fundus camera where the technician acquires a digital retinal photograph.</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An automated quality assessment algorithm verifies image sharpness, illumination uniformity, and focus.</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Quality Guard Condition:</w:t>
      </w:r>
      <w:r>
        <w:rPr>
          <w:rFonts w:ascii="Times New Roman" w:hAnsi="Times New Roman"/>
          <w:b w:val="0"/>
          <w:i w:val="0"/>
          <w:color w:val="1E1E1E"/>
          <w:sz w:val="20"/>
        </w:rPr>
        <w:t xml:space="preserve"> If the photograph is degraded by lens blur or excessive light reflection (</w:t>
      </w:r>
      <w:r>
        <w:rPr>
          <w:rFonts w:ascii="Consolas" w:hAnsi="Consolas"/>
          <w:color w:val="3C3C3C"/>
          <w:sz w:val="20"/>
        </w:rPr>
        <w:t>[No: Blurry / Glare]</w:t>
      </w:r>
      <w:r>
        <w:rPr>
          <w:rFonts w:ascii="Times New Roman" w:hAnsi="Times New Roman"/>
          <w:b w:val="0"/>
          <w:i w:val="0"/>
          <w:color w:val="1E1E1E"/>
          <w:sz w:val="20"/>
        </w:rPr>
        <w:t>), the system triggers an immediate recapture prompt. If acceptable (</w:t>
      </w:r>
      <w:r>
        <w:rPr>
          <w:rFonts w:ascii="Consolas" w:hAnsi="Consolas"/>
          <w:color w:val="3C3C3C"/>
          <w:sz w:val="20"/>
        </w:rPr>
        <w:t>[Yes: Valid]</w:t>
      </w:r>
      <w:r>
        <w:rPr>
          <w:rFonts w:ascii="Times New Roman" w:hAnsi="Times New Roman"/>
          <w:b w:val="0"/>
          <w:i w:val="0"/>
          <w:color w:val="1E1E1E"/>
          <w:sz w:val="20"/>
        </w:rPr>
        <w:t>), the stream passes to the AI diagnostic engine.</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Partition 2 (Automated AI Diagnostic Engine):</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The functional retinal globe is segmented via circular crop boundary detection, normalized, and contrast-enhanced using CIE LAB CLAHE on an </w:t>
      </w:r>
      <m:oMath>
        <m:r>
          <m:t>8×8</m:t>
        </m:r>
      </m:oMath>
      <w:r>
        <w:rPr>
          <w:rFonts w:ascii="Times New Roman" w:hAnsi="Times New Roman"/>
          <w:b w:val="0"/>
          <w:i w:val="0"/>
          <w:color w:val="1E1E1E"/>
          <w:sz w:val="20"/>
        </w:rPr>
        <w:t xml:space="preserve"> grid.</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The image is processed through the regularized EfficientNet-B0 backbone to extract a dense 1280-dimensional latent embedding </w:t>
      </w:r>
      <m:oMath>
        <m:r>
          <m:t>ϕ(𝐱)</m:t>
        </m:r>
      </m:oMath>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Dual-Pathway Selection:</w:t>
      </w:r>
      <w:r>
        <w:rPr>
          <w:rFonts w:ascii="Times New Roman" w:hAnsi="Times New Roman"/>
          <w:b w:val="0"/>
          <w:i w:val="0"/>
          <w:color w:val="1E1E1E"/>
          <w:sz w:val="20"/>
        </w:rPr>
        <w:t xml:space="preserve"> The system dynamically routes the embedding based on the clinical environment:</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In </w:t>
      </w:r>
      <w:r>
        <w:rPr>
          <w:rFonts w:ascii="Times New Roman" w:hAnsi="Times New Roman"/>
          <w:b/>
          <w:i w:val="0"/>
          <w:color w:val="1E1E1E"/>
          <w:sz w:val="20"/>
        </w:rPr>
        <w:t>Community Screening Mode</w:t>
      </w:r>
      <w:r>
        <w:rPr>
          <w:rFonts w:ascii="Times New Roman" w:hAnsi="Times New Roman"/>
          <w:b w:val="0"/>
          <w:i w:val="0"/>
          <w:color w:val="1E1E1E"/>
          <w:sz w:val="20"/>
        </w:rPr>
        <w:t>, the Variant D (CORN) ordinal head evaluates conditional binary cumulative tasks regularized by Soft-QWK loss to maximize severe disease sensitivity.</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In </w:t>
      </w:r>
      <w:r>
        <w:rPr>
          <w:rFonts w:ascii="Times New Roman" w:hAnsi="Times New Roman"/>
          <w:b/>
          <w:i w:val="0"/>
          <w:color w:val="1E1E1E"/>
          <w:sz w:val="20"/>
        </w:rPr>
        <w:t>Telemedicine Confirmatory Mode</w:t>
      </w:r>
      <w:r>
        <w:rPr>
          <w:rFonts w:ascii="Times New Roman" w:hAnsi="Times New Roman"/>
          <w:b w:val="0"/>
          <w:i w:val="0"/>
          <w:color w:val="1E1E1E"/>
          <w:sz w:val="20"/>
        </w:rPr>
        <w:t>, the 3-Seed Ensemble with 4-way flip Test-Time Augmentation (TTA) and label smoothing computes highly calibrated stage probabilities.</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Both pathways synchronize through a merge bar, where the clinical distance safety envelope is applied, mathematically suppressing catastrophic multi-grade misclassifications (</w:t>
      </w:r>
      <m:oMath>
        <m:r>
          <m:t>|y−</m:t>
        </m:r>
        <m:acc>
          <m:accPr>
            <m:chr m:val="̂"/>
          </m:accPr>
          <m:e>
            <m:r>
              <m:t>y</m:t>
            </m:r>
          </m:e>
        </m:acc>
        <m:r>
          <m:t>|≥2</m:t>
        </m:r>
      </m:oMath>
      <w:r>
        <w:rPr>
          <w:rFonts w:ascii="Times New Roman" w:hAnsi="Times New Roman"/>
          <w:b w:val="0"/>
          <w:i w:val="0"/>
          <w:color w:val="1E1E1E"/>
          <w:sz w:val="20"/>
        </w:rPr>
        <w:t>) to below 5.1%.</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Partition 3 (Clinical Triage &amp; Specialist Referral):</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A multi-way decision node routes patients according to ICDR clinical guidelines: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High-Risk Pathway (`[Grade 3, 4]`):</w:t>
      </w:r>
      <w:r>
        <w:rPr>
          <w:rFonts w:ascii="Times New Roman" w:hAnsi="Times New Roman"/>
          <w:b w:val="0"/>
          <w:i w:val="0"/>
          <w:color w:val="1E1E1E"/>
          <w:sz w:val="20"/>
        </w:rPr>
        <w:t xml:space="preserve"> Dispatches an urgent specialist referral within 48 hours to 2 weeks for laser photocoagulation or anti-VEGF injection.</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Moderate Pathway (`[Grade 2]`):</w:t>
      </w:r>
      <w:r>
        <w:rPr>
          <w:rFonts w:ascii="Times New Roman" w:hAnsi="Times New Roman"/>
          <w:b w:val="0"/>
          <w:i w:val="0"/>
          <w:color w:val="1E1E1E"/>
          <w:sz w:val="20"/>
        </w:rPr>
        <w:t xml:space="preserve"> Schedules a semi-urgent 6-month comprehensive exam and OCT scan.</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Low-Risk Pathway (`[Grade 0, 1]`):</w:t>
      </w:r>
      <w:r>
        <w:rPr>
          <w:rFonts w:ascii="Times New Roman" w:hAnsi="Times New Roman"/>
          <w:b w:val="0"/>
          <w:i w:val="0"/>
          <w:color w:val="1E1E1E"/>
          <w:sz w:val="20"/>
        </w:rPr>
        <w:t xml:space="preserve"> Authorizes primary surveillance with a 12-month recall.</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The resulting recommendations are compiled into a standardized FHIR-compliant diagnostic report, securely archived in the hospital Picture Archiving and Communication System (PACS) database, and delivered to the patient and care team via SMS/portal before concluding at the final state.</w:t>
      </w:r>
    </w:p>
    <w:p>
      <w:pPr>
        <w:keepNext/>
        <w:spacing w:before="200" w:after="60"/>
      </w:pPr>
      <w:r>
        <w:rPr>
          <w:rFonts w:ascii="Times New Roman" w:hAnsi="Times New Roman"/>
          <w:b/>
          <w:i/>
          <w:color w:val="283246"/>
          <w:sz w:val="21"/>
        </w:rPr>
        <w:t>8.2 UML Class Diagram</w:t>
      </w:r>
    </w:p>
    <w:p>
      <w:pPr>
        <w:spacing w:before="0" w:after="90" w:line="276" w:lineRule="auto"/>
        <w:jc w:val="both"/>
      </w:pPr>
      <w:r>
        <w:rPr>
          <w:rFonts w:ascii="Times New Roman" w:hAnsi="Times New Roman"/>
          <w:b w:val="0"/>
          <w:i w:val="0"/>
          <w:color w:val="1E1E1E"/>
          <w:sz w:val="20"/>
        </w:rPr>
        <w:t>The Class Diagram documents the object-oriented structure, class hierarchies, and operational methods.</w:t>
      </w:r>
    </w:p>
    <w:p>
      <w:pPr>
        <w:spacing w:before="160" w:after="60"/>
        <w:jc w:val="center"/>
      </w:pPr>
      <w:r>
        <w:drawing>
          <wp:inline xmlns:a="http://schemas.openxmlformats.org/drawingml/2006/main" xmlns:pic="http://schemas.openxmlformats.org/drawingml/2006/picture">
            <wp:extent cx="4937760" cy="3038622"/>
            <wp:docPr id="8" name="Picture 8"/>
            <wp:cNvGraphicFramePr>
              <a:graphicFrameLocks noChangeAspect="1"/>
            </wp:cNvGraphicFramePr>
            <a:graphic>
              <a:graphicData uri="http://schemas.openxmlformats.org/drawingml/2006/picture">
                <pic:pic>
                  <pic:nvPicPr>
                    <pic:cNvPr id="0" name="uml_class_diagram.png"/>
                    <pic:cNvPicPr/>
                  </pic:nvPicPr>
                  <pic:blipFill>
                    <a:blip r:embed="rId16"/>
                    <a:stretch>
                      <a:fillRect/>
                    </a:stretch>
                  </pic:blipFill>
                  <pic:spPr>
                    <a:xfrm>
                      <a:off x="0" y="0"/>
                      <a:ext cx="4937760" cy="3038622"/>
                    </a:xfrm>
                    <a:prstGeom prst="rect"/>
                  </pic:spPr>
                </pic:pic>
              </a:graphicData>
            </a:graphic>
          </wp:inline>
        </w:drawing>
      </w:r>
    </w:p>
    <w:p>
      <w:pPr>
        <w:spacing w:before="0" w:after="200"/>
        <w:jc w:val="center"/>
      </w:pPr>
      <w:r>
        <w:rPr>
          <w:rFonts w:ascii="Times New Roman" w:hAnsi="Times New Roman"/>
          <w:b w:val="0"/>
          <w:i/>
          <w:color w:val="3C3C3C"/>
          <w:sz w:val="18"/>
        </w:rPr>
        <w:t>Fig. 8. UML Class Diagram: Object-Oriented Software Architecture, Class Hierarchies, and Interface Methods (StarUML Specification).</w:t>
      </w:r>
    </w:p>
    <w:p>
      <w:pPr>
        <w:keepNext/>
        <w:spacing w:before="160" w:after="40"/>
      </w:pPr>
      <w:r>
        <w:rPr>
          <w:rFonts w:ascii="Times New Roman" w:hAnsi="Times New Roman"/>
          <w:b/>
          <w:i w:val="0"/>
          <w:color w:val="323232"/>
          <w:sz w:val="20"/>
        </w:rPr>
        <w:t>Description of Key Classes: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`FundusImage`</w:t>
      </w:r>
      <w:r>
        <w:rPr>
          <w:rFonts w:ascii="Times New Roman" w:hAnsi="Times New Roman"/>
          <w:b w:val="0"/>
          <w:i w:val="0"/>
          <w:color w:val="1E1E1E"/>
          <w:sz w:val="20"/>
        </w:rPr>
        <w:t>: Encapsulates raw image data, acquisition metadata, dimensions, and ground truth labels.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`Preprocessor`</w:t>
      </w:r>
      <w:r>
        <w:rPr>
          <w:rFonts w:ascii="Times New Roman" w:hAnsi="Times New Roman"/>
          <w:b w:val="0"/>
          <w:i w:val="0"/>
          <w:color w:val="1E1E1E"/>
          <w:sz w:val="20"/>
        </w:rPr>
        <w:t xml:space="preserve">: Provides static methods </w:t>
      </w:r>
      <w:r>
        <w:rPr>
          <w:rFonts w:ascii="Consolas" w:hAnsi="Consolas"/>
          <w:color w:val="3C3C3C"/>
          <w:sz w:val="20"/>
        </w:rPr>
        <w:t>circular_crop()</w:t>
      </w:r>
      <w:r>
        <w:rPr>
          <w:rFonts w:ascii="Times New Roman" w:hAnsi="Times New Roman"/>
          <w:b w:val="0"/>
          <w:i w:val="0"/>
          <w:color w:val="1E1E1E"/>
          <w:sz w:val="20"/>
        </w:rPr>
        <w:t xml:space="preserve"> and </w:t>
      </w:r>
      <w:r>
        <w:rPr>
          <w:rFonts w:ascii="Consolas" w:hAnsi="Consolas"/>
          <w:color w:val="3C3C3C"/>
          <w:sz w:val="20"/>
        </w:rPr>
        <w:t>apply_clahe()</w:t>
      </w:r>
      <w:r>
        <w:rPr>
          <w:rFonts w:ascii="Times New Roman" w:hAnsi="Times New Roman"/>
          <w:b w:val="0"/>
          <w:i w:val="0"/>
          <w:color w:val="1E1E1E"/>
          <w:sz w:val="20"/>
        </w:rPr>
        <w:t xml:space="preserve"> to clean and enhance fundus photographs.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`EfficientNetBackbone`</w:t>
      </w:r>
      <w:r>
        <w:rPr>
          <w:rFonts w:ascii="Times New Roman" w:hAnsi="Times New Roman"/>
          <w:b w:val="0"/>
          <w:i w:val="0"/>
          <w:color w:val="1E1E1E"/>
          <w:sz w:val="20"/>
        </w:rPr>
        <w:t xml:space="preserve">: Wraps the convolutional feature extractor, managing layer freezing and forward passes to output latent vectors </w:t>
      </w:r>
      <m:oMath>
        <m:r>
          <m:t>ϕ(𝐱)∈</m:t>
        </m:r>
        <m:sSup>
          <m:e>
            <m:r>
              <m:t>ℝ</m:t>
            </m:r>
          </m:e>
          <m:sup>
            <m:r>
              <m:t>1280</m:t>
            </m:r>
          </m:sup>
        </m:sSup>
      </m:oMath>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`ModelHead` (Abstract Base Class)</w:t>
      </w:r>
      <w:r>
        <w:rPr>
          <w:rFonts w:ascii="Times New Roman" w:hAnsi="Times New Roman"/>
          <w:b w:val="0"/>
          <w:i w:val="0"/>
          <w:color w:val="1E1E1E"/>
          <w:sz w:val="20"/>
        </w:rPr>
        <w:t xml:space="preserve">: Defines the common interface </w:t>
      </w:r>
      <w:r>
        <w:rPr>
          <w:rFonts w:ascii="Consolas" w:hAnsi="Consolas"/>
          <w:color w:val="3C3C3C"/>
          <w:sz w:val="20"/>
        </w:rPr>
        <w:t>forward()</w:t>
      </w:r>
      <w:r>
        <w:rPr>
          <w:rFonts w:ascii="Times New Roman" w:hAnsi="Times New Roman"/>
          <w:b w:val="0"/>
          <w:i w:val="0"/>
          <w:color w:val="1E1E1E"/>
          <w:sz w:val="20"/>
        </w:rPr>
        <w:t xml:space="preserve"> and </w:t>
      </w:r>
      <w:r>
        <w:rPr>
          <w:rFonts w:ascii="Consolas" w:hAnsi="Consolas"/>
          <w:color w:val="3C3C3C"/>
          <w:sz w:val="20"/>
        </w:rPr>
        <w:t>predict_stage()</w:t>
      </w:r>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Subclasses: </w:t>
      </w:r>
      <w:r>
        <w:rPr>
          <w:rFonts w:ascii="Consolas" w:hAnsi="Consolas"/>
          <w:color w:val="3C3C3C"/>
          <w:sz w:val="20"/>
        </w:rPr>
        <w:t>SoftmaxHead</w:t>
      </w:r>
      <w:r>
        <w:rPr>
          <w:rFonts w:ascii="Times New Roman" w:hAnsi="Times New Roman"/>
          <w:b w:val="0"/>
          <w:i w:val="0"/>
          <w:color w:val="1E1E1E"/>
          <w:sz w:val="20"/>
        </w:rPr>
        <w:t xml:space="preserve">, </w:t>
      </w:r>
      <w:r>
        <w:rPr>
          <w:rFonts w:ascii="Consolas" w:hAnsi="Consolas"/>
          <w:color w:val="3C3C3C"/>
          <w:sz w:val="20"/>
        </w:rPr>
        <w:t>CORALHead</w:t>
      </w:r>
      <w:r>
        <w:rPr>
          <w:rFonts w:ascii="Times New Roman" w:hAnsi="Times New Roman"/>
          <w:b w:val="0"/>
          <w:i w:val="0"/>
          <w:color w:val="1E1E1E"/>
          <w:sz w:val="20"/>
        </w:rPr>
        <w:t xml:space="preserve">, </w:t>
      </w:r>
      <w:r>
        <w:rPr>
          <w:rFonts w:ascii="Consolas" w:hAnsi="Consolas"/>
          <w:color w:val="3C3C3C"/>
          <w:sz w:val="20"/>
        </w:rPr>
        <w:t>CORNHead</w:t>
      </w:r>
      <w:r>
        <w:rPr>
          <w:rFonts w:ascii="Times New Roman" w:hAnsi="Times New Roman"/>
          <w:b w:val="0"/>
          <w:i w:val="0"/>
          <w:color w:val="1E1E1E"/>
          <w:sz w:val="20"/>
        </w:rPr>
        <w:t xml:space="preserve">, </w:t>
      </w:r>
      <w:r>
        <w:rPr>
          <w:rFonts w:ascii="Consolas" w:hAnsi="Consolas"/>
          <w:color w:val="3C3C3C"/>
          <w:sz w:val="20"/>
        </w:rPr>
        <w:t>ContinuousHead</w:t>
      </w:r>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`EnsembleEngine`</w:t>
      </w:r>
      <w:r>
        <w:rPr>
          <w:rFonts w:ascii="Times New Roman" w:hAnsi="Times New Roman"/>
          <w:b w:val="0"/>
          <w:i w:val="0"/>
          <w:color w:val="1E1E1E"/>
          <w:sz w:val="20"/>
        </w:rPr>
        <w:t xml:space="preserve">: Coordinates multi-seed inference, manages flip-based Test-Time Augmentation (TTA), and applies post-hoc logit adjustment via </w:t>
      </w:r>
      <w:r>
        <w:rPr>
          <w:rFonts w:ascii="Consolas" w:hAnsi="Consolas"/>
          <w:color w:val="3C3C3C"/>
          <w:sz w:val="20"/>
        </w:rPr>
        <w:t>apply_logit_adjustment(tau)</w:t>
      </w:r>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`ClinicalTriageEngine`</w:t>
      </w:r>
      <w:r>
        <w:rPr>
          <w:rFonts w:ascii="Times New Roman" w:hAnsi="Times New Roman"/>
          <w:b w:val="0"/>
          <w:i w:val="0"/>
          <w:color w:val="1E1E1E"/>
          <w:sz w:val="20"/>
        </w:rPr>
        <w:t>: Implements deterministic rule mapping (</w:t>
      </w:r>
      <w:r>
        <w:rPr>
          <w:rFonts w:ascii="Consolas" w:hAnsi="Consolas"/>
          <w:color w:val="3C3C3C"/>
          <w:sz w:val="20"/>
        </w:rPr>
        <w:t>evaluate_referral_rule()</w:t>
      </w:r>
      <w:r>
        <w:rPr>
          <w:rFonts w:ascii="Times New Roman" w:hAnsi="Times New Roman"/>
          <w:b w:val="0"/>
          <w:i w:val="0"/>
          <w:color w:val="1E1E1E"/>
          <w:sz w:val="20"/>
        </w:rPr>
        <w:t>), safety checks (</w:t>
      </w:r>
      <w:r>
        <w:rPr>
          <w:rFonts w:ascii="Consolas" w:hAnsi="Consolas"/>
          <w:color w:val="3C3C3C"/>
          <w:sz w:val="20"/>
        </w:rPr>
        <w:t>enforce_safety_envelope()</w:t>
      </w:r>
      <w:r>
        <w:rPr>
          <w:rFonts w:ascii="Times New Roman" w:hAnsi="Times New Roman"/>
          <w:b w:val="0"/>
          <w:i w:val="0"/>
          <w:color w:val="1E1E1E"/>
          <w:sz w:val="20"/>
        </w:rPr>
        <w:t xml:space="preserve">), and dispatches to </w:t>
      </w:r>
      <w:r>
        <w:rPr>
          <w:rFonts w:ascii="Consolas" w:hAnsi="Consolas"/>
          <w:color w:val="3C3C3C"/>
          <w:sz w:val="20"/>
        </w:rPr>
        <w:t>DiagnosticReport</w:t>
      </w:r>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`DiagnosticReport`</w:t>
      </w:r>
      <w:r>
        <w:rPr>
          <w:rFonts w:ascii="Times New Roman" w:hAnsi="Times New Roman"/>
          <w:b w:val="0"/>
          <w:i w:val="0"/>
          <w:color w:val="1E1E1E"/>
          <w:sz w:val="20"/>
        </w:rPr>
        <w:t>: Structures the final clinical output, containing patient ID, predicted grade, confidence, error safety bounds, and recommended action.</w:t>
      </w:r>
    </w:p>
    <w:p>
      <w:pPr>
        <w:keepNext/>
        <w:spacing w:before="280" w:after="80"/>
      </w:pPr>
      <w:r>
        <w:rPr>
          <w:rFonts w:ascii="Times New Roman" w:hAnsi="Times New Roman"/>
          <w:b/>
          <w:color w:val="142850"/>
          <w:sz w:val="23"/>
        </w:rPr>
        <w:t>9. FUTURE WORK AND CONCLUSION</w:t>
      </w:r>
    </w:p>
    <w:p>
      <w:pPr>
        <w:keepNext/>
        <w:spacing w:before="200" w:after="60"/>
      </w:pPr>
      <w:r>
        <w:rPr>
          <w:rFonts w:ascii="Times New Roman" w:hAnsi="Times New Roman"/>
          <w:b/>
          <w:i/>
          <w:color w:val="283246"/>
          <w:sz w:val="21"/>
        </w:rPr>
        <w:t>9.1 Conclusion</w:t>
      </w:r>
    </w:p>
    <w:p>
      <w:pPr>
        <w:spacing w:before="0" w:after="90" w:line="276" w:lineRule="auto"/>
        <w:jc w:val="both"/>
      </w:pPr>
      <w:r>
        <w:rPr>
          <w:rFonts w:ascii="Times New Roman" w:hAnsi="Times New Roman"/>
          <w:b w:val="0"/>
          <w:i w:val="0"/>
          <w:color w:val="1E1E1E"/>
          <w:sz w:val="20"/>
        </w:rPr>
        <w:t>In this study, we addressed the critical vulnerability of nominal multiclass loss in automated Diabetic Retinopathy stage grading. Standard categorical cross-entropy treats diagnostic errors with dangerous symmetry, exposing diabetic screening programs to catastrophic multi-grade triage failures. To solve this limitation, we conducted an empirical benchmark comparing standard softmax classification, rank-consistent ordinal regression (CORAL), continuous scalar regression, conditional ordinal regression (CORN), and an accuracy-optimized 3-seed ensemble across an identical EfficientNet-B0 backbone on the APTOS 2019 benchmark.</w:t>
      </w:r>
    </w:p>
    <w:p>
      <w:pPr>
        <w:spacing w:before="0" w:after="90" w:line="276" w:lineRule="auto"/>
        <w:jc w:val="both"/>
      </w:pPr>
      <w:r>
        <w:rPr>
          <w:rFonts w:ascii="Times New Roman" w:hAnsi="Times New Roman"/>
          <w:b w:val="0"/>
          <w:i w:val="0"/>
          <w:color w:val="1E1E1E"/>
          <w:sz w:val="20"/>
        </w:rPr>
        <w:t>Our empirical findings establish four core conclusions:</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The CORN Breakthrough:</w:t>
      </w:r>
      <w:r>
        <w:rPr>
          <w:rFonts w:ascii="Times New Roman" w:hAnsi="Times New Roman"/>
          <w:b w:val="0"/>
          <w:i w:val="0"/>
          <w:color w:val="1E1E1E"/>
          <w:sz w:val="20"/>
        </w:rPr>
        <w:t xml:space="preserve"> Conditional ordinal regression resolves the breakdown of unweighted CORAL on minority classes. By conditioning binary cumulative probabilities and integrating effective-number class weighting with differentiable Soft-QWK loss, Variant D (CORN) elevated Severe NPDR sensitivity to </w:t>
      </w:r>
      <w:r>
        <w:rPr>
          <w:rFonts w:ascii="Times New Roman" w:hAnsi="Times New Roman"/>
          <w:b/>
          <w:i w:val="0"/>
          <w:color w:val="1E1E1E"/>
          <w:sz w:val="20"/>
        </w:rPr>
        <w:t>65.7%</w:t>
      </w:r>
      <w:r>
        <w:rPr>
          <w:rFonts w:ascii="Times New Roman" w:hAnsi="Times New Roman"/>
          <w:b w:val="0"/>
          <w:i w:val="0"/>
          <w:color w:val="1E1E1E"/>
          <w:sz w:val="20"/>
        </w:rPr>
        <w:t xml:space="preserve"> (95% CI: [48.3%, 82.9%]) and slashed catastrophic triage errors from 26.4% to just </w:t>
      </w:r>
      <w:r>
        <w:rPr>
          <w:rFonts w:ascii="Times New Roman" w:hAnsi="Times New Roman"/>
          <w:b/>
          <w:i w:val="0"/>
          <w:color w:val="1E1E1E"/>
          <w:sz w:val="20"/>
        </w:rPr>
        <w:t>5.1%</w:t>
      </w:r>
      <w:r>
        <w:rPr>
          <w:rFonts w:ascii="Times New Roman" w:hAnsi="Times New Roman"/>
          <w:b w:val="0"/>
          <w:i w:val="0"/>
          <w:color w:val="1E1E1E"/>
          <w:sz w:val="20"/>
        </w:rPr>
        <w:t>. Most significantly, our lightweight model decisively beats published multi-branch networks (such as Shakibania et al. [2], whose 30M parameter model achieved only 36.84% severe recall) with an absolute +28.86% improvement and 82% fewer parameters.</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Distance-Aware Robustness:</w:t>
      </w:r>
      <w:r>
        <w:rPr>
          <w:rFonts w:ascii="Times New Roman" w:hAnsi="Times New Roman"/>
          <w:b w:val="0"/>
          <w:i w:val="0"/>
          <w:color w:val="1E1E1E"/>
          <w:sz w:val="20"/>
        </w:rPr>
        <w:t xml:space="preserve"> Continuous regression with Smooth L1 loss achieved the tightest error distribution, bounding catastrophic multi-grade triage errors (</w:t>
      </w:r>
      <m:oMath>
        <m:r>
          <m:t>d≥2</m:t>
        </m:r>
      </m:oMath>
      <w:r>
        <w:rPr>
          <w:rFonts w:ascii="Times New Roman" w:hAnsi="Times New Roman"/>
          <w:b w:val="0"/>
          <w:i w:val="0"/>
          <w:color w:val="1E1E1E"/>
          <w:sz w:val="20"/>
        </w:rPr>
        <w:t xml:space="preserve">) to just </w:t>
      </w:r>
      <w:r>
        <w:rPr>
          <w:rFonts w:ascii="Times New Roman" w:hAnsi="Times New Roman"/>
          <w:b/>
          <w:i w:val="0"/>
          <w:color w:val="1E1E1E"/>
          <w:sz w:val="20"/>
        </w:rPr>
        <w:t>3.8%</w:t>
      </w:r>
      <w:r>
        <w:rPr>
          <w:rFonts w:ascii="Times New Roman" w:hAnsi="Times New Roman"/>
          <w:b w:val="0"/>
          <w:i w:val="0"/>
          <w:color w:val="1E1E1E"/>
          <w:sz w:val="20"/>
        </w:rPr>
        <w:t xml:space="preserve"> and delivering a QWK of </w:t>
      </w:r>
      <w:r>
        <w:rPr>
          <w:rFonts w:ascii="Times New Roman" w:hAnsi="Times New Roman"/>
          <w:b/>
          <w:i w:val="0"/>
          <w:color w:val="1E1E1E"/>
          <w:sz w:val="20"/>
        </w:rPr>
        <w:t>0.8788</w:t>
      </w:r>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High-Accuracy Confirmatory Pipeline:</w:t>
      </w:r>
      <w:r>
        <w:rPr>
          <w:rFonts w:ascii="Times New Roman" w:hAnsi="Times New Roman"/>
          <w:b w:val="0"/>
          <w:i w:val="0"/>
          <w:color w:val="1E1E1E"/>
          <w:sz w:val="20"/>
        </w:rPr>
        <w:t xml:space="preserve"> Multi-seed ensembling with label smoothing and test-time augmentation achieved a project-high raw classification accuracy of </w:t>
      </w:r>
      <w:r>
        <w:rPr>
          <w:rFonts w:ascii="Times New Roman" w:hAnsi="Times New Roman"/>
          <w:b/>
          <w:i w:val="0"/>
          <w:color w:val="1E1E1E"/>
          <w:sz w:val="20"/>
        </w:rPr>
        <w:t>83.82%</w:t>
      </w:r>
      <w:r>
        <w:rPr>
          <w:rFonts w:ascii="Times New Roman" w:hAnsi="Times New Roman"/>
          <w:b w:val="0"/>
          <w:i w:val="0"/>
          <w:color w:val="1E1E1E"/>
          <w:sz w:val="20"/>
        </w:rPr>
        <w:t xml:space="preserve"> (95% CI: [80.73%, 86.73%]), QWK of </w:t>
      </w:r>
      <w:r>
        <w:rPr>
          <w:rFonts w:ascii="Times New Roman" w:hAnsi="Times New Roman"/>
          <w:b/>
          <w:i w:val="0"/>
          <w:color w:val="1E1E1E"/>
          <w:sz w:val="20"/>
        </w:rPr>
        <w:t>0.8859</w:t>
      </w:r>
      <w:r>
        <w:rPr>
          <w:rFonts w:ascii="Times New Roman" w:hAnsi="Times New Roman"/>
          <w:b w:val="0"/>
          <w:i w:val="0"/>
          <w:color w:val="1E1E1E"/>
          <w:sz w:val="20"/>
        </w:rPr>
        <w:t xml:space="preserve">, and MAE of </w:t>
      </w:r>
      <w:r>
        <w:rPr>
          <w:rFonts w:ascii="Times New Roman" w:hAnsi="Times New Roman"/>
          <w:b/>
          <w:i w:val="0"/>
          <w:color w:val="1E1E1E"/>
          <w:sz w:val="20"/>
        </w:rPr>
        <w:t>0.2200</w:t>
      </w:r>
      <w:r>
        <w:rPr>
          <w:rFonts w:ascii="Times New Roman" w:hAnsi="Times New Roman"/>
          <w:b w:val="0"/>
          <w:i w:val="0"/>
          <w:color w:val="1E1E1E"/>
          <w:sz w:val="20"/>
        </w:rPr>
        <w:t xml:space="preserve">, with post-hoc logit adjustment reaching a peak study QWK of </w:t>
      </w:r>
      <w:r>
        <w:rPr>
          <w:rFonts w:ascii="Times New Roman" w:hAnsi="Times New Roman"/>
          <w:b/>
          <w:i w:val="0"/>
          <w:color w:val="1E1E1E"/>
          <w:sz w:val="20"/>
        </w:rPr>
        <w:t>0.8929</w:t>
      </w:r>
      <w:r>
        <w:rPr>
          <w:rFonts w:ascii="Times New Roman" w:hAnsi="Times New Roman"/>
          <w:b w:val="0"/>
          <w:i w:val="0"/>
          <w:color w:val="1E1E1E"/>
          <w:sz w:val="20"/>
        </w:rPr>
        <w:t xml:space="preserve"> at </w:t>
      </w:r>
      <m:oMath>
        <m:r>
          <m:t>τ=0.5</m:t>
        </m:r>
      </m:oMath>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4. </w:t>
      </w:r>
      <w:r>
        <w:rPr>
          <w:rFonts w:ascii="Times New Roman" w:hAnsi="Times New Roman"/>
          <w:b/>
          <w:i w:val="0"/>
          <w:color w:val="1E1E1E"/>
          <w:sz w:val="20"/>
        </w:rPr>
        <w:t>Hardware and Deployment Efficiency:</w:t>
      </w:r>
      <w:r>
        <w:rPr>
          <w:rFonts w:ascii="Times New Roman" w:hAnsi="Times New Roman"/>
          <w:b w:val="0"/>
          <w:i w:val="0"/>
          <w:color w:val="1E1E1E"/>
          <w:sz w:val="20"/>
        </w:rPr>
        <w:t xml:space="preserve"> By prioritizing mathematical loss formulation over parameter bloat, all models were trained safely within 540 MiB of VRAM on a mobile NVIDIA GeForce RTX 5050 GPU, proving that clinical-grade performance is attainable on cost-effective, portable hardware.</w:t>
      </w:r>
    </w:p>
    <w:p>
      <w:pPr>
        <w:keepNext/>
        <w:spacing w:before="200" w:after="60"/>
      </w:pPr>
      <w:r>
        <w:rPr>
          <w:rFonts w:ascii="Times New Roman" w:hAnsi="Times New Roman"/>
          <w:b/>
          <w:i/>
          <w:color w:val="283246"/>
          <w:sz w:val="21"/>
        </w:rPr>
        <w:t>9.2 Future Work</w:t>
      </w:r>
    </w:p>
    <w:p>
      <w:pPr>
        <w:spacing w:before="0" w:after="90" w:line="276" w:lineRule="auto"/>
        <w:jc w:val="both"/>
      </w:pPr>
      <w:r>
        <w:rPr>
          <w:rFonts w:ascii="Times New Roman" w:hAnsi="Times New Roman"/>
          <w:b w:val="0"/>
          <w:i w:val="0"/>
          <w:color w:val="1E1E1E"/>
          <w:sz w:val="20"/>
        </w:rPr>
        <w:t>Building upon these findings, future research will explore the following directions:</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Multimodal Vision-Language Explanations:</w:t>
      </w:r>
      <w:r>
        <w:rPr>
          <w:rFonts w:ascii="Times New Roman" w:hAnsi="Times New Roman"/>
          <w:b w:val="0"/>
          <w:i w:val="0"/>
          <w:color w:val="1E1E1E"/>
          <w:sz w:val="20"/>
        </w:rPr>
        <w:t xml:space="preserve"> Integrate our conditional ordinal backbone with lightweight vision-language models (e.g., BiomedCLIP) to generate clinician-facing natural language rationales alongside calibrated stage predictions.</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Multi-Center Clinical Validation:</w:t>
      </w:r>
      <w:r>
        <w:rPr>
          <w:rFonts w:ascii="Times New Roman" w:hAnsi="Times New Roman"/>
          <w:b w:val="0"/>
          <w:i w:val="0"/>
          <w:color w:val="1E1E1E"/>
          <w:sz w:val="20"/>
        </w:rPr>
        <w:t xml:space="preserve"> Evaluate cross-cohort generalization across international datasets (Messidor-2, DDR, EyePACS) to test resilience across diverse demographic populations and camera hardware.</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Edge Deployment on Handheld Fundus Cameras:</w:t>
      </w:r>
      <w:r>
        <w:rPr>
          <w:rFonts w:ascii="Times New Roman" w:hAnsi="Times New Roman"/>
          <w:b w:val="0"/>
          <w:i w:val="0"/>
          <w:color w:val="1E1E1E"/>
          <w:sz w:val="20"/>
        </w:rPr>
        <w:t xml:space="preserve"> Quantize the EfficientNet-B0 CORN model to INT8 precision using TensorRT for embedded execution on portable, battery-powered fundus cameras for rural screening camps.</w:t>
      </w:r>
    </w:p>
    <w:p>
      <w:pPr>
        <w:keepNext/>
        <w:spacing w:before="280" w:after="80"/>
      </w:pPr>
      <w:r>
        <w:rPr>
          <w:rFonts w:ascii="Times New Roman" w:hAnsi="Times New Roman"/>
          <w:b/>
          <w:color w:val="142850"/>
          <w:sz w:val="23"/>
        </w:rPr>
        <w:t>10. REFERENCES</w:t>
      </w:r>
    </w:p>
    <w:p>
      <w:pPr>
        <w:spacing w:before="40" w:after="60" w:line="276" w:lineRule="auto"/>
        <w:ind w:left="432" w:hanging="432"/>
        <w:jc w:val="both"/>
      </w:pPr>
      <w:r>
        <w:rPr>
          <w:rFonts w:ascii="Times New Roman" w:hAnsi="Times New Roman"/>
          <w:b/>
          <w:sz w:val="19"/>
        </w:rPr>
        <w:t>[1]</w:t>
        <w:tab/>
      </w:r>
      <w:r>
        <w:rPr>
          <w:rFonts w:ascii="Times New Roman" w:hAnsi="Times New Roman"/>
          <w:b w:val="0"/>
          <w:i w:val="0"/>
          <w:color w:val="1E1E1E"/>
          <w:sz w:val="19"/>
        </w:rPr>
        <w:t>N. E. M. Khalifa, M. H. N. Taha, A. E. Hassanien, and I. M. Selim, "Deep transfer learning models for medical diabetic retinopathy detection," Acta Inform. Med., vol. 27, no. 5, pp. 327–331, Dec. 2019, doi: 10.5455/aim.2019.27.327-331.</w:t>
      </w:r>
    </w:p>
    <w:p>
      <w:pPr>
        <w:spacing w:before="40" w:after="60" w:line="276" w:lineRule="auto"/>
        <w:ind w:left="432" w:hanging="432"/>
        <w:jc w:val="both"/>
      </w:pPr>
      <w:r>
        <w:rPr>
          <w:rFonts w:ascii="Times New Roman" w:hAnsi="Times New Roman"/>
          <w:b/>
          <w:sz w:val="19"/>
        </w:rPr>
        <w:t>[2]</w:t>
        <w:tab/>
      </w:r>
      <w:r>
        <w:rPr>
          <w:rFonts w:ascii="Times New Roman" w:hAnsi="Times New Roman"/>
          <w:b w:val="0"/>
          <w:i w:val="0"/>
          <w:color w:val="1E1E1E"/>
          <w:sz w:val="19"/>
        </w:rPr>
        <w:t>N. Shakibania, S. Khosravi, H. Danyali, and M. S. Helfroush, "Dual branch deep learning network for detection and stage grading of diabetic retinopathy," arXiv preprint arXiv:2308.09945, Aug. 2023.</w:t>
      </w:r>
    </w:p>
    <w:p>
      <w:pPr>
        <w:spacing w:before="40" w:after="60" w:line="276" w:lineRule="auto"/>
        <w:ind w:left="432" w:hanging="432"/>
        <w:jc w:val="both"/>
      </w:pPr>
      <w:r>
        <w:rPr>
          <w:rFonts w:ascii="Times New Roman" w:hAnsi="Times New Roman"/>
          <w:b/>
          <w:sz w:val="19"/>
        </w:rPr>
        <w:t>[3]</w:t>
        <w:tab/>
      </w:r>
      <w:r>
        <w:rPr>
          <w:rFonts w:ascii="Times New Roman" w:hAnsi="Times New Roman"/>
          <w:b w:val="0"/>
          <w:i w:val="0"/>
          <w:color w:val="1E1E1E"/>
          <w:sz w:val="19"/>
        </w:rPr>
        <w:t>B. Tymchenko, P. Marchenko, and D. Spodarets, "Deep learning approach to diabetic retinopathy detection," arXiv preprint arXiv:2003.02261, Mar. 2020.</w:t>
      </w:r>
    </w:p>
    <w:p>
      <w:pPr>
        <w:spacing w:before="40" w:after="60" w:line="276" w:lineRule="auto"/>
        <w:ind w:left="432" w:hanging="432"/>
        <w:jc w:val="both"/>
      </w:pPr>
      <w:r>
        <w:rPr>
          <w:rFonts w:ascii="Times New Roman" w:hAnsi="Times New Roman"/>
          <w:b/>
          <w:sz w:val="19"/>
        </w:rPr>
        <w:t>[4]</w:t>
        <w:tab/>
      </w:r>
      <w:r>
        <w:rPr>
          <w:rFonts w:ascii="Times New Roman" w:hAnsi="Times New Roman"/>
          <w:b w:val="0"/>
          <w:i w:val="0"/>
          <w:color w:val="1E1E1E"/>
          <w:sz w:val="19"/>
        </w:rPr>
        <w:t>M. A. Mardianta, A. Arifianto, and C. Fatichah, "Diabetic retinopathy detection based on convolutional neural networks with SMOTE and CLAHE techniques applied to fundus images," arXiv preprint arXiv:2504.05696, Apr. 2025.</w:t>
      </w:r>
    </w:p>
    <w:p>
      <w:pPr>
        <w:spacing w:before="40" w:after="60" w:line="276" w:lineRule="auto"/>
        <w:ind w:left="432" w:hanging="432"/>
        <w:jc w:val="both"/>
      </w:pPr>
      <w:r>
        <w:rPr>
          <w:rFonts w:ascii="Times New Roman" w:hAnsi="Times New Roman"/>
          <w:b/>
          <w:sz w:val="19"/>
        </w:rPr>
        <w:t>[5]</w:t>
        <w:tab/>
      </w:r>
      <w:r>
        <w:rPr>
          <w:rFonts w:ascii="Times New Roman" w:hAnsi="Times New Roman"/>
          <w:b w:val="0"/>
          <w:i w:val="0"/>
          <w:color w:val="1E1E1E"/>
          <w:sz w:val="19"/>
        </w:rPr>
        <w:t>R. Karthik, R. Pandiyaraju, and T. Mynampati, "Explainable AI for diabetic retinopathy detection using deep learning with attention mechanisms and fuzzy logic-based interpretability," arXiv preprint arXiv:2511.16294, Nov. 2025.</w:t>
      </w:r>
    </w:p>
    <w:p>
      <w:pPr>
        <w:spacing w:before="40" w:after="60" w:line="276" w:lineRule="auto"/>
        <w:ind w:left="432" w:hanging="432"/>
        <w:jc w:val="both"/>
      </w:pPr>
      <w:r>
        <w:rPr>
          <w:rFonts w:ascii="Times New Roman" w:hAnsi="Times New Roman"/>
          <w:b/>
          <w:sz w:val="19"/>
        </w:rPr>
        <w:t>[6]</w:t>
        <w:tab/>
      </w:r>
      <w:r>
        <w:rPr>
          <w:rFonts w:ascii="Times New Roman" w:hAnsi="Times New Roman"/>
          <w:b w:val="0"/>
          <w:i w:val="0"/>
          <w:color w:val="1E1E1E"/>
          <w:sz w:val="19"/>
        </w:rPr>
        <w:t>S. Khokhar, M. A. A. Baig, M. U. G. Khan, and H. A. Al-Nawaiseh, "From pixels to explanations: Interpretable diabetic retinopathy grading with CNN-Transformer ensembles, visual explainability and vision-language models," arXiv preprint arXiv:2604.23079, Apr. 2026.</w:t>
      </w:r>
    </w:p>
    <w:p>
      <w:pPr>
        <w:spacing w:before="40" w:after="60" w:line="276" w:lineRule="auto"/>
        <w:ind w:left="432" w:hanging="432"/>
        <w:jc w:val="both"/>
      </w:pPr>
      <w:r>
        <w:rPr>
          <w:rFonts w:ascii="Times New Roman" w:hAnsi="Times New Roman"/>
          <w:b/>
          <w:sz w:val="19"/>
        </w:rPr>
        <w:t>[7]</w:t>
        <w:tab/>
      </w:r>
      <w:r>
        <w:rPr>
          <w:rFonts w:ascii="Times New Roman" w:hAnsi="Times New Roman"/>
          <w:b w:val="0"/>
          <w:i w:val="0"/>
          <w:color w:val="1E1E1E"/>
          <w:sz w:val="19"/>
        </w:rPr>
        <w:t>V. Manoj and S. Bhosale, "Detection and classification of diabetic retinopathy using deep learning algorithms for segmentation to facilitate referral recommendation," arXiv preprint arXiv:2401.02759, Jan. 2024.</w:t>
      </w:r>
    </w:p>
    <w:p>
      <w:pPr>
        <w:spacing w:before="40" w:after="60" w:line="276" w:lineRule="auto"/>
        <w:ind w:left="432" w:hanging="432"/>
        <w:jc w:val="both"/>
      </w:pPr>
      <w:r>
        <w:rPr>
          <w:rFonts w:ascii="Times New Roman" w:hAnsi="Times New Roman"/>
          <w:b/>
          <w:sz w:val="19"/>
        </w:rPr>
        <w:t>[8]</w:t>
        <w:tab/>
      </w:r>
      <w:r>
        <w:rPr>
          <w:rFonts w:ascii="Times New Roman" w:hAnsi="Times New Roman"/>
          <w:b w:val="0"/>
          <w:i w:val="0"/>
          <w:color w:val="1E1E1E"/>
          <w:sz w:val="19"/>
        </w:rPr>
        <w:t>W. Cao, V. Mirjalili, and S. Raschka, "Rank consistent ordinal regression for neural networks with application to age estimation," Pattern Recognition Letters, vol. 140, pp. 325–331, Dec. 2020.</w:t>
      </w:r>
    </w:p>
    <w:p>
      <w:pPr>
        <w:spacing w:before="40" w:after="60" w:line="276" w:lineRule="auto"/>
        <w:ind w:left="432" w:hanging="432"/>
        <w:jc w:val="both"/>
      </w:pPr>
      <w:r>
        <w:rPr>
          <w:rFonts w:ascii="Times New Roman" w:hAnsi="Times New Roman"/>
          <w:b/>
          <w:sz w:val="19"/>
        </w:rPr>
        <w:t>[9]</w:t>
        <w:tab/>
      </w:r>
      <w:r>
        <w:rPr>
          <w:rFonts w:ascii="Times New Roman" w:hAnsi="Times New Roman"/>
          <w:b w:val="0"/>
          <w:i w:val="0"/>
          <w:color w:val="1E1E1E"/>
          <w:sz w:val="19"/>
        </w:rPr>
        <w:t>J. Cohen, "A coefficient of agreement for nominal scales," Educational and Psychological Measurement, vol. 20, no. 1, pp. 37–46, 1960.</w:t>
      </w:r>
    </w:p>
    <w:p>
      <w:pPr>
        <w:spacing w:before="40" w:after="60" w:line="276" w:lineRule="auto"/>
        <w:ind w:left="432" w:hanging="432"/>
        <w:jc w:val="both"/>
      </w:pPr>
      <w:r>
        <w:rPr>
          <w:rFonts w:ascii="Times New Roman" w:hAnsi="Times New Roman"/>
          <w:b/>
          <w:sz w:val="19"/>
        </w:rPr>
        <w:t>[10]</w:t>
        <w:tab/>
      </w:r>
      <w:r>
        <w:rPr>
          <w:rFonts w:ascii="Times New Roman" w:hAnsi="Times New Roman"/>
          <w:b w:val="0"/>
          <w:i w:val="0"/>
          <w:color w:val="1E1E1E"/>
          <w:sz w:val="19"/>
        </w:rPr>
        <w:t>C. P. Wilkinson, F. L. Ferris, R. E. Klein, P. P. Lee, C. D. Agardh, M. Davis, D. Dills, A. Kampik, R. Pararajasegaram, and J. T. Verdaguer, "Proposed international clinical diabetic retinopathy and diabetic macular edema disease severity scales," Ophthalmology, vol. 110, no. 9, pp. 1677–1682, Sep. 2003.</w:t>
      </w:r>
    </w:p>
    <w:p>
      <w:pPr>
        <w:spacing w:before="40" w:after="60" w:line="276" w:lineRule="auto"/>
        <w:ind w:left="432" w:hanging="432"/>
        <w:jc w:val="both"/>
      </w:pPr>
      <w:r>
        <w:rPr>
          <w:rFonts w:ascii="Times New Roman" w:hAnsi="Times New Roman"/>
          <w:b/>
          <w:sz w:val="19"/>
        </w:rPr>
        <w:t>[11]</w:t>
        <w:tab/>
      </w:r>
      <w:r>
        <w:rPr>
          <w:rFonts w:ascii="Times New Roman" w:hAnsi="Times New Roman"/>
          <w:b w:val="0"/>
          <w:i w:val="0"/>
          <w:color w:val="1E1E1E"/>
          <w:sz w:val="19"/>
        </w:rPr>
        <w:t>K. He, X. Zhang, S. Ren, and J. Sun, "Deep residual learning for image recognition," in Proc. IEEE Conf. Comput. Vis. Pattern Recognit. (CVPR), 2016, pp. 770–778.</w:t>
      </w:r>
    </w:p>
    <w:p>
      <w:pPr>
        <w:spacing w:before="40" w:after="60" w:line="276" w:lineRule="auto"/>
        <w:ind w:left="432" w:hanging="432"/>
        <w:jc w:val="both"/>
      </w:pPr>
      <w:r>
        <w:rPr>
          <w:rFonts w:ascii="Times New Roman" w:hAnsi="Times New Roman"/>
          <w:b/>
          <w:sz w:val="19"/>
        </w:rPr>
        <w:t>[12]</w:t>
        <w:tab/>
      </w:r>
      <w:r>
        <w:rPr>
          <w:rFonts w:ascii="Times New Roman" w:hAnsi="Times New Roman"/>
          <w:b w:val="0"/>
          <w:i w:val="0"/>
          <w:color w:val="1E1E1E"/>
          <w:sz w:val="19"/>
        </w:rPr>
        <w:t>APTOS 2019 Blindness Detection, Kaggle Competition Dataset, Asia Pacific Tele-Ophthalmology Society, 2019. [Online]. Available: https://www.kaggle.com/c/aptos2019-blindness-detection</w:t>
      </w:r>
    </w:p>
    <w:p>
      <w:pPr>
        <w:spacing w:before="40" w:after="60" w:line="276" w:lineRule="auto"/>
        <w:ind w:left="432" w:hanging="432"/>
        <w:jc w:val="both"/>
      </w:pPr>
      <w:r>
        <w:rPr>
          <w:rFonts w:ascii="Times New Roman" w:hAnsi="Times New Roman"/>
          <w:b/>
          <w:sz w:val="19"/>
        </w:rPr>
        <w:t>[13]</w:t>
        <w:tab/>
      </w:r>
      <w:r>
        <w:rPr>
          <w:rFonts w:ascii="Times New Roman" w:hAnsi="Times New Roman"/>
          <w:b w:val="0"/>
          <w:i w:val="0"/>
          <w:color w:val="1E1E1E"/>
          <w:sz w:val="19"/>
        </w:rPr>
        <w:t>X. Shi, W. Cao, and S. Raschka, "Deep neural networks for rank-consistent ordinal regression based on conditional probabilities," Pattern Recognition Letters, vol. 152, pp. 110–116, 2021.</w:t>
      </w:r>
    </w:p>
    <w:p>
      <w:pPr>
        <w:spacing w:before="40" w:after="60" w:line="276" w:lineRule="auto"/>
        <w:ind w:left="432" w:hanging="432"/>
        <w:jc w:val="both"/>
      </w:pPr>
      <w:r>
        <w:rPr>
          <w:rFonts w:ascii="Times New Roman" w:hAnsi="Times New Roman"/>
          <w:b/>
          <w:sz w:val="19"/>
        </w:rPr>
        <w:t>[14]</w:t>
        <w:tab/>
      </w:r>
      <w:r>
        <w:rPr>
          <w:rFonts w:ascii="Times New Roman" w:hAnsi="Times New Roman"/>
          <w:b w:val="0"/>
          <w:i w:val="0"/>
          <w:color w:val="1E1E1E"/>
          <w:sz w:val="19"/>
        </w:rPr>
        <w:t>Y. Cui, M. Jia, T.-Y. Lin, Y. Song, and S. Belongie, "Class-balanced loss based on effective number of samples," in Proc. IEEE Conf. Comput. Vis. Pattern Recognit. (CVPR), 2019, pp. 9268–9277.</w:t>
      </w:r>
    </w:p>
    <w:p>
      <w:pPr>
        <w:spacing w:before="40" w:after="60" w:line="276" w:lineRule="auto"/>
        <w:ind w:left="432" w:hanging="432"/>
        <w:jc w:val="both"/>
      </w:pPr>
      <w:r>
        <w:rPr>
          <w:rFonts w:ascii="Times New Roman" w:hAnsi="Times New Roman"/>
          <w:b/>
          <w:sz w:val="19"/>
        </w:rPr>
        <w:t>[15]</w:t>
        <w:tab/>
      </w:r>
      <w:r>
        <w:rPr>
          <w:rFonts w:ascii="Times New Roman" w:hAnsi="Times New Roman"/>
          <w:b w:val="0"/>
          <w:i w:val="0"/>
          <w:color w:val="1E1E1E"/>
          <w:sz w:val="19"/>
        </w:rPr>
        <w:t>A. K. Menon, S. Jayasumana, A. S. Rawat, H. Jain, A. Veit, and S. Kumar, "Long-tail learning via logit adjustment," in Proc. Int. Conf. Learn. Represent. (ICLR), 2021.</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