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jc w:val="center"/>
      </w:pPr>
      <w:r>
        <w:rPr>
          <w:rFonts w:ascii="Calibri" w:cs="Calibri" w:eastAsia="Calibri" w:hAnsi="Calibri"/>
          <w:b/>
          <w:bCs/>
          <w:sz w:val="30"/>
          <w:szCs w:val="30"/>
        </w:rPr>
        <w:t xml:space="preserve">EXPERIMENT NO. 9</w:t>
      </w:r>
    </w:p>
    <w:p>
      <w:pPr>
        <w:spacing w:after="300"/>
        <w:jc w:val="center"/>
      </w:pPr>
      <w:r>
        <w:rPr>
          <w:rFonts w:ascii="Calibri" w:cs="Calibri" w:eastAsia="Calibri" w:hAnsi="Calibri"/>
          <w:b/>
          <w:bCs/>
          <w:sz w:val="24"/>
          <w:szCs w:val="24"/>
        </w:rPr>
        <w:t xml:space="preserve">Compute Cohesion and Coupling for the Project</w:t>
      </w:r>
    </w:p>
    <w:p>
      <w:pPr>
        <w:spacing w:after="400"/>
        <w:jc w:val="center"/>
      </w:pPr>
      <w:r>
        <w:rPr>
          <w:rFonts w:ascii="Calibri" w:cs="Calibri" w:eastAsia="Calibri" w:hAnsi="Calibri"/>
          <w:sz w:val="22"/>
          <w:szCs w:val="22"/>
        </w:rPr>
        <w:t xml:space="preserve">Project: Hospital Management System (HMS)</w:t>
      </w:r>
    </w:p>
    <w:p>
      <w:pPr>
        <w:pStyle w:val="Heading2"/>
        <w:spacing w:after="110" w:before="200"/>
      </w:pPr>
      <w:r>
        <w:rPr>
          <w:rFonts w:ascii="Calibri" w:cs="Calibri" w:eastAsia="Calibri" w:hAnsi="Calibri"/>
          <w:b/>
          <w:bCs/>
          <w:sz w:val="23"/>
          <w:szCs w:val="23"/>
        </w:rPr>
        <w:t xml:space="preserve">1. Aim</w:t>
      </w:r>
    </w:p>
    <w:p>
      <w:pPr>
        <w:spacing w:after="150" w:line="276"/>
      </w:pPr>
      <w:r>
        <w:rPr>
          <w:rFonts w:ascii="Calibri" w:cs="Calibri" w:eastAsia="Calibri" w:hAnsi="Calibri"/>
          <w:sz w:val="22"/>
          <w:szCs w:val="22"/>
        </w:rPr>
        <w:t xml:space="preserve">To identify the cohesion type of each major module and to compute the coupling value between selected module pairs of the Hospital Management System (HMS).</w:t>
      </w:r>
    </w:p>
    <w:p>
      <w:pPr>
        <w:pStyle w:val="Heading2"/>
        <w:spacing w:after="110" w:before="200"/>
      </w:pPr>
      <w:r>
        <w:rPr>
          <w:rFonts w:ascii="Calibri" w:cs="Calibri" w:eastAsia="Calibri" w:hAnsi="Calibri"/>
          <w:b/>
          <w:bCs/>
          <w:sz w:val="23"/>
          <w:szCs w:val="23"/>
        </w:rPr>
        <w:t xml:space="preserve">2. Objectives</w:t>
      </w:r>
    </w:p>
    <w:p>
      <w:pPr>
        <w:pStyle w:val="ListParagraph"/>
        <w:numPr>
          <w:ilvl w:val="0"/>
          <w:numId w:val="1"/>
        </w:numPr>
        <w:spacing w:after="90"/>
      </w:pPr>
      <w:r>
        <w:rPr>
          <w:rFonts w:ascii="Calibri" w:cs="Calibri" w:eastAsia="Calibri" w:hAnsi="Calibri"/>
          <w:sz w:val="22"/>
          <w:szCs w:val="22"/>
        </w:rPr>
        <w:t xml:space="preserve">To analyze software design quality using the factors of Cohesion and Coupling.</w:t>
      </w:r>
    </w:p>
    <w:p>
      <w:pPr>
        <w:pStyle w:val="ListParagraph"/>
        <w:numPr>
          <w:ilvl w:val="0"/>
          <w:numId w:val="1"/>
        </w:numPr>
        <w:spacing w:after="90"/>
      </w:pPr>
      <w:r>
        <w:rPr>
          <w:rFonts w:ascii="Calibri" w:cs="Calibri" w:eastAsia="Calibri" w:hAnsi="Calibri"/>
          <w:sz w:val="22"/>
          <w:szCs w:val="22"/>
        </w:rPr>
        <w:t xml:space="preserve">To classify each HMS module by its cohesion type and justify the classification.</w:t>
      </w:r>
    </w:p>
    <w:p>
      <w:pPr>
        <w:pStyle w:val="ListParagraph"/>
        <w:numPr>
          <w:ilvl w:val="0"/>
          <w:numId w:val="1"/>
        </w:numPr>
        <w:spacing w:after="90"/>
      </w:pPr>
      <w:r>
        <w:rPr>
          <w:rFonts w:ascii="Calibri" w:cs="Calibri" w:eastAsia="Calibri" w:hAnsi="Calibri"/>
          <w:sz w:val="22"/>
          <w:szCs w:val="22"/>
        </w:rPr>
        <w:t xml:space="preserve">To compute a quantitative coupling value for selected module interactions.</w:t>
      </w:r>
    </w:p>
    <w:p>
      <w:pPr>
        <w:pStyle w:val="Heading2"/>
        <w:spacing w:after="110" w:before="200"/>
      </w:pPr>
      <w:r>
        <w:rPr>
          <w:rFonts w:ascii="Calibri" w:cs="Calibri" w:eastAsia="Calibri" w:hAnsi="Calibri"/>
          <w:b/>
          <w:bCs/>
          <w:sz w:val="23"/>
          <w:szCs w:val="23"/>
        </w:rPr>
        <w:t xml:space="preserve">3. Software Required</w:t>
      </w:r>
    </w:p>
    <w:p>
      <w:pPr>
        <w:spacing w:after="150" w:line="276"/>
      </w:pPr>
      <w:r>
        <w:rPr>
          <w:rFonts w:ascii="Calibri" w:cs="Calibri" w:eastAsia="Calibri" w:hAnsi="Calibri"/>
          <w:sz w:val="22"/>
          <w:szCs w:val="22"/>
        </w:rPr>
        <w:t xml:space="preserve">Any text editor / open source tool.</w:t>
      </w:r>
    </w:p>
    <w:p>
      <w:pPr>
        <w:pStyle w:val="Heading2"/>
        <w:spacing w:after="110" w:before="200"/>
      </w:pPr>
      <w:r>
        <w:rPr>
          <w:rFonts w:ascii="Calibri" w:cs="Calibri" w:eastAsia="Calibri" w:hAnsi="Calibri"/>
          <w:b/>
          <w:bCs/>
          <w:sz w:val="23"/>
          <w:szCs w:val="23"/>
        </w:rPr>
        <w:t xml:space="preserve">4. Cohesion Analysis</w:t>
      </w:r>
    </w:p>
    <w:p>
      <w:pPr>
        <w:spacing w:after="150" w:line="276"/>
      </w:pPr>
      <w:r>
        <w:rPr>
          <w:rFonts w:ascii="Calibri" w:cs="Calibri" w:eastAsia="Calibri" w:hAnsi="Calibri"/>
          <w:sz w:val="22"/>
          <w:szCs w:val="22"/>
        </w:rPr>
        <w:t xml:space="preserve">Cohesion refers to how closely the responsibilities within a single module are related. High cohesion (Functional, Sequential) is desirable; lower cohesion (Logical, Temporal, Coincidental) indicates a module that could be refactored.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700"/>
        <w:gridCol w:w="2500"/>
      </w:tblGrid>
      <w:tr>
        <w:trPr>
          <w:tblHeader/>
        </w:trPr>
        <w:tc>
          <w:tcPr>
            <w:tcW w:type="dxa" w:w="2200"/>
            <w:tcBorders>
              <w:top w:val="single" w:color="999999" w:sz="4"/>
              <w:left w:val="single" w:color="999999" w:sz="4"/>
              <w:bottom w:val="single" w:color="999999" w:sz="4"/>
              <w:right w:val="single" w:color="999999" w:sz="4"/>
            </w:tcBorders>
            <w:shd w:fill="D9D9D9" w:color="auto" w:val="clear"/>
            <w:tcMar>
              <w:top w:type="dxa" w:w="70"/>
              <w:left w:type="dxa" w:w="90"/>
              <w:bottom w:type="dxa" w:w="70"/>
              <w:right w:type="dxa" w:w="90"/>
            </w:tcMar>
            <w:vAlign w:val="center"/>
          </w:tcPr>
          <w:p>
            <w:r>
              <w:rPr>
                <w:rFonts w:ascii="Calibri" w:cs="Calibri" w:eastAsia="Calibri" w:hAnsi="Calibri"/>
                <w:b/>
                <w:bCs/>
                <w:sz w:val="18"/>
                <w:szCs w:val="18"/>
              </w:rPr>
              <w:t xml:space="preserve">Module</w:t>
            </w:r>
          </w:p>
        </w:tc>
        <w:tc>
          <w:tcPr>
            <w:tcW w:type="dxa" w:w="3200"/>
            <w:tcBorders>
              <w:top w:val="single" w:color="999999" w:sz="4"/>
              <w:left w:val="single" w:color="999999" w:sz="4"/>
              <w:bottom w:val="single" w:color="999999" w:sz="4"/>
              <w:right w:val="single" w:color="999999" w:sz="4"/>
            </w:tcBorders>
            <w:shd w:fill="D9D9D9" w:color="auto" w:val="clear"/>
            <w:tcMar>
              <w:top w:type="dxa" w:w="70"/>
              <w:left w:type="dxa" w:w="90"/>
              <w:bottom w:type="dxa" w:w="70"/>
              <w:right w:type="dxa" w:w="90"/>
            </w:tcMar>
            <w:vAlign w:val="center"/>
          </w:tcPr>
          <w:p>
            <w:r>
              <w:rPr>
                <w:rFonts w:ascii="Calibri" w:cs="Calibri" w:eastAsia="Calibri" w:hAnsi="Calibri"/>
                <w:b/>
                <w:bCs/>
                <w:sz w:val="18"/>
                <w:szCs w:val="18"/>
              </w:rPr>
              <w:t xml:space="preserve">Description</w:t>
            </w:r>
          </w:p>
        </w:tc>
        <w:tc>
          <w:tcPr>
            <w:tcW w:type="dxa" w:w="1700"/>
            <w:tcBorders>
              <w:top w:val="single" w:color="999999" w:sz="4"/>
              <w:left w:val="single" w:color="999999" w:sz="4"/>
              <w:bottom w:val="single" w:color="999999" w:sz="4"/>
              <w:right w:val="single" w:color="999999" w:sz="4"/>
            </w:tcBorders>
            <w:shd w:fill="D9D9D9" w:color="auto" w:val="clear"/>
            <w:tcMar>
              <w:top w:type="dxa" w:w="70"/>
              <w:left w:type="dxa" w:w="90"/>
              <w:bottom w:type="dxa" w:w="70"/>
              <w:right w:type="dxa" w:w="90"/>
            </w:tcMar>
            <w:vAlign w:val="center"/>
          </w:tcPr>
          <w:p>
            <w:r>
              <w:rPr>
                <w:rFonts w:ascii="Calibri" w:cs="Calibri" w:eastAsia="Calibri" w:hAnsi="Calibri"/>
                <w:b/>
                <w:bCs/>
                <w:sz w:val="18"/>
                <w:szCs w:val="18"/>
              </w:rPr>
              <w:t xml:space="preserve">Cohesion Type</w:t>
            </w:r>
          </w:p>
        </w:tc>
        <w:tc>
          <w:tcPr>
            <w:tcW w:type="dxa" w:w="2500"/>
            <w:tcBorders>
              <w:top w:val="single" w:color="999999" w:sz="4"/>
              <w:left w:val="single" w:color="999999" w:sz="4"/>
              <w:bottom w:val="single" w:color="999999" w:sz="4"/>
              <w:right w:val="single" w:color="999999" w:sz="4"/>
            </w:tcBorders>
            <w:shd w:fill="D9D9D9" w:color="auto" w:val="clear"/>
            <w:tcMar>
              <w:top w:type="dxa" w:w="70"/>
              <w:left w:type="dxa" w:w="90"/>
              <w:bottom w:type="dxa" w:w="70"/>
              <w:right w:type="dxa" w:w="90"/>
            </w:tcMar>
            <w:vAlign w:val="center"/>
          </w:tcPr>
          <w:p>
            <w:r>
              <w:rPr>
                <w:rFonts w:ascii="Calibri" w:cs="Calibri" w:eastAsia="Calibri" w:hAnsi="Calibri"/>
                <w:b/>
                <w:bCs/>
                <w:sz w:val="18"/>
                <w:szCs w:val="18"/>
              </w:rPr>
              <w:t xml:space="preserve">Justification</w:t>
            </w:r>
          </w:p>
        </w:tc>
      </w:tr>
      <w:t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Patient Registration Module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Performs a single well-defined task: capturing patient details and generating a Patient ID.</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Functional</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High cohesion - all statements contribute to one function.</w:t>
            </w:r>
          </w:p>
        </w:tc>
      </w:tr>
      <w:t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Appointment Scheduling Module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Dedicated solely to checking availability and booking/confirming appointments.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Functional</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High cohesion - single clear purpose.</w:t>
            </w:r>
          </w:p>
        </w:tc>
      </w:tr>
      <w:t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Billing Module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Calculates the bill and the output (bill amount) is immediately used as input to process payment.</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Sequential</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Output of one activity feeds the next within the module.</w:t>
            </w:r>
          </w:p>
        </w:tc>
      </w:tr>
      <w:t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Pharmacy Module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Check-stock, dispense-medicine, and update-stock operations all act on the same medicine stock data.</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Communicational</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All functions operate on the same data structure (stock).</w:t>
            </w:r>
          </w:p>
        </w:tc>
      </w:tr>
      <w:t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Notification Module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Groups SMS, email, and in-app notice functions selected by a type flag; functions are related only by category, not by data or sequence.</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Logical</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Lower cohesion - functions grouped by category, chosen via a control flag.</w:t>
            </w:r>
          </w:p>
        </w:tc>
      </w:tr>
      <w:t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Report Generation Module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Generates patient-inflow, revenue, and occupancy reports, typically triggered together at the end of a period.</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Temporal</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Lower cohesion - functions related mainly by when they execute.</w:t>
            </w:r>
          </w:p>
        </w:tc>
      </w:tr>
    </w:tbl>
    <w:p>
      <w:pPr>
        <w:pStyle w:val="Heading2"/>
        <w:spacing w:after="110" w:before="200"/>
      </w:pPr>
      <w:r>
        <w:rPr>
          <w:rFonts w:ascii="Calibri" w:cs="Calibri" w:eastAsia="Calibri" w:hAnsi="Calibri"/>
          <w:b/>
          <w:bCs/>
          <w:sz w:val="23"/>
          <w:szCs w:val="23"/>
        </w:rPr>
        <w:t xml:space="preserve">5. Coupling Computation</w:t>
      </w:r>
    </w:p>
    <w:p>
      <w:pPr>
        <w:spacing w:after="150" w:line="276"/>
      </w:pPr>
      <w:r>
        <w:rPr>
          <w:rFonts w:ascii="Calibri" w:cs="Calibri" w:eastAsia="Calibri" w:hAnsi="Calibri"/>
          <w:sz w:val="22"/>
          <w:szCs w:val="22"/>
        </w:rPr>
        <w:t xml:space="preserve">Coupling refers to the degree of interdependence between modules. The Module Coupling metric used is:</w:t>
      </w:r>
    </w:p>
    <w:p>
      <w:pPr>
        <w:spacing w:after="150" w:line="276"/>
      </w:pPr>
      <w:r>
        <w:rPr>
          <w:rFonts w:ascii="Calibri" w:cs="Calibri" w:eastAsia="Calibri" w:hAnsi="Calibri"/>
          <w:i/>
          <w:iCs/>
          <w:sz w:val="22"/>
          <w:szCs w:val="22"/>
        </w:rPr>
        <w:t xml:space="preserve">C = 1 - 1 / (1 + di + 2ci + do + 2co + gd + 2gc + w + r)</w:t>
      </w:r>
    </w:p>
    <w:p>
      <w:pPr>
        <w:spacing w:after="150" w:line="276"/>
      </w:pPr>
      <w:r>
        <w:rPr>
          <w:rFonts w:ascii="Calibri" w:cs="Calibri" w:eastAsia="Calibri" w:hAnsi="Calibri"/>
          <w:sz w:val="22"/>
          <w:szCs w:val="22"/>
        </w:rPr>
        <w:t xml:space="preserve">where di = input data parameters, ci = input control parameters, do = output data parameters, co = output control parameters, gd = global variables used as data, gc = global variables used as control, w = fan-out (modules called), r = fan-in (modules calling it). A value of C closer to 1.0 indicates higher coupling; a lower value indicates looser coupling.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700"/>
        <w:gridCol w:w="700"/>
        <w:gridCol w:w="700"/>
        <w:gridCol w:w="700"/>
        <w:gridCol w:w="700"/>
        <w:gridCol w:w="700"/>
        <w:gridCol w:w="700"/>
        <w:gridCol w:w="900"/>
        <w:gridCol w:w="1420"/>
      </w:tblGrid>
      <w:tr>
        <w:trPr>
          <w:tblHeader/>
        </w:trPr>
        <w:tc>
          <w:tcPr>
            <w:tcW w:type="dxa" w:w="2600"/>
            <w:tcBorders>
              <w:top w:val="single" w:color="999999" w:sz="4"/>
              <w:left w:val="single" w:color="999999" w:sz="4"/>
              <w:bottom w:val="single" w:color="999999" w:sz="4"/>
              <w:right w:val="single" w:color="999999" w:sz="4"/>
            </w:tcBorders>
            <w:shd w:fill="D9D9D9" w:color="auto" w:val="clear"/>
            <w:tcMar>
              <w:top w:type="dxa" w:w="70"/>
              <w:left w:type="dxa" w:w="90"/>
              <w:bottom w:type="dxa" w:w="70"/>
              <w:right w:type="dxa" w:w="90"/>
            </w:tcMar>
            <w:vAlign w:val="center"/>
          </w:tcPr>
          <w:p>
            <w:r>
              <w:rPr>
                <w:rFonts w:ascii="Calibri" w:cs="Calibri" w:eastAsia="Calibri" w:hAnsi="Calibri"/>
                <w:b/>
                <w:bCs/>
                <w:sz w:val="18"/>
                <w:szCs w:val="18"/>
              </w:rPr>
              <w:t xml:space="preserve">Module Pair</w:t>
            </w:r>
          </w:p>
        </w:tc>
        <w:tc>
          <w:tcPr>
            <w:tcW w:type="dxa" w:w="700"/>
            <w:tcBorders>
              <w:top w:val="single" w:color="999999" w:sz="4"/>
              <w:left w:val="single" w:color="999999" w:sz="4"/>
              <w:bottom w:val="single" w:color="999999" w:sz="4"/>
              <w:right w:val="single" w:color="999999" w:sz="4"/>
            </w:tcBorders>
            <w:shd w:fill="D9D9D9" w:color="auto" w:val="clear"/>
            <w:tcMar>
              <w:top w:type="dxa" w:w="70"/>
              <w:left w:type="dxa" w:w="90"/>
              <w:bottom w:type="dxa" w:w="70"/>
              <w:right w:type="dxa" w:w="90"/>
            </w:tcMar>
            <w:vAlign w:val="center"/>
          </w:tcPr>
          <w:p>
            <w:r>
              <w:rPr>
                <w:rFonts w:ascii="Calibri" w:cs="Calibri" w:eastAsia="Calibri" w:hAnsi="Calibri"/>
                <w:b/>
                <w:bCs/>
                <w:sz w:val="18"/>
                <w:szCs w:val="18"/>
              </w:rPr>
              <w:t xml:space="preserve">di</w:t>
            </w:r>
          </w:p>
        </w:tc>
        <w:tc>
          <w:tcPr>
            <w:tcW w:type="dxa" w:w="700"/>
            <w:tcBorders>
              <w:top w:val="single" w:color="999999" w:sz="4"/>
              <w:left w:val="single" w:color="999999" w:sz="4"/>
              <w:bottom w:val="single" w:color="999999" w:sz="4"/>
              <w:right w:val="single" w:color="999999" w:sz="4"/>
            </w:tcBorders>
            <w:shd w:fill="D9D9D9" w:color="auto" w:val="clear"/>
            <w:tcMar>
              <w:top w:type="dxa" w:w="70"/>
              <w:left w:type="dxa" w:w="90"/>
              <w:bottom w:type="dxa" w:w="70"/>
              <w:right w:type="dxa" w:w="90"/>
            </w:tcMar>
            <w:vAlign w:val="center"/>
          </w:tcPr>
          <w:p>
            <w:r>
              <w:rPr>
                <w:rFonts w:ascii="Calibri" w:cs="Calibri" w:eastAsia="Calibri" w:hAnsi="Calibri"/>
                <w:b/>
                <w:bCs/>
                <w:sz w:val="18"/>
                <w:szCs w:val="18"/>
              </w:rPr>
              <w:t xml:space="preserve">ci</w:t>
            </w:r>
          </w:p>
        </w:tc>
        <w:tc>
          <w:tcPr>
            <w:tcW w:type="dxa" w:w="700"/>
            <w:tcBorders>
              <w:top w:val="single" w:color="999999" w:sz="4"/>
              <w:left w:val="single" w:color="999999" w:sz="4"/>
              <w:bottom w:val="single" w:color="999999" w:sz="4"/>
              <w:right w:val="single" w:color="999999" w:sz="4"/>
            </w:tcBorders>
            <w:shd w:fill="D9D9D9" w:color="auto" w:val="clear"/>
            <w:tcMar>
              <w:top w:type="dxa" w:w="70"/>
              <w:left w:type="dxa" w:w="90"/>
              <w:bottom w:type="dxa" w:w="70"/>
              <w:right w:type="dxa" w:w="90"/>
            </w:tcMar>
            <w:vAlign w:val="center"/>
          </w:tcPr>
          <w:p>
            <w:r>
              <w:rPr>
                <w:rFonts w:ascii="Calibri" w:cs="Calibri" w:eastAsia="Calibri" w:hAnsi="Calibri"/>
                <w:b/>
                <w:bCs/>
                <w:sz w:val="18"/>
                <w:szCs w:val="18"/>
              </w:rPr>
              <w:t xml:space="preserve">do</w:t>
            </w:r>
          </w:p>
        </w:tc>
        <w:tc>
          <w:tcPr>
            <w:tcW w:type="dxa" w:w="700"/>
            <w:tcBorders>
              <w:top w:val="single" w:color="999999" w:sz="4"/>
              <w:left w:val="single" w:color="999999" w:sz="4"/>
              <w:bottom w:val="single" w:color="999999" w:sz="4"/>
              <w:right w:val="single" w:color="999999" w:sz="4"/>
            </w:tcBorders>
            <w:shd w:fill="D9D9D9" w:color="auto" w:val="clear"/>
            <w:tcMar>
              <w:top w:type="dxa" w:w="70"/>
              <w:left w:type="dxa" w:w="90"/>
              <w:bottom w:type="dxa" w:w="70"/>
              <w:right w:type="dxa" w:w="90"/>
            </w:tcMar>
            <w:vAlign w:val="center"/>
          </w:tcPr>
          <w:p>
            <w:r>
              <w:rPr>
                <w:rFonts w:ascii="Calibri" w:cs="Calibri" w:eastAsia="Calibri" w:hAnsi="Calibri"/>
                <w:b/>
                <w:bCs/>
                <w:sz w:val="18"/>
                <w:szCs w:val="18"/>
              </w:rPr>
              <w:t xml:space="preserve">co</w:t>
            </w:r>
          </w:p>
        </w:tc>
        <w:tc>
          <w:tcPr>
            <w:tcW w:type="dxa" w:w="700"/>
            <w:tcBorders>
              <w:top w:val="single" w:color="999999" w:sz="4"/>
              <w:left w:val="single" w:color="999999" w:sz="4"/>
              <w:bottom w:val="single" w:color="999999" w:sz="4"/>
              <w:right w:val="single" w:color="999999" w:sz="4"/>
            </w:tcBorders>
            <w:shd w:fill="D9D9D9" w:color="auto" w:val="clear"/>
            <w:tcMar>
              <w:top w:type="dxa" w:w="70"/>
              <w:left w:type="dxa" w:w="90"/>
              <w:bottom w:type="dxa" w:w="70"/>
              <w:right w:type="dxa" w:w="90"/>
            </w:tcMar>
            <w:vAlign w:val="center"/>
          </w:tcPr>
          <w:p>
            <w:r>
              <w:rPr>
                <w:rFonts w:ascii="Calibri" w:cs="Calibri" w:eastAsia="Calibri" w:hAnsi="Calibri"/>
                <w:b/>
                <w:bCs/>
                <w:sz w:val="18"/>
                <w:szCs w:val="18"/>
              </w:rPr>
              <w:t xml:space="preserve">gd</w:t>
            </w:r>
          </w:p>
        </w:tc>
        <w:tc>
          <w:tcPr>
            <w:tcW w:type="dxa" w:w="700"/>
            <w:tcBorders>
              <w:top w:val="single" w:color="999999" w:sz="4"/>
              <w:left w:val="single" w:color="999999" w:sz="4"/>
              <w:bottom w:val="single" w:color="999999" w:sz="4"/>
              <w:right w:val="single" w:color="999999" w:sz="4"/>
            </w:tcBorders>
            <w:shd w:fill="D9D9D9" w:color="auto" w:val="clear"/>
            <w:tcMar>
              <w:top w:type="dxa" w:w="70"/>
              <w:left w:type="dxa" w:w="90"/>
              <w:bottom w:type="dxa" w:w="70"/>
              <w:right w:type="dxa" w:w="90"/>
            </w:tcMar>
            <w:vAlign w:val="center"/>
          </w:tcPr>
          <w:p>
            <w:r>
              <w:rPr>
                <w:rFonts w:ascii="Calibri" w:cs="Calibri" w:eastAsia="Calibri" w:hAnsi="Calibri"/>
                <w:b/>
                <w:bCs/>
                <w:sz w:val="18"/>
                <w:szCs w:val="18"/>
              </w:rPr>
              <w:t xml:space="preserve">gc</w:t>
            </w:r>
          </w:p>
        </w:tc>
        <w:tc>
          <w:tcPr>
            <w:tcW w:type="dxa" w:w="700"/>
            <w:tcBorders>
              <w:top w:val="single" w:color="999999" w:sz="4"/>
              <w:left w:val="single" w:color="999999" w:sz="4"/>
              <w:bottom w:val="single" w:color="999999" w:sz="4"/>
              <w:right w:val="single" w:color="999999" w:sz="4"/>
            </w:tcBorders>
            <w:shd w:fill="D9D9D9" w:color="auto" w:val="clear"/>
            <w:tcMar>
              <w:top w:type="dxa" w:w="70"/>
              <w:left w:type="dxa" w:w="90"/>
              <w:bottom w:type="dxa" w:w="70"/>
              <w:right w:type="dxa" w:w="90"/>
            </w:tcMar>
            <w:vAlign w:val="center"/>
          </w:tcPr>
          <w:p>
            <w:r>
              <w:rPr>
                <w:rFonts w:ascii="Calibri" w:cs="Calibri" w:eastAsia="Calibri" w:hAnsi="Calibri"/>
                <w:b/>
                <w:bCs/>
                <w:sz w:val="18"/>
                <w:szCs w:val="18"/>
              </w:rPr>
              <w:t xml:space="preserve">w</w:t>
            </w:r>
          </w:p>
        </w:tc>
        <w:tc>
          <w:tcPr>
            <w:tcW w:type="dxa" w:w="700"/>
            <w:tcBorders>
              <w:top w:val="single" w:color="999999" w:sz="4"/>
              <w:left w:val="single" w:color="999999" w:sz="4"/>
              <w:bottom w:val="single" w:color="999999" w:sz="4"/>
              <w:right w:val="single" w:color="999999" w:sz="4"/>
            </w:tcBorders>
            <w:shd w:fill="D9D9D9" w:color="auto" w:val="clear"/>
            <w:tcMar>
              <w:top w:type="dxa" w:w="70"/>
              <w:left w:type="dxa" w:w="90"/>
              <w:bottom w:type="dxa" w:w="70"/>
              <w:right w:type="dxa" w:w="90"/>
            </w:tcMar>
            <w:vAlign w:val="center"/>
          </w:tcPr>
          <w:p>
            <w:r>
              <w:rPr>
                <w:rFonts w:ascii="Calibri" w:cs="Calibri" w:eastAsia="Calibri" w:hAnsi="Calibri"/>
                <w:b/>
                <w:bCs/>
                <w:sz w:val="18"/>
                <w:szCs w:val="18"/>
              </w:rPr>
              <w:t xml:space="preserve">r</w:t>
            </w:r>
          </w:p>
        </w:tc>
        <w:tc>
          <w:tcPr>
            <w:tcW w:type="dxa" w:w="900"/>
            <w:tcBorders>
              <w:top w:val="single" w:color="999999" w:sz="4"/>
              <w:left w:val="single" w:color="999999" w:sz="4"/>
              <w:bottom w:val="single" w:color="999999" w:sz="4"/>
              <w:right w:val="single" w:color="999999" w:sz="4"/>
            </w:tcBorders>
            <w:shd w:fill="D9D9D9" w:color="auto" w:val="clear"/>
            <w:tcMar>
              <w:top w:type="dxa" w:w="70"/>
              <w:left w:type="dxa" w:w="90"/>
              <w:bottom w:type="dxa" w:w="70"/>
              <w:right w:type="dxa" w:w="90"/>
            </w:tcMar>
            <w:vAlign w:val="center"/>
          </w:tcPr>
          <w:p>
            <w:r>
              <w:rPr>
                <w:rFonts w:ascii="Calibri" w:cs="Calibri" w:eastAsia="Calibri" w:hAnsi="Calibri"/>
                <w:b/>
                <w:bCs/>
                <w:sz w:val="18"/>
                <w:szCs w:val="18"/>
              </w:rPr>
              <w:t xml:space="preserve">Sum</w:t>
            </w:r>
          </w:p>
        </w:tc>
        <w:tc>
          <w:tcPr>
            <w:tcW w:type="dxa" w:w="1420"/>
            <w:tcBorders>
              <w:top w:val="single" w:color="999999" w:sz="4"/>
              <w:left w:val="single" w:color="999999" w:sz="4"/>
              <w:bottom w:val="single" w:color="999999" w:sz="4"/>
              <w:right w:val="single" w:color="999999" w:sz="4"/>
            </w:tcBorders>
            <w:shd w:fill="D9D9D9" w:color="auto" w:val="clear"/>
            <w:tcMar>
              <w:top w:type="dxa" w:w="70"/>
              <w:left w:type="dxa" w:w="90"/>
              <w:bottom w:type="dxa" w:w="70"/>
              <w:right w:type="dxa" w:w="90"/>
            </w:tcMar>
            <w:vAlign w:val="center"/>
          </w:tcPr>
          <w:p>
            <w:r>
              <w:rPr>
                <w:rFonts w:ascii="Calibri" w:cs="Calibri" w:eastAsia="Calibri" w:hAnsi="Calibri"/>
                <w:b/>
                <w:bCs/>
                <w:sz w:val="18"/>
                <w:szCs w:val="18"/>
              </w:rPr>
              <w:t xml:space="preserve">C</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Patient Registration -&gt; PatientDB</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0</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0</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0</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0</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5</w:t>
            </w:r>
          </w:p>
        </w:tc>
        <w:tc>
          <w:tcPr>
            <w:tcW w:type="dxa" w:w="142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0.833</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AppointmentController -&gt; BillingService</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0</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0</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0</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8</w:t>
            </w:r>
          </w:p>
        </w:tc>
        <w:tc>
          <w:tcPr>
            <w:tcW w:type="dxa" w:w="142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0.889</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Pharmacy (Dispense) -&gt; MedicineStock</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2</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12</w:t>
            </w:r>
          </w:p>
        </w:tc>
        <w:tc>
          <w:tcPr>
            <w:tcW w:type="dxa" w:w="142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0.923</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NotificationModule -&gt; Recipients</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0</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0</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0</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0</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0</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1</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3</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5</w:t>
            </w:r>
          </w:p>
        </w:tc>
        <w:tc>
          <w:tcPr>
            <w:tcW w:type="dxa" w:w="142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r>
              <w:rPr>
                <w:rFonts w:ascii="Calibri" w:cs="Calibri" w:eastAsia="Calibri" w:hAnsi="Calibri"/>
                <w:sz w:val="18"/>
                <w:szCs w:val="18"/>
              </w:rPr>
              <w:t xml:space="preserve">0.833</w:t>
            </w:r>
          </w:p>
        </w:tc>
      </w:tr>
    </w:tbl>
    <w:p>
      <w:pPr>
        <w:spacing w:after="150" w:line="276"/>
      </w:pPr>
      <w:r>
        <w:rPr>
          <w:rFonts w:ascii="Calibri" w:cs="Calibri" w:eastAsia="Calibri" w:hAnsi="Calibri"/>
          <w:sz w:val="22"/>
          <w:szCs w:val="22"/>
        </w:rPr>
        <w:t xml:space="preserve"/>
      </w:r>
    </w:p>
    <w:p>
      <w:pPr>
        <w:spacing w:after="150" w:line="276"/>
      </w:pPr>
      <w:r>
        <w:rPr>
          <w:rFonts w:ascii="Calibri" w:cs="Calibri" w:eastAsia="Calibri" w:hAnsi="Calibri"/>
          <w:sz w:val="22"/>
          <w:szCs w:val="22"/>
        </w:rPr>
        <w:t xml:space="preserve">Observation: The Pharmacy (Dispense) -&gt; MedicineStock pair shows the highest coupling value (0.923) because it relies on shared global stock data (gd, gc) in addition to explicit parameters. The Patient Registration and Notification modules show comparatively lower coupling (0.833) as they interact mainly through explicit data parameters with minimal global/control dependence.</w:t>
      </w:r>
    </w:p>
    <w:p>
      <w:pPr>
        <w:pStyle w:val="Heading1"/>
        <w:spacing w:after="140" w:before="280"/>
      </w:pPr>
      <w:r>
        <w:rPr>
          <w:rFonts w:ascii="Calibri" w:cs="Calibri" w:eastAsia="Calibri" w:hAnsi="Calibri"/>
          <w:b/>
          <w:bCs/>
          <w:sz w:val="28"/>
          <w:szCs w:val="28"/>
        </w:rPr>
        <w:t xml:space="preserve">6. Conclusion</w:t>
      </w:r>
    </w:p>
    <w:p>
      <w:pPr>
        <w:spacing w:after="150" w:line="276"/>
      </w:pPr>
      <w:r>
        <w:rPr>
          <w:rFonts w:ascii="Calibri" w:cs="Calibri" w:eastAsia="Calibri" w:hAnsi="Calibri"/>
          <w:sz w:val="22"/>
          <w:szCs w:val="22"/>
        </w:rPr>
        <w:t xml:space="preserve">Most HMS modules exhibit Functional or Sequential cohesion, which is desirable, while the Notification and Report Generation modules show Logical/Temporal cohesion and are candidates for refactoring into more focused sub-modules. The coupling analysis shows that the Pharmacy module's dependence on shared global stock data makes it the most tightly coupled; replacing global stock access with explicit method parameters would reduce coupling and improve maintainability, consistent with the general software design goal of high cohesion and low coupling.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2026-09-06T15:13:09.000Z</dcterms:created>
  <dcterms:modified xsi:type="dcterms:W3CDTF">2026-09-06T15:13:09.000Z</dcterms:modified>
</cp:coreProperties>
</file>

<file path=docProps/custom.xml><?xml version="1.0" encoding="utf-8"?>
<Properties xmlns="http://schemas.openxmlformats.org/officeDocument/2006/custom-properties" xmlns:vt="http://schemas.openxmlformats.org/officeDocument/2006/docPropsVTypes"/>
</file>