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Calibri" w:cs="Calibri" w:eastAsia="Calibri" w:hAnsi="Calibri"/>
          <w:b/>
          <w:bCs/>
          <w:sz w:val="30"/>
          <w:szCs w:val="30"/>
        </w:rPr>
        <w:t xml:space="preserve">EXPERIMENT NO. 10</w:t>
      </w:r>
    </w:p>
    <w:p>
      <w:pPr>
        <w:spacing w:after="300"/>
        <w:jc w:val="center"/>
      </w:pPr>
      <w:r>
        <w:rPr>
          <w:rFonts w:ascii="Calibri" w:cs="Calibri" w:eastAsia="Calibri" w:hAnsi="Calibri"/>
          <w:b/>
          <w:bCs/>
          <w:sz w:val="24"/>
          <w:szCs w:val="24"/>
        </w:rPr>
        <w:t xml:space="preserve">Prepare RMMM Plan for the Project</w:t>
      </w:r>
    </w:p>
    <w:p>
      <w:pPr>
        <w:spacing w:after="400"/>
        <w:jc w:val="center"/>
      </w:pPr>
      <w:r>
        <w:rPr>
          <w:rFonts w:ascii="Calibri" w:cs="Calibri" w:eastAsia="Calibri" w:hAnsi="Calibri"/>
          <w:sz w:val="22"/>
          <w:szCs w:val="22"/>
        </w:rPr>
        <w:t xml:space="preserve">Project: Hospital Management System (HMS)</w:t>
      </w:r>
    </w:p>
    <w:p>
      <w:pPr>
        <w:pStyle w:val="Heading2"/>
        <w:spacing w:after="110" w:before="200"/>
      </w:pPr>
      <w:r>
        <w:rPr>
          <w:rFonts w:ascii="Calibri" w:cs="Calibri" w:eastAsia="Calibri" w:hAnsi="Calibri"/>
          <w:b/>
          <w:bCs/>
          <w:sz w:val="23"/>
          <w:szCs w:val="23"/>
        </w:rPr>
        <w:t xml:space="preserve">1. Aim</w:t>
      </w:r>
    </w:p>
    <w:p>
      <w:pPr>
        <w:spacing w:after="150" w:line="276"/>
      </w:pPr>
      <w:r>
        <w:rPr>
          <w:rFonts w:ascii="Calibri" w:cs="Calibri" w:eastAsia="Calibri" w:hAnsi="Calibri"/>
          <w:sz w:val="22"/>
          <w:szCs w:val="22"/>
        </w:rPr>
        <w:t xml:space="preserve">To identify risks and prepare the Risk Mitigation, Monitoring, and Management (RMMM) Plan for the Hospital Management System (HMS) project.</w:t>
      </w:r>
    </w:p>
    <w:p>
      <w:pPr>
        <w:pStyle w:val="Heading2"/>
        <w:spacing w:after="110" w:before="200"/>
      </w:pPr>
      <w:r>
        <w:rPr>
          <w:rFonts w:ascii="Calibri" w:cs="Calibri" w:eastAsia="Calibri" w:hAnsi="Calibri"/>
          <w:b/>
          <w:bCs/>
          <w:sz w:val="23"/>
          <w:szCs w:val="23"/>
        </w:rPr>
        <w:t xml:space="preserve">2. Objectives</w:t>
      </w:r>
    </w:p>
    <w:p>
      <w:pPr>
        <w:pStyle w:val="ListParagraph"/>
        <w:numPr>
          <w:ilvl w:val="0"/>
          <w:numId w:val="1"/>
        </w:numPr>
        <w:spacing w:after="90"/>
      </w:pPr>
      <w:r>
        <w:rPr>
          <w:rFonts w:ascii="Calibri" w:cs="Calibri" w:eastAsia="Calibri" w:hAnsi="Calibri"/>
          <w:sz w:val="22"/>
          <w:szCs w:val="22"/>
        </w:rPr>
        <w:t xml:space="preserve">To identify potential technical, project, and business risks for the HMS project.</w:t>
      </w:r>
    </w:p>
    <w:p>
      <w:pPr>
        <w:pStyle w:val="ListParagraph"/>
        <w:numPr>
          <w:ilvl w:val="0"/>
          <w:numId w:val="1"/>
        </w:numPr>
        <w:spacing w:after="90"/>
      </w:pPr>
      <w:r>
        <w:rPr>
          <w:rFonts w:ascii="Calibri" w:cs="Calibri" w:eastAsia="Calibri" w:hAnsi="Calibri"/>
          <w:sz w:val="22"/>
          <w:szCs w:val="22"/>
        </w:rPr>
        <w:t xml:space="preserve">To assess the probability and impact of each risk.</w:t>
      </w:r>
    </w:p>
    <w:p>
      <w:pPr>
        <w:pStyle w:val="ListParagraph"/>
        <w:numPr>
          <w:ilvl w:val="0"/>
          <w:numId w:val="1"/>
        </w:numPr>
        <w:spacing w:after="90"/>
      </w:pPr>
      <w:r>
        <w:rPr>
          <w:rFonts w:ascii="Calibri" w:cs="Calibri" w:eastAsia="Calibri" w:hAnsi="Calibri"/>
          <w:sz w:val="22"/>
          <w:szCs w:val="22"/>
        </w:rPr>
        <w:t xml:space="preserve">To define mitigation, monitoring, and management strategies for the most significant risks.</w:t>
      </w:r>
    </w:p>
    <w:p>
      <w:pPr>
        <w:pStyle w:val="Heading2"/>
        <w:spacing w:after="110" w:before="200"/>
      </w:pPr>
      <w:r>
        <w:rPr>
          <w:rFonts w:ascii="Calibri" w:cs="Calibri" w:eastAsia="Calibri" w:hAnsi="Calibri"/>
          <w:b/>
          <w:bCs/>
          <w:sz w:val="23"/>
          <w:szCs w:val="23"/>
        </w:rPr>
        <w:t xml:space="preserve">3. Software Required</w:t>
      </w:r>
    </w:p>
    <w:p>
      <w:pPr>
        <w:spacing w:after="150" w:line="276"/>
      </w:pPr>
      <w:r>
        <w:rPr>
          <w:rFonts w:ascii="Calibri" w:cs="Calibri" w:eastAsia="Calibri" w:hAnsi="Calibri"/>
          <w:sz w:val="22"/>
          <w:szCs w:val="22"/>
        </w:rPr>
        <w:t xml:space="preserve">Any text editor / open source tool.</w:t>
      </w:r>
    </w:p>
    <w:p>
      <w:pPr>
        <w:pStyle w:val="Heading2"/>
        <w:spacing w:after="110" w:before="200"/>
      </w:pPr>
      <w:r>
        <w:rPr>
          <w:rFonts w:ascii="Calibri" w:cs="Calibri" w:eastAsia="Calibri" w:hAnsi="Calibri"/>
          <w:b/>
          <w:bCs/>
          <w:sz w:val="23"/>
          <w:szCs w:val="23"/>
        </w:rPr>
        <w:t xml:space="preserve">4. Risk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2900"/>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Risk</w:t>
            </w:r>
          </w:p>
        </w:tc>
        <w:tc>
          <w:tcPr>
            <w:tcW w:type="dxa" w:w="15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Category</w:t>
            </w:r>
          </w:p>
        </w:tc>
        <w:tc>
          <w:tcPr>
            <w:tcW w:type="dxa" w:w="13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Probability</w:t>
            </w:r>
          </w:p>
        </w:tc>
        <w:tc>
          <w:tcPr>
            <w:tcW w:type="dxa" w:w="13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Impact</w:t>
            </w:r>
          </w:p>
        </w:tc>
        <w:tc>
          <w:tcPr>
            <w:tcW w:type="dxa" w:w="29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Mitigation Strategy</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Loss of patient data due to server/database failure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Technical</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Low</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Catastrophic</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Daily automated backups; RAID storage; cloud-based redundant DB replication.</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Unauthorized access to sensitive patient records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Technical</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Catastrophic</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Role-based access control, encryption, audit logs, regular security testing.</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Payment gateway integration failure/downtime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Technical</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Critical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Use a well-tested third-party gateway; implement retry &amp; fallback (manual/cash) payment mode.</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Requirement changes from hospital administration mid-project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Project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Marginal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Freeze core requirements after sign-off; handle later changes via a formal change-request process.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Delay in module integration (Patient, Billing, Pharmacy, Lab)</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Project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Critical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Follow the V-Model schedule strictly; conduct integration testing incrementally, not only at the end.</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Team member unavailability (illness, exams, etc.)</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Project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Marginal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Cross-train team members; maintain shared documentation so any member can continue a module.</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Low user adoption by hospital staff (resistance to new system)</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Business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Low</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Critical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Conduct training sessions; design a simple, intuitive UI; phased rollout with pilot department.</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Underestimated effort for UML design and testing phases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Project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Medium</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Marginal</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Add buffer time in the Gantt chart; prioritize critical-path activities identified via CPM.</w:t>
            </w:r>
          </w:p>
        </w:tc>
      </w:tr>
    </w:tbl>
    <w:p>
      <w:pPr>
        <w:pStyle w:val="Heading1"/>
        <w:spacing w:after="140" w:before="280"/>
      </w:pPr>
      <w:r>
        <w:rPr>
          <w:rFonts w:ascii="Calibri" w:cs="Calibri" w:eastAsia="Calibri" w:hAnsi="Calibri"/>
          <w:b/>
          <w:bCs/>
          <w:sz w:val="28"/>
          <w:szCs w:val="28"/>
        </w:rPr>
        <w:t xml:space="preserve">5. RMMM Plan (Selected Key Risks)</w:t>
      </w:r>
    </w:p>
    <w:p>
      <w:pPr>
        <w:spacing w:after="150" w:line="276"/>
      </w:pPr>
      <w:r>
        <w:rPr>
          <w:rFonts w:ascii="Calibri" w:cs="Calibri" w:eastAsia="Calibri" w:hAnsi="Calibri"/>
          <w:sz w:val="22"/>
          <w:szCs w:val="22"/>
        </w:rPr>
        <w:t xml:space="preserve">For the risks with the highest probability x impact, a specific monitoring approach and a management/contingency trigger are defined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400"/>
        <w:gridCol w:w="2200"/>
      </w:tblGrid>
      <w:tr>
        <w:trPr>
          <w:tblHeader/>
        </w:trPr>
        <w:tc>
          <w:tcPr>
            <w:tcW w:type="dxa" w:w="16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ID</w:t>
            </w:r>
          </w:p>
        </w:tc>
        <w:tc>
          <w:tcPr>
            <w:tcW w:type="dxa" w:w="34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Risk</w:t>
            </w:r>
          </w:p>
        </w:tc>
        <w:tc>
          <w:tcPr>
            <w:tcW w:type="dxa" w:w="24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Monitoring Approach</w:t>
            </w:r>
          </w:p>
        </w:tc>
        <w:tc>
          <w:tcPr>
            <w:tcW w:type="dxa" w:w="22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Management / Trigger</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RE-1</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Payment gateway integration failure/downtime</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Monitor gateway uptime/response time during each testing cycle; log failed transaction rate.</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If failure rate &gt; 5% in a testing cycle, trigger fallback to manual/offline payment recording.</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RE-2</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Delay in module integration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Track actual vs planned progress weekly against the Gantt chart / critical path (CPM).</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If a critical-path activity slips by more than 2 days, reallocate resources from non-critical (slack) activities.</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RE-3</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Unauthorized access to patient records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Review access logs weekly; run periodic vulnerability scans on the login/authentication module.</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If a breach or vulnerability is found, patch immediately, force password resets, and notify hospital admin.</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RE-4</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Requirement changes from hospital administration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Log every new change request against the frozen SRS baseline.</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If a change significantly affects scope, escalate through the formal change-request process and re-baseline the schedule.</w:t>
            </w:r>
          </w:p>
        </w:tc>
      </w:tr>
    </w:tbl>
    <w:p>
      <w:pPr>
        <w:pStyle w:val="Heading1"/>
        <w:spacing w:after="140" w:before="280"/>
      </w:pPr>
      <w:r>
        <w:rPr>
          <w:rFonts w:ascii="Calibri" w:cs="Calibri" w:eastAsia="Calibri" w:hAnsi="Calibri"/>
          <w:b/>
          <w:bCs/>
          <w:sz w:val="28"/>
          <w:szCs w:val="28"/>
        </w:rPr>
        <w:t xml:space="preserve">6. Conclusion</w:t>
      </w:r>
    </w:p>
    <w:p>
      <w:pPr>
        <w:spacing w:after="150" w:line="276"/>
      </w:pPr>
      <w:r>
        <w:rPr>
          <w:rFonts w:ascii="Calibri" w:cs="Calibri" w:eastAsia="Calibri" w:hAnsi="Calibri"/>
          <w:sz w:val="22"/>
          <w:szCs w:val="22"/>
        </w:rPr>
        <w:t xml:space="preserve">The Risk Table identifies eight technical, project, and business risks relevant to the HMS project, ranked by probability and impact. The RMMM Plan defines concrete mitigation steps, monitoring approaches, and contingency triggers for the four most significant risks - payment gateway failure, integration delay, unauthorized data access, and scope changes - helping the team respond proactively rather than reactively as the project progresses through the V-Model.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2026-09-07T02:32:08.969Z</dcterms:created>
  <dcterms:modified xsi:type="dcterms:W3CDTF">2026-09-07T02:32:08.969Z</dcterms:modified>
</cp:coreProperties>
</file>

<file path=docProps/custom.xml><?xml version="1.0" encoding="utf-8"?>
<Properties xmlns="http://schemas.openxmlformats.org/officeDocument/2006/custom-properties" xmlns:vt="http://schemas.openxmlformats.org/officeDocument/2006/docPropsVTypes"/>
</file>