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48"/>
          <w:szCs w:val="48"/>
        </w:rPr>
        <w:t xml:space="preserve">Documentation: ValueNote and DeliveryContract Pricing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1. Introduction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This document details the design, implementation, and validation of our C++ pricing system for ValueNotes and DeliveryContracts, as required by the attached Pricing Problem Statement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2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The code is modular, object-oriented, and designed for maintainability, scalability, and production readiness. Both analytical and advanced numerical methods are employed to ensure accuracy and robustness in all calculations.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2. Implementation Approach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2.1 Object-Oriented Design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is architected around a strong object-oriented paradigm: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Abstract Base Class (ValueNote)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Defines a uniform interface for all ValueNote types, including pricing, rate inversion, and sensitivity calculations.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Derived Classes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ValueNoteLinear: Implements closed-form solutions for the linear convention.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ValueNoteCumulative: Uses discounted cash flow logic, with a robust hybrid root-finder for inversion and analytical/iterative routines for sensitivities.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ValueNoteRecursive: Implements recursive cash flow accumulation and its derivatives.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Hybrid Root-Finder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custom algorithm combining bracketing, bisection, and Halley’s method is used for solving non-linear equations (see </w:t>
      </w:r>
      <w:hyperlink r:id="rId4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4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). This ensures convergence and stability for cumulative and recursive rate conventions.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DeliveryContract Class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Manages a basket of ValueNotes, computes relative factors, fits quadratic approximations, and performs integration for pricing and sensitivity analysis.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2.2 Analytical and Numerical Routines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Analytical Methods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Direct formulas are used wherever possible (notably for the linear convention).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Numerical Methods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cumulative and recursive conventions, numerical root-finding and iterative differentiation are necessary due to the absence of closed-form inverses.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Quadratic Approximation &amp; Integration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For DeliveryContract pricing, Price/RelativeFactor ratios are fitted as quadratics in a standard normal variable, and integration is performed using weighted sums and Simpson’s rule</w:t>
      </w:r>
      <w:hyperlink r:id="rId5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5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3. Mathematical Derivations</w:t>
      </w:r>
      <w:r>
        <w:rPr>
          <w:rFonts w:ascii="Canva Sans Bold" w:hAnsi="Canva Sans Bold" w:cs="Canva Sans Bold" w:eastAsia="Canva Sans Bold"/>
          <w:b/>
          <w:bCs/>
          <w:color w:val="000000"/>
          <w:sz w:val="38"/>
          <w:szCs w:val="3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3.1 Linear Rate</w:t>
      </w:r>
      <w:r>
        <w:rPr>
          <w:rFonts w:ascii="Canva Sans Bold" w:hAnsi="Canva Sans Bold" w:cs="Canva Sans Bold" w:eastAsia="Canva Sans Bold"/>
          <w:b/>
          <w:bCs/>
          <w:color w:val="000000"/>
          <w:sz w:val="38"/>
          <w:szCs w:val="38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6695660"/>
            <wp:docPr id="0" name="Drawing 0" descr="04ae8915eb4d9a5e02dc8124b3cfd59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4ae8915eb4d9a5e02dc8124b3cfd59f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69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091733" cy="11032775"/>
            <wp:docPr id="1" name="Drawing 1" descr="d7e377fbdcaec9fa5b9e31dddd8576f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7e377fbdcaec9fa5b9e31dddd8576ff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2221" t="0" r="2221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091733" cy="110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091733" cy="11032775"/>
            <wp:docPr id="2" name="Drawing 2" descr="d7e377fbdcaec9fa5b9e31dddd8576f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7e377fbdcaec9fa5b9e31dddd8576ff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2221" t="0" r="2221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091733" cy="110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4642625"/>
            <wp:docPr id="3" name="Drawing 3" descr="381fe61b374af338d2b08e7b1af5fbd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81fe61b374af338d2b08e7b1af5fbd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3.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2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Cumulative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Rate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5875923"/>
            <wp:docPr id="4" name="Drawing 4" descr="fadf8eb439f09077b0574161a39e29b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df8eb439f09077b0574161a39e29b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8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301551" cy="9026153"/>
            <wp:docPr id="5" name="Drawing 5" descr="34e60e34491a5acf0abc0bafeab9e6a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4e60e34491a5acf0abc0bafeab9e6a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301551" cy="90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6791017"/>
            <wp:docPr id="6" name="Drawing 6" descr="066b09138fd45812857c5a1aeb34132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6b09138fd45812857c5a1aeb34132d.png"/>
                    <pic:cNvPicPr>
                      <a:picLocks noChangeAspect="true"/>
                    </pic:cNvPicPr>
                  </pic:nvPicPr>
                  <pic:blipFill>
                    <a:blip r:embed="rId11"/>
                    <a:srcRect l="0" t="0" r="0" b="2860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7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3.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Recursive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Rate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571991" cy="6302300"/>
            <wp:docPr id="7" name="Drawing 7" descr="ec9a7afdf537c9f41977a091f2b8f02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9a7afdf537c9f41977a091f2b8f0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571991" cy="63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9036654"/>
            <wp:docPr id="8" name="Drawing 8" descr="c60d92b9ca62f98220e1469077d7c51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60d92b9ca62f98220e1469077d7c51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90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8236903"/>
            <wp:docPr id="9" name="Drawing 9" descr="b9da7a4957ab2b6079122fa5a516e90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9da7a4957ab2b6079122fa5a516e90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82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4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Key Assumptions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Market Conventions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rates are annualized percentages.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frequencies and maturities are positive and realistic.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No arbitrage or negative prices.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Numerical Stability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Effective rate solutions are bracketed within a reasonable interval.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cash flows are positive or zero, and payment times are strictly increasing.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Computational Domain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code is designed for ValueNotes with typical market parameters (e.g., notional = 100).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Error Handling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Robust exception handling and input validation are implemented throughout.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5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Result Analysis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5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.1 Correctness and Validation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Analytical Validation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the linear convention, results match closed-form analytical benchmarks.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Numerical Validation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cumulative and recursive conventions, outputs are cross-checked by verifying that forward and inverse calculations are consistent over a wide range of inputs.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Delivery Contract Validation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Probabilities sum to unity, and sensitivities are checked against finite difference approximations.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5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.2 Output Consistency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required outputs (price, effective rate, sensitivities, and second derivatives) are produced in the specified format and have been manually and programmatically checked for correctness.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6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Computational Efficiency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Time Complexity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Linear convention: O(1) for all calculations.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Cumulative/Recursive: O(n) for price and sensitivities, where n is the number of payments.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Root-finding converges rapidly (typically &lt;20 iterations).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DeliveryContract: O(n²) for intersection finding, O(n) for integration.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Performance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calculations complete in milliseconds for typical input sizes.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Efficient use of stack allocation and minimal dynamic memory usage.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Optimization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Pre-computation of coefficients and vectorization in inner loops.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Only essential data is stored, reducing memory footprint.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7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Validation and Testing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Unit Testing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core methods are tested against known analytical values and industry-standard calculators.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Regression Testing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is regression-tested to ensure stability across updates.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Cross-Verification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Results are compared with outputs from established financial libraries and academic literature</w:t>
      </w:r>
      <w:hyperlink r:id="rId15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3</w:t>
        </w:r>
      </w:hyperlink>
      <w:hyperlink r:id="rId16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9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8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Design Patterns and Architectural Elements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Polymorphism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Enables extension to new rate conventions and easy integration into larger pricing systems.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Separation of Concerns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Pricing logic, sensitivity analysis, and root-finding are modularized for maintainability.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Production Readiness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Well-commented code with clear modular structure.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Robust error handling and input validation.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 conforms to industry-standard CSV formats.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Scalability and Maintainability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New financial instruments or pricing conventions can be added with minimal changes.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system can be integrated into larger analytics or risk management platforms.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Example: Adding a new rate convention only requires implementing a new derived class with the same interface.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9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Challenges and Solutions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Nonlinear Inversion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Solved using a hybrid root-finder, ensuring robust convergence even in challenging scenarios.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Numerical Stability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Careful management of floating-point precision and exception handling for edge cases (e.g., zero coupon, short maturity).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Quadratic Fitting and Integration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Ensured accuracy by using weighted least squares and adaptive integration techniques.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10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References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Daniel J. Duffy,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Financial Instrument Pricing Using C++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, Wiley, 2004.</w:t>
      </w:r>
      <w:hyperlink r:id="rId17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9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Umjuran et al., "On New Hybrid Root-Finding Algorithms for Solving Transcendental Equations," UMJ, 2021.</w:t>
      </w:r>
      <w:hyperlink r:id="rId18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4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Wenzel et al., "Quadratic Approximation in Price-Based Coordination," FOCAPO-CPC, 2017.</w:t>
      </w:r>
      <w:hyperlink r:id="rId19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5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QuantStart, "European vanilla option pricing with C++ via Monte Carlo methods," 2017.</w:t>
      </w:r>
      <w:hyperlink r:id="rId20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8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. Conclusion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ValueNote and DeliveryContract pricing system is robust, extensible, and efficient. It leverages modern C++ features, advanced numerical methods, and sound software engineering principles to deliver a solution that is both accurate and production-ready. The architecture ensures ease of maintenance and future enhancement, making it suitable for deployment in real-world financial analytics environments.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Medium">
    <w:panose1 w:val="020B0603030501040103"/>
    <w:charset w:characterSet="1"/>
    <w:embedBold r:id="rId6"/>
  </w:font>
  <w:font w:name="Canva Sans Bold">
    <w:panose1 w:val="020B0803030501040103"/>
    <w:charset w:characterSet="1"/>
    <w:embedBold r:id="rId7"/>
  </w:font>
  <w:font w:name="Canva Sans Italics">
    <w:panose1 w:val="020B0503030501040103"/>
    <w:charset w:characterSet="1"/>
    <w:embedItalic r:id="rId8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https://github.com/orlovt/OptionsPricingCPP" TargetMode="External" Type="http://schemas.openxmlformats.org/officeDocument/2006/relationships/hyperlink"/><Relationship Id="rId16" Target="https://www.wiley.com/en-us/Financial+Instrument+Pricing+Using+C++-p-9780470855096" TargetMode="External" Type="http://schemas.openxmlformats.org/officeDocument/2006/relationships/hyperlink"/><Relationship Id="rId17" Target="https://www.wiley.com/en-us/Financial+Instrument+Pricing+Using+C++-p-9780470855096" TargetMode="External" Type="http://schemas.openxmlformats.org/officeDocument/2006/relationships/hyperlink"/><Relationship Id="rId18" Target="https://umjuran.ru/index.php/umj/article/view/515" TargetMode="External" Type="http://schemas.openxmlformats.org/officeDocument/2006/relationships/hyperlink"/><Relationship Id="rId19" Target="https://skoge.folk.ntnu.no/prost/proceedings/focapo-cpc-2017/FOCAPO-CPC%202017%20Contributed%20Papers/92_CPC_Contributed.pdf" TargetMode="External" Type="http://schemas.openxmlformats.org/officeDocument/2006/relationships/hyperlink"/><Relationship Id="rId2" Target="fontTable.xml" Type="http://schemas.openxmlformats.org/officeDocument/2006/relationships/fontTable"/><Relationship Id="rId20" Target="https://www.quantstart.com/articles/European-vanilla-option-pricing-with-C-via-Monte-Carlo-methods/" TargetMode="External" Type="http://schemas.openxmlformats.org/officeDocument/2006/relationships/hyperlink"/><Relationship Id="rId3" Target="numbering.xml" Type="http://schemas.openxmlformats.org/officeDocument/2006/relationships/numbering"/><Relationship Id="rId4" Target="https://umjuran.ru/index.php/umj/article/view/515" TargetMode="External" Type="http://schemas.openxmlformats.org/officeDocument/2006/relationships/hyperlink"/><Relationship Id="rId5" Target="https://skoge.folk.ntnu.no/prost/proceedings/focapo-cpc-2017/FOCAPO-CPC%202017%20Contributed%20Papers/92_CPC_Contributed.pdf" TargetMode="External" Type="http://schemas.openxmlformats.org/officeDocument/2006/relationships/hyperlink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2025-05-25T10:32:37Z</dcterms:created>
  <dc:creator>Apache POI</dc:creator>
</cp:coreProperties>
</file>