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Times New Roman" w:hAnsi="Times New Roman"/>
          <w:b/>
          <w:color w:val="4B5563"/>
          <w:sz w:val="28"/>
        </w:rPr>
        <w:t>CHAPTER 4</w:t>
      </w:r>
    </w:p>
    <w:p>
      <w:pPr>
        <w:spacing w:after="480"/>
        <w:jc w:val="center"/>
      </w:pPr>
      <w:r>
        <w:rPr>
          <w:rFonts w:ascii="Times New Roman" w:hAnsi="Times New Roman"/>
          <w:b/>
          <w:color w:val="000000"/>
          <w:sz w:val="40"/>
        </w:rPr>
        <w:t>SYSTEM DESIGN</w:t>
      </w:r>
    </w:p>
    <w:p>
      <w:pPr>
        <w:spacing w:line="360" w:lineRule="auto" w:after="160"/>
        <w:jc w:val="both"/>
      </w:pPr>
      <w:r>
        <w:rPr>
          <w:rFonts w:ascii="Times New Roman" w:hAnsi="Times New Roman"/>
          <w:color w:val="000000"/>
          <w:sz w:val="24"/>
        </w:rPr>
        <w:t>System design represents the critical bridge linking abstract operational requirements with concrete, scalable engineering implementations. For the SentroniX Purple Team AI Platform, the architectural blueprint is tailored to resolve a fundamental dilemma in modern cyber defense: the operational fragmentation separating offensive vulnerability assessment from defensive remediation engineering. By fusing simulated adversary tradecraft, real-time Web Application Firewall (WAF) packet stream inspection, and automated generative AI remediation diffs, SentroniX establishes an integrated cyber-resilience loop.</w:t>
      </w:r>
    </w:p>
    <w:p>
      <w:pPr>
        <w:spacing w:line="360" w:lineRule="auto" w:after="160"/>
        <w:jc w:val="both"/>
      </w:pPr>
      <w:r>
        <w:rPr>
          <w:rFonts w:ascii="Times New Roman" w:hAnsi="Times New Roman"/>
          <w:color w:val="000000"/>
          <w:sz w:val="24"/>
        </w:rPr>
        <w:t>This chapter presents an exhaustive architectural specification of the SentroniX platform. Section 4.1 details Data Design, including storage partitioning and the complete relational schema with entity relationship modeling. Section 4.2 explores Data Integrity and Constraints, detailing validation mechanics, concurrency guarantees, and file storage architecture. Section 4.3 presents User Interface Design, providing formal UML Use Case, Activity, and Sequence specifications alongside the adaptive fluid viewport architecture. Section 4.4 articulates the Machine Learning and AI Algorithmic Pipeline governing automated patch generation and AST validation. Section 4.5 conducts a comprehensive STRIDE Threat Modeling assessment. Section 4.6 details the Master Test Plan encompassing positive and negative verification matrices. Finally, Sections 4.7 through 4.9 conclude with an architectural evaluation, platform limitations, and future research frontiers.</w:t>
      </w:r>
    </w:p>
    <w:p>
      <w:r>
        <w:br w:type="page"/>
      </w:r>
    </w:p>
    <w:p>
      <w:pPr>
        <w:keepNext/>
        <w:spacing w:before="360" w:after="160" w:line="360" w:lineRule="auto"/>
        <w:jc w:val="left"/>
      </w:pPr>
      <w:r>
        <w:rPr>
          <w:rFonts w:ascii="Times New Roman" w:hAnsi="Times New Roman"/>
          <w:b/>
          <w:color w:val="000000"/>
          <w:sz w:val="28"/>
        </w:rPr>
        <w:t>4.1 Data Design</w:t>
      </w:r>
    </w:p>
    <w:p>
      <w:pPr>
        <w:spacing w:line="360" w:lineRule="auto" w:after="160"/>
        <w:jc w:val="both"/>
      </w:pPr>
      <w:r>
        <w:rPr>
          <w:rFonts w:ascii="Times New Roman" w:hAnsi="Times New Roman"/>
          <w:color w:val="000000"/>
          <w:sz w:val="24"/>
        </w:rPr>
        <w:t>Data design within SentroniX is architected to satisfy three foundational criteria: strict multi-tenant isolation, sub-millisecond telemetry ingest latency, and immutable evidentiary auditing. The platform coordinates heterogeneous data structures ranging from structured relational threat models and dynamic WAF policies to raw binary images scrutinized for steganographic payloads and multi-line unified git diff patches.</w:t>
      </w:r>
    </w:p>
    <w:p>
      <w:pPr>
        <w:spacing w:line="360" w:lineRule="auto" w:after="160"/>
        <w:jc w:val="both"/>
      </w:pPr>
      <w:r>
        <w:rPr>
          <w:rFonts w:ascii="Times New Roman" w:hAnsi="Times New Roman"/>
          <w:color w:val="000000"/>
          <w:sz w:val="24"/>
        </w:rPr>
        <w:t>To achieve optimal throughput without compromising consistency, SentroniX deploys a tiered polyglot persistence architecture:</w:t>
      </w:r>
    </w:p>
    <w:p>
      <w:pPr>
        <w:pStyle w:val="ListBullet"/>
        <w:spacing w:line="360" w:lineRule="auto" w:after="120"/>
        <w:jc w:val="both"/>
      </w:pPr>
      <w:r>
        <w:rPr>
          <w:rFonts w:ascii="Times New Roman" w:hAnsi="Times New Roman"/>
          <w:b/>
          <w:color w:val="000000"/>
          <w:sz w:val="24"/>
        </w:rPr>
        <w:t xml:space="preserve">1. Primary Relational Tier (PostgreSQL 15): </w:t>
      </w:r>
      <w:r>
        <w:rPr>
          <w:rFonts w:ascii="Times New Roman" w:hAnsi="Times New Roman"/>
          <w:color w:val="000000"/>
          <w:sz w:val="24"/>
        </w:rPr>
        <w:t>Serves as the ACID-compliant system of record for user credentials, vulnerability finding catalogs, remediation pull request logs, and historical strike telemetry.</w:t>
      </w:r>
    </w:p>
    <w:p>
      <w:pPr>
        <w:pStyle w:val="ListBullet"/>
        <w:spacing w:line="360" w:lineRule="auto" w:after="120"/>
        <w:jc w:val="both"/>
      </w:pPr>
      <w:r>
        <w:rPr>
          <w:rFonts w:ascii="Times New Roman" w:hAnsi="Times New Roman"/>
          <w:b/>
          <w:color w:val="000000"/>
          <w:sz w:val="24"/>
        </w:rPr>
        <w:t xml:space="preserve">2. High-Speed Ephemeral Cache &amp; Message Broker (Redis 7): </w:t>
      </w:r>
      <w:r>
        <w:rPr>
          <w:rFonts w:ascii="Times New Roman" w:hAnsi="Times New Roman"/>
          <w:color w:val="000000"/>
          <w:sz w:val="24"/>
        </w:rPr>
        <w:t>Provides in-memory caching for live WAF toggle states, Celery task broker queues, and real-time WebSocket packet stream publication, ensuring zero-latency telemetry dispatch to the frontend console.</w:t>
      </w:r>
    </w:p>
    <w:p>
      <w:pPr>
        <w:pStyle w:val="ListBullet"/>
        <w:spacing w:line="360" w:lineRule="auto" w:after="120"/>
        <w:jc w:val="both"/>
      </w:pPr>
      <w:r>
        <w:rPr>
          <w:rFonts w:ascii="Times New Roman" w:hAnsi="Times New Roman"/>
          <w:b/>
          <w:color w:val="000000"/>
          <w:sz w:val="24"/>
        </w:rPr>
        <w:t xml:space="preserve">3. Sandboxed File Storage Vault (Secure Local Volume): </w:t>
      </w:r>
      <w:r>
        <w:rPr>
          <w:rFonts w:ascii="Times New Roman" w:hAnsi="Times New Roman"/>
          <w:color w:val="000000"/>
          <w:sz w:val="24"/>
        </w:rPr>
        <w:t>Isolates untrusted binary uploads, StegSeek payload extractions, and YARA rule compilation bundles inside restricted, non-executable filesystem partitions.</w:t>
      </w:r>
    </w:p>
    <w:p>
      <w:pPr>
        <w:keepNext/>
        <w:spacing w:before="280" w:after="120" w:line="360" w:lineRule="auto"/>
        <w:jc w:val="left"/>
      </w:pPr>
      <w:r>
        <w:rPr>
          <w:rFonts w:ascii="Times New Roman" w:hAnsi="Times New Roman"/>
          <w:b/>
          <w:color w:val="111827"/>
          <w:sz w:val="25"/>
        </w:rPr>
        <w:t>4.1.1 Schema Design (ERD)</w:t>
      </w:r>
    </w:p>
    <w:p>
      <w:pPr>
        <w:spacing w:line="360" w:lineRule="auto" w:after="160"/>
        <w:jc w:val="both"/>
      </w:pPr>
      <w:r>
        <w:rPr>
          <w:rFonts w:ascii="Times New Roman" w:hAnsi="Times New Roman"/>
          <w:color w:val="000000"/>
          <w:sz w:val="24"/>
        </w:rPr>
        <w:t>The relational database schema is normalized to Third Normal Form (3NF) to eliminate redundant storage anomalies while preserving referential integrity across offensive strike execution records and defensive remediation lifecycles. Figure 4.1 illustrates the structural entity-relationship model.</w:t>
      </w:r>
    </w:p>
    <w:p>
      <w:pPr>
        <w:spacing w:before="240" w:after="120"/>
        <w:jc w:val="center"/>
      </w:pPr>
      <w:r>
        <w:drawing>
          <wp:inline xmlns:a="http://schemas.openxmlformats.org/drawingml/2006/main" xmlns:pic="http://schemas.openxmlformats.org/drawingml/2006/picture">
            <wp:extent cx="5852160" cy="4067563"/>
            <wp:docPr id="1" name="Picture 1"/>
            <wp:cNvGraphicFramePr>
              <a:graphicFrameLocks noChangeAspect="1"/>
            </wp:cNvGraphicFramePr>
            <a:graphic>
              <a:graphicData uri="http://schemas.openxmlformats.org/drawingml/2006/picture">
                <pic:pic>
                  <pic:nvPicPr>
                    <pic:cNvPr id="0" name="fig_4_1_erd.png"/>
                    <pic:cNvPicPr/>
                  </pic:nvPicPr>
                  <pic:blipFill>
                    <a:blip r:embed="rId9"/>
                    <a:stretch>
                      <a:fillRect/>
                    </a:stretch>
                  </pic:blipFill>
                  <pic:spPr>
                    <a:xfrm>
                      <a:off x="0" y="0"/>
                      <a:ext cx="5852160" cy="4067563"/>
                    </a:xfrm>
                    <a:prstGeom prst="rect"/>
                  </pic:spPr>
                </pic:pic>
              </a:graphicData>
            </a:graphic>
          </wp:inline>
        </w:drawing>
      </w:r>
    </w:p>
    <w:p>
      <w:pPr>
        <w:spacing w:after="320"/>
        <w:jc w:val="center"/>
      </w:pPr>
      <w:r>
        <w:rPr>
          <w:rFonts w:ascii="Times New Roman" w:hAnsi="Times New Roman"/>
          <w:i/>
          <w:color w:val="374151"/>
          <w:sz w:val="20"/>
        </w:rPr>
        <w:t>Figure 4.1: SentroniX High-Integrity Relational Schema &amp; Entity-Relationship Architecture</w:t>
      </w:r>
    </w:p>
    <w:p>
      <w:pPr>
        <w:spacing w:line="360" w:lineRule="auto" w:after="160"/>
        <w:jc w:val="both"/>
      </w:pPr>
      <w:r>
        <w:rPr>
          <w:rFonts w:ascii="Times New Roman" w:hAnsi="Times New Roman"/>
          <w:color w:val="000000"/>
          <w:sz w:val="24"/>
        </w:rPr>
        <w:t>The relational schema coordinates five foundational tables, each governed by strict schema definitions and explicit referential constraints:</w:t>
      </w:r>
    </w:p>
    <w:p>
      <w:pPr>
        <w:keepNext/>
        <w:spacing w:before="200" w:after="80" w:line="360" w:lineRule="auto"/>
        <w:jc w:val="left"/>
      </w:pPr>
      <w:r>
        <w:rPr>
          <w:rFonts w:ascii="Times New Roman" w:hAnsi="Times New Roman"/>
          <w:b/>
          <w:i/>
          <w:color w:val="1F2937"/>
          <w:sz w:val="24"/>
        </w:rPr>
        <w:t>Table 4.1: Data Dictionary - users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Column Name</w:t>
            </w:r>
          </w:p>
        </w:tc>
        <w:tc>
          <w:tcPr>
            <w:tcW w:type="dxa" w:w="187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Data Type</w:t>
            </w:r>
          </w:p>
        </w:tc>
        <w:tc>
          <w:tcPr>
            <w:tcW w:type="dxa" w:w="230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Constraint</w:t>
            </w:r>
          </w:p>
        </w:tc>
        <w:tc>
          <w:tcPr>
            <w:tcW w:type="dxa" w:w="360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Description</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id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INTEGER</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PRIMARY KEY, AUTO</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Unique identifier for user account</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email</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VARCHAR(255)</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UNIQUE, INDEX</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User login email and tenant scope identifier</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hashed_password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VARCHAR(255)</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Bcrypt-hashed password digest (cost factor 12)</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is_active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BOOLEAN</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DEFAULT TRUE</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Account authorization status flag</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role</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VARCHAR(32)</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 DEFAULT 'ANALYST'</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RBAC role assignment: ADMIN, ANALYST, AUDITOR</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created_at</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TIMESTAMP</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DEFAULT NOW()</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Account creation UTC timestamp</w:t>
            </w:r>
          </w:p>
        </w:tc>
      </w:tr>
    </w:tbl>
    <w:p>
      <w:pPr>
        <w:spacing w:after="160"/>
      </w:pPr>
    </w:p>
    <w:p>
      <w:pPr>
        <w:keepNext/>
        <w:spacing w:before="200" w:after="80" w:line="360" w:lineRule="auto"/>
        <w:jc w:val="left"/>
      </w:pPr>
      <w:r>
        <w:rPr>
          <w:rFonts w:ascii="Times New Roman" w:hAnsi="Times New Roman"/>
          <w:b/>
          <w:i/>
          <w:color w:val="1F2937"/>
          <w:sz w:val="24"/>
        </w:rPr>
        <w:t>Table 4.2: Data Dictionary - unified_findings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Column Name</w:t>
            </w:r>
          </w:p>
        </w:tc>
        <w:tc>
          <w:tcPr>
            <w:tcW w:type="dxa" w:w="187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Data Type</w:t>
            </w:r>
          </w:p>
        </w:tc>
        <w:tc>
          <w:tcPr>
            <w:tcW w:type="dxa" w:w="230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Constraint</w:t>
            </w:r>
          </w:p>
        </w:tc>
        <w:tc>
          <w:tcPr>
            <w:tcW w:type="dxa" w:w="360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Description</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id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INTEGER</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PRIMARY KEY, AUTO</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Unique finding ledger identifier</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scan_id</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INDEX</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Trace identifier linking to Celery batch run</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tenant_id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 INDEX</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Multi-tenant tenant isolation key</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pillar</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Pillar origin: SAST, DAST, SCA, STEG, RED_TEAM</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tool_used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Executing engine: Semgrep, ZAP, Trivy, StegSeek</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vulnerability_title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VARCHAR(255)</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Standardized descriptive vulnerability title</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severity</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VARCHAR(16)</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 ENUM</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Severity rating: CRITICAL, HIGH, MEDIUM, LOW</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cwe_id</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VARCHAR(32)</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INDEX</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Common Weakness Enumeration mapping (e.g. CWE-89)</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location</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VARCHAR(512)</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File path, code line number, or target endpoint URI</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description</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TEXT</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Detailed vulnerability synopsis and exploit condition</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raw_payload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TEXT</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NULLABLE</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Unsanitized malicious payload string injected</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ai_explanation</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TEXT</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NULLABLE</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Gemini 3.6 Flash root-cause contextual analysis</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ai_remediation_patch</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TEXT</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NULLABLE</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Synthesized unified code diff patch (--- a/, +++ b/)</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created_at</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TIMESTAMP</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DEFAULT NOW()</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Initial vulnerability detection UTC timestamp</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updated_at</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TIMESTAMP</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 DEFAULT NOW()</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Last triage, comment, or patch update timestamp</w:t>
            </w:r>
          </w:p>
        </w:tc>
      </w:tr>
    </w:tbl>
    <w:p>
      <w:pPr>
        <w:spacing w:after="160"/>
      </w:pPr>
    </w:p>
    <w:p>
      <w:pPr>
        <w:keepNext/>
        <w:spacing w:before="200" w:after="80" w:line="360" w:lineRule="auto"/>
        <w:jc w:val="left"/>
      </w:pPr>
      <w:r>
        <w:rPr>
          <w:rFonts w:ascii="Times New Roman" w:hAnsi="Times New Roman"/>
          <w:b/>
          <w:i/>
          <w:color w:val="1F2937"/>
          <w:sz w:val="24"/>
        </w:rPr>
        <w:t>Table 4.3: Data Dictionary - strike_telemetry_logs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Column Name</w:t>
            </w:r>
          </w:p>
        </w:tc>
        <w:tc>
          <w:tcPr>
            <w:tcW w:type="dxa" w:w="187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Data Type</w:t>
            </w:r>
          </w:p>
        </w:tc>
        <w:tc>
          <w:tcPr>
            <w:tcW w:type="dxa" w:w="230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Constraint</w:t>
            </w:r>
          </w:p>
        </w:tc>
        <w:tc>
          <w:tcPr>
            <w:tcW w:type="dxa" w:w="360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Description</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strike_id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PRIMARY KEY</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Cryptographic UUID for attack simulation event</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finding_id</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INTEGER</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FOREIGN KEY, NULLABLE</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References unified_findings.id (CASCADE)</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scenario_id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Atomic Red Team scenario key (e.g. T1059.001)</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mitre_technique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INDEX</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Formal MITRE ATT&amp;CK technique reference</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target_endpoint</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VARCHAR(255)</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Evaluated URI endpoint path</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injected_payload</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TEXT</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Exact raw payload dispatched over HTTP socket</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defense_status</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Verdict: INTERCEPTED, EXPLOIT BYPASSED</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status_code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INTEGER</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HTTP response code (403 Forbidden vs 200 OK)</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latency_ms</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FLOAT</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Sub-millisecond round-trip defense latency</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executed_at</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TIMESTAMP</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DEFAULT NOW()</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Execution event UTC timestamp</w:t>
            </w:r>
          </w:p>
        </w:tc>
      </w:tr>
    </w:tbl>
    <w:p>
      <w:pPr>
        <w:spacing w:after="160"/>
      </w:pPr>
    </w:p>
    <w:p>
      <w:pPr>
        <w:keepNext/>
        <w:spacing w:before="200" w:after="80" w:line="360" w:lineRule="auto"/>
        <w:jc w:val="left"/>
      </w:pPr>
      <w:r>
        <w:rPr>
          <w:rFonts w:ascii="Times New Roman" w:hAnsi="Times New Roman"/>
          <w:b/>
          <w:i/>
          <w:color w:val="1F2937"/>
          <w:sz w:val="24"/>
        </w:rPr>
        <w:t>Table 4.4: Data Dictionary - steg_analysis_results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Column Name</w:t>
            </w:r>
          </w:p>
        </w:tc>
        <w:tc>
          <w:tcPr>
            <w:tcW w:type="dxa" w:w="187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Data Type</w:t>
            </w:r>
          </w:p>
        </w:tc>
        <w:tc>
          <w:tcPr>
            <w:tcW w:type="dxa" w:w="230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Constraint</w:t>
            </w:r>
          </w:p>
        </w:tc>
        <w:tc>
          <w:tcPr>
            <w:tcW w:type="dxa" w:w="360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Description</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id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INTEGER</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PRIMARY KEY, AUTO</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Unique forensic analysis run identifier</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filename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VARCHAR(255)</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INDEX</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Uploaded carrier file identifier</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tool_used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Forensic tool: StegSeek, Steghide, ExifTool</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status</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VARCHAR(32)</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Triage status: Completed, Failed, Suspicious</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threat_detected</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BOOLEAN</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True if hidden payload or trailing byte found</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findings</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TEXT</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Extracted payload dump or statistical analysis</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created_at</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TIMESTAMP</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 DEFAULT NOW()</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Forensic inspection UTC timestamp</w:t>
            </w:r>
          </w:p>
        </w:tc>
      </w:tr>
    </w:tbl>
    <w:p>
      <w:pPr>
        <w:spacing w:after="160"/>
      </w:pPr>
    </w:p>
    <w:p>
      <w:pPr>
        <w:keepNext/>
        <w:spacing w:before="200" w:after="80" w:line="360" w:lineRule="auto"/>
        <w:jc w:val="left"/>
      </w:pPr>
      <w:r>
        <w:rPr>
          <w:rFonts w:ascii="Times New Roman" w:hAnsi="Times New Roman"/>
          <w:b/>
          <w:i/>
          <w:color w:val="1F2937"/>
          <w:sz w:val="24"/>
        </w:rPr>
        <w:t>Table 4.5: Data Dictionary - remediation_pr_records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Column Name</w:t>
            </w:r>
          </w:p>
        </w:tc>
        <w:tc>
          <w:tcPr>
            <w:tcW w:type="dxa" w:w="187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Data Type</w:t>
            </w:r>
          </w:p>
        </w:tc>
        <w:tc>
          <w:tcPr>
            <w:tcW w:type="dxa" w:w="230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Constraint</w:t>
            </w:r>
          </w:p>
        </w:tc>
        <w:tc>
          <w:tcPr>
            <w:tcW w:type="dxa" w:w="360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Description</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pr_number</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INTEGER</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PRIMARY KEY</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GitHub Pull Request chronological integer ID</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finding_id</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INTEGER</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FOREIGN KEY</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References unified_findings.id (CASCADE)</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repo_slug</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VARCHAR(128)</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Target repository slug (e.g. Keval-Doshi/SentroniX)</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branch_name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VARCHAR(128)</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Synthesized remediation branch name</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base_branch</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VARCHAR(64)</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 DEFAULT 'main'</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Target base branch for PR merge</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pr_url</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VARCHAR(512)</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Direct HTTPS link to opened pull request on GitHub</w:t>
            </w:r>
          </w:p>
        </w:tc>
      </w:tr>
      <w:tr>
        <w:tc>
          <w:tcPr>
            <w:tcW w:type="dxa" w:w="2160"/>
            <w:shd w:fill="F8FAFC"/>
            <w:tcMar>
              <w:top w:w="80" w:type="dxa"/>
              <w:bottom w:w="80" w:type="dxa"/>
              <w:left w:w="100" w:type="dxa"/>
              <w:right w:w="100" w:type="dxa"/>
            </w:tcMar>
          </w:tcPr>
          <w:p>
            <w:pPr>
              <w:spacing w:line="276" w:lineRule="auto"/>
            </w:pPr>
            <w:r>
              <w:rPr>
                <w:rFonts w:ascii="Times New Roman" w:hAnsi="Times New Roman"/>
                <w:sz w:val="19"/>
              </w:rPr>
              <w:t>pr_status</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VARCHAR(32)</w:t>
            </w:r>
          </w:p>
        </w:tc>
        <w:tc>
          <w:tcPr>
            <w:tcW w:type="dxa" w:w="2304"/>
            <w:shd w:fill="F8FAFC"/>
            <w:tcMar>
              <w:top w:w="80" w:type="dxa"/>
              <w:bottom w:w="80" w:type="dxa"/>
              <w:left w:w="100" w:type="dxa"/>
              <w:right w:w="100" w:type="dxa"/>
            </w:tcMar>
          </w:tcPr>
          <w:p>
            <w:pPr>
              <w:spacing w:line="276" w:lineRule="auto"/>
            </w:pPr>
            <w:r>
              <w:rPr>
                <w:rFonts w:ascii="Times New Roman" w:hAnsi="Times New Roman"/>
                <w:sz w:val="19"/>
              </w:rPr>
              <w:t>NOT NULL, DEFAULT 'OPEN'</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PR state: OPEN, MERGED, CLOSED</w:t>
            </w:r>
          </w:p>
        </w:tc>
      </w:tr>
      <w:tr>
        <w:tc>
          <w:tcPr>
            <w:tcW w:type="dxa" w:w="2160"/>
            <w:shd w:fill="FFFFFF"/>
            <w:tcMar>
              <w:top w:w="80" w:type="dxa"/>
              <w:bottom w:w="80" w:type="dxa"/>
              <w:left w:w="100" w:type="dxa"/>
              <w:right w:w="100" w:type="dxa"/>
            </w:tcMar>
          </w:tcPr>
          <w:p>
            <w:pPr>
              <w:spacing w:line="276" w:lineRule="auto"/>
            </w:pPr>
            <w:r>
              <w:rPr>
                <w:rFonts w:ascii="Times New Roman" w:hAnsi="Times New Roman"/>
                <w:sz w:val="19"/>
              </w:rPr>
              <w:t>created_at</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TIMESTAMP</w:t>
            </w:r>
          </w:p>
        </w:tc>
        <w:tc>
          <w:tcPr>
            <w:tcW w:type="dxa" w:w="2304"/>
            <w:shd w:fill="FFFFFF"/>
            <w:tcMar>
              <w:top w:w="80" w:type="dxa"/>
              <w:bottom w:w="80" w:type="dxa"/>
              <w:left w:w="100" w:type="dxa"/>
              <w:right w:w="100" w:type="dxa"/>
            </w:tcMar>
          </w:tcPr>
          <w:p>
            <w:pPr>
              <w:spacing w:line="276" w:lineRule="auto"/>
            </w:pPr>
            <w:r>
              <w:rPr>
                <w:rFonts w:ascii="Times New Roman" w:hAnsi="Times New Roman"/>
                <w:sz w:val="19"/>
              </w:rPr>
              <w:t>NOT NULL, DEFAULT NOW()</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Pull request dispatch UTC timestamp</w:t>
            </w:r>
          </w:p>
        </w:tc>
      </w:tr>
    </w:tbl>
    <w:p>
      <w:pPr>
        <w:spacing w:after="160"/>
      </w:pPr>
    </w:p>
    <w:p>
      <w:r>
        <w:br w:type="page"/>
      </w:r>
    </w:p>
    <w:p>
      <w:pPr>
        <w:keepNext/>
        <w:spacing w:before="360" w:after="160" w:line="360" w:lineRule="auto"/>
        <w:jc w:val="left"/>
      </w:pPr>
      <w:r>
        <w:rPr>
          <w:rFonts w:ascii="Times New Roman" w:hAnsi="Times New Roman"/>
          <w:b/>
          <w:color w:val="000000"/>
          <w:sz w:val="28"/>
        </w:rPr>
        <w:t>4.2 Data Integrity and Constraints (file design)</w:t>
      </w:r>
    </w:p>
    <w:p>
      <w:pPr>
        <w:spacing w:line="360" w:lineRule="auto" w:after="160"/>
        <w:jc w:val="both"/>
      </w:pPr>
      <w:r>
        <w:rPr>
          <w:rFonts w:ascii="Times New Roman" w:hAnsi="Times New Roman"/>
          <w:color w:val="000000"/>
          <w:sz w:val="24"/>
        </w:rPr>
        <w:t>Data integrity represents the operational bedrock of any automated security platform. Because SentroniX actively dispatches adversarial vectors and generates automated code diffs merged directly into source repositories, data corruption, injection attacks, or incomplete transactions could introduce catastrophic vulnerabilities into production codebases. Accordingly, data integrity is enforced across four distinct architectural layers:</w:t>
      </w:r>
    </w:p>
    <w:p>
      <w:pPr>
        <w:keepNext/>
        <w:spacing w:before="280" w:after="120" w:line="360" w:lineRule="auto"/>
        <w:jc w:val="left"/>
      </w:pPr>
      <w:r>
        <w:rPr>
          <w:rFonts w:ascii="Times New Roman" w:hAnsi="Times New Roman"/>
          <w:b/>
          <w:color w:val="111827"/>
          <w:sz w:val="25"/>
        </w:rPr>
        <w:t>4.2.1 Entity and Referential Integrity Constraints</w:t>
      </w:r>
    </w:p>
    <w:p>
      <w:pPr>
        <w:spacing w:line="360" w:lineRule="auto" w:after="160"/>
        <w:jc w:val="both"/>
      </w:pPr>
      <w:r>
        <w:rPr>
          <w:rFonts w:ascii="Times New Roman" w:hAnsi="Times New Roman"/>
          <w:color w:val="000000"/>
          <w:sz w:val="24"/>
        </w:rPr>
        <w:t>Referential constraints guarantee that dependent telemetry, forensic scans, and pull requests maintain absolute relational fidelity:</w:t>
      </w:r>
    </w:p>
    <w:p>
      <w:pPr>
        <w:pStyle w:val="ListBullet"/>
        <w:spacing w:line="360" w:lineRule="auto" w:after="120"/>
        <w:jc w:val="both"/>
      </w:pPr>
      <w:r>
        <w:rPr>
          <w:rFonts w:ascii="Times New Roman" w:hAnsi="Times New Roman"/>
          <w:b/>
          <w:color w:val="000000"/>
          <w:sz w:val="24"/>
        </w:rPr>
        <w:t xml:space="preserve">Primary Key (PK) Uniqueness: </w:t>
      </w:r>
      <w:r>
        <w:rPr>
          <w:rFonts w:ascii="Times New Roman" w:hAnsi="Times New Roman"/>
          <w:color w:val="000000"/>
          <w:sz w:val="24"/>
        </w:rPr>
        <w:t>Enforced on all tables via auto-incrementing surrogate keys (`id`) or deterministic UUIDs (`strike_id`), guaranteeing unique record addressing across high-concurrency ingestion.</w:t>
      </w:r>
    </w:p>
    <w:p>
      <w:pPr>
        <w:pStyle w:val="ListBullet"/>
        <w:spacing w:line="360" w:lineRule="auto" w:after="120"/>
        <w:jc w:val="both"/>
      </w:pPr>
      <w:r>
        <w:rPr>
          <w:rFonts w:ascii="Times New Roman" w:hAnsi="Times New Roman"/>
          <w:b/>
          <w:color w:val="000000"/>
          <w:sz w:val="24"/>
        </w:rPr>
        <w:t xml:space="preserve">Foreign Key (FK) Referential Constraints: </w:t>
      </w:r>
      <w:r>
        <w:rPr>
          <w:rFonts w:ascii="Times New Roman" w:hAnsi="Times New Roman"/>
          <w:color w:val="000000"/>
          <w:sz w:val="24"/>
        </w:rPr>
        <w:t>Foreign keys (`finding_id` in `strike_telemetry_logs` and `remediation_pr_records`) maintain `ON DELETE CASCADE` semantics. When a parent vulnerability is purged or re-evaluated, corresponding operational logs cascade appropriately without orphaned artifacts.</w:t>
      </w:r>
    </w:p>
    <w:p>
      <w:pPr>
        <w:pStyle w:val="ListBullet"/>
        <w:spacing w:line="360" w:lineRule="auto" w:after="120"/>
        <w:jc w:val="both"/>
      </w:pPr>
      <w:r>
        <w:rPr>
          <w:rFonts w:ascii="Times New Roman" w:hAnsi="Times New Roman"/>
          <w:b/>
          <w:color w:val="000000"/>
          <w:sz w:val="24"/>
        </w:rPr>
        <w:t xml:space="preserve">Multi-Tenant Composite Scoping: </w:t>
      </w:r>
      <w:r>
        <w:rPr>
          <w:rFonts w:ascii="Times New Roman" w:hAnsi="Times New Roman"/>
          <w:color w:val="000000"/>
          <w:sz w:val="24"/>
        </w:rPr>
        <w:t>All operational queries enforce composite scoping `WHERE tenant_id = :tenant_id AND id = :id`, ensuring strict cryptographic and logical boundaries between multi-tenant environments.</w:t>
      </w:r>
    </w:p>
    <w:p>
      <w:pPr>
        <w:keepNext/>
        <w:spacing w:before="280" w:after="120" w:line="360" w:lineRule="auto"/>
        <w:jc w:val="left"/>
      </w:pPr>
      <w:r>
        <w:rPr>
          <w:rFonts w:ascii="Times New Roman" w:hAnsi="Times New Roman"/>
          <w:b/>
          <w:color w:val="111827"/>
          <w:sz w:val="25"/>
        </w:rPr>
        <w:t>4.2.2 Domain Constraints and Validation Mechanics</w:t>
      </w:r>
    </w:p>
    <w:p>
      <w:pPr>
        <w:spacing w:line="360" w:lineRule="auto" w:after="160"/>
        <w:jc w:val="both"/>
      </w:pPr>
      <w:r>
        <w:rPr>
          <w:rFonts w:ascii="Times New Roman" w:hAnsi="Times New Roman"/>
          <w:color w:val="000000"/>
          <w:sz w:val="24"/>
        </w:rPr>
        <w:t>Input sanitization occurs at the perimeter before relational insertion through Pydantic V2 data models:</w:t>
      </w:r>
    </w:p>
    <w:p>
      <w:pPr>
        <w:pStyle w:val="ListBullet"/>
        <w:spacing w:line="360" w:lineRule="auto" w:after="120"/>
        <w:jc w:val="both"/>
      </w:pPr>
      <w:r>
        <w:rPr>
          <w:rFonts w:ascii="Times New Roman" w:hAnsi="Times New Roman"/>
          <w:b/>
          <w:color w:val="000000"/>
          <w:sz w:val="24"/>
        </w:rPr>
        <w:t xml:space="preserve">Severity Rating Validation: </w:t>
      </w:r>
      <w:r>
        <w:rPr>
          <w:rFonts w:ascii="Times New Roman" w:hAnsi="Times New Roman"/>
          <w:color w:val="000000"/>
          <w:sz w:val="24"/>
        </w:rPr>
        <w:t>Restricted to an immutable enum: `CRITICAL`, `HIGH`, `MEDIUM`, `LOW`. Arbitrary strings are rejected with HTTP 422 Unprocessable Entity.</w:t>
      </w:r>
    </w:p>
    <w:p>
      <w:pPr>
        <w:pStyle w:val="ListBullet"/>
        <w:spacing w:line="360" w:lineRule="auto" w:after="120"/>
        <w:jc w:val="both"/>
      </w:pPr>
      <w:r>
        <w:rPr>
          <w:rFonts w:ascii="Times New Roman" w:hAnsi="Times New Roman"/>
          <w:b/>
          <w:color w:val="000000"/>
          <w:sz w:val="24"/>
        </w:rPr>
        <w:t xml:space="preserve">CWE Identifier Formatting: </w:t>
      </w:r>
      <w:r>
        <w:rPr>
          <w:rFonts w:ascii="Times New Roman" w:hAnsi="Times New Roman"/>
          <w:color w:val="000000"/>
          <w:sz w:val="24"/>
        </w:rPr>
        <w:t>Validated against regular expression pattern `^CWE-\d{1,5}$` to guarantee compliance with MITRE Common Weakness standards.</w:t>
      </w:r>
    </w:p>
    <w:p>
      <w:pPr>
        <w:pStyle w:val="ListBullet"/>
        <w:spacing w:line="360" w:lineRule="auto" w:after="120"/>
        <w:jc w:val="both"/>
      </w:pPr>
      <w:r>
        <w:rPr>
          <w:rFonts w:ascii="Times New Roman" w:hAnsi="Times New Roman"/>
          <w:b/>
          <w:color w:val="000000"/>
          <w:sz w:val="24"/>
        </w:rPr>
        <w:t xml:space="preserve">Target Endpoint URI Sanitization: </w:t>
      </w:r>
      <w:r>
        <w:rPr>
          <w:rFonts w:ascii="Times New Roman" w:hAnsi="Times New Roman"/>
          <w:color w:val="000000"/>
          <w:sz w:val="24"/>
        </w:rPr>
        <w:t>Endpoints submitted to the Live Target Fuzzer are validated using Python's `urllib.parse` library. Schemes are restricted strictly to `http://` and `https://`, preventing socket protocol smuggling (e.g. `file://`, `gopher://`).</w:t>
      </w:r>
    </w:p>
    <w:p>
      <w:pPr>
        <w:keepNext/>
        <w:spacing w:before="280" w:after="120" w:line="360" w:lineRule="auto"/>
        <w:jc w:val="left"/>
      </w:pPr>
      <w:r>
        <w:rPr>
          <w:rFonts w:ascii="Times New Roman" w:hAnsi="Times New Roman"/>
          <w:b/>
          <w:color w:val="111827"/>
          <w:sz w:val="25"/>
        </w:rPr>
        <w:t>4.2.3 Transactional ACID Guarantees &amp; Concurrency Handling</w:t>
      </w:r>
    </w:p>
    <w:p>
      <w:pPr>
        <w:spacing w:line="360" w:lineRule="auto" w:after="160"/>
        <w:jc w:val="both"/>
      </w:pPr>
      <w:r>
        <w:rPr>
          <w:rFonts w:ascii="Times New Roman" w:hAnsi="Times New Roman"/>
          <w:color w:val="000000"/>
          <w:sz w:val="24"/>
        </w:rPr>
        <w:t>The underlying PostgreSQL database engine enforces Multi-Version Concurrency Control (MVCC) with Read Committed isolation level. When an automated AI remediation patch is generated and applied to the database, an atomic transaction encapsulates findings ledger updates, audit trail generation, and Redis notification dispatch. In the event of a worker failure, rollback triggers immediately, preventing partial patch states.</w:t>
      </w:r>
    </w:p>
    <w:p>
      <w:pPr>
        <w:keepNext/>
        <w:spacing w:before="280" w:after="120" w:line="360" w:lineRule="auto"/>
        <w:jc w:val="left"/>
      </w:pPr>
      <w:r>
        <w:rPr>
          <w:rFonts w:ascii="Times New Roman" w:hAnsi="Times New Roman"/>
          <w:b/>
          <w:color w:val="111827"/>
          <w:sz w:val="25"/>
        </w:rPr>
        <w:t>4.2.4 File Design and Sandboxed Physical Storage Architecture</w:t>
      </w:r>
    </w:p>
    <w:p>
      <w:pPr>
        <w:spacing w:line="360" w:lineRule="auto" w:after="160"/>
        <w:jc w:val="both"/>
      </w:pPr>
      <w:r>
        <w:rPr>
          <w:rFonts w:ascii="Times New Roman" w:hAnsi="Times New Roman"/>
          <w:color w:val="000000"/>
          <w:sz w:val="24"/>
        </w:rPr>
        <w:t>SentroniX handles volatile binary payloads during steganography and malware analysis. Allowing untrusted files to reside on arbitrary application paths represents a grave security risk. Consequently, the file storage subsystem is engineered under the Principle of Least Privilege:</w:t>
      </w:r>
    </w:p>
    <w:p>
      <w:pPr>
        <w:pStyle w:val="ListBullet"/>
        <w:spacing w:line="360" w:lineRule="auto" w:after="120"/>
        <w:jc w:val="both"/>
      </w:pPr>
      <w:r>
        <w:rPr>
          <w:rFonts w:ascii="Times New Roman" w:hAnsi="Times New Roman"/>
          <w:b/>
          <w:color w:val="000000"/>
          <w:sz w:val="24"/>
        </w:rPr>
        <w:t xml:space="preserve">Deterministic SHA-256 Content-Addressable Storage: </w:t>
      </w:r>
      <w:r>
        <w:rPr>
          <w:rFonts w:ascii="Times New Roman" w:hAnsi="Times New Roman"/>
          <w:color w:val="000000"/>
          <w:sz w:val="24"/>
        </w:rPr>
        <w:t>Uploaded files are renamed immediately to their SHA-256 hexadecimal digest upon ingestion, neutralizing path traversal attacks (e.g. `../../etc/passwd`).</w:t>
      </w:r>
    </w:p>
    <w:p>
      <w:pPr>
        <w:pStyle w:val="ListBullet"/>
        <w:spacing w:line="360" w:lineRule="auto" w:after="120"/>
        <w:jc w:val="both"/>
      </w:pPr>
      <w:r>
        <w:rPr>
          <w:rFonts w:ascii="Times New Roman" w:hAnsi="Times New Roman"/>
          <w:b/>
          <w:color w:val="000000"/>
          <w:sz w:val="24"/>
        </w:rPr>
        <w:t xml:space="preserve">Filesystem Mounting Restrictions: </w:t>
      </w:r>
      <w:r>
        <w:rPr>
          <w:rFonts w:ascii="Times New Roman" w:hAnsi="Times New Roman"/>
          <w:color w:val="000000"/>
          <w:sz w:val="24"/>
        </w:rPr>
        <w:t>The file vault directory (`/app/uploads`) is mounted with `noexec, nosuid, nodev` flags within Docker, preventing direct code execution of uploaded binaries.</w:t>
      </w:r>
    </w:p>
    <w:p>
      <w:pPr>
        <w:pStyle w:val="ListBullet"/>
        <w:spacing w:line="360" w:lineRule="auto" w:after="120"/>
        <w:jc w:val="both"/>
      </w:pPr>
      <w:r>
        <w:rPr>
          <w:rFonts w:ascii="Times New Roman" w:hAnsi="Times New Roman"/>
          <w:b/>
          <w:color w:val="000000"/>
          <w:sz w:val="24"/>
        </w:rPr>
        <w:t xml:space="preserve">Ephemeral Lifecycle Reclamation: </w:t>
      </w:r>
      <w:r>
        <w:rPr>
          <w:rFonts w:ascii="Times New Roman" w:hAnsi="Times New Roman"/>
          <w:color w:val="000000"/>
          <w:sz w:val="24"/>
        </w:rPr>
        <w:t>Celery worker background tasks automatically purge uploaded files older than 60 minutes after forensic extraction, maintaining strict storage quotas.</w:t>
      </w:r>
    </w:p>
    <w:p>
      <w:r>
        <w:br w:type="page"/>
      </w:r>
    </w:p>
    <w:p>
      <w:pPr>
        <w:keepNext/>
        <w:spacing w:before="360" w:after="160" w:line="360" w:lineRule="auto"/>
        <w:jc w:val="left"/>
      </w:pPr>
      <w:r>
        <w:rPr>
          <w:rFonts w:ascii="Times New Roman" w:hAnsi="Times New Roman"/>
          <w:b/>
          <w:color w:val="000000"/>
          <w:sz w:val="28"/>
        </w:rPr>
        <w:t>4.3 User Interface Design</w:t>
      </w:r>
    </w:p>
    <w:p>
      <w:pPr>
        <w:spacing w:line="360" w:lineRule="auto" w:after="160"/>
        <w:jc w:val="both"/>
      </w:pPr>
      <w:r>
        <w:rPr>
          <w:rFonts w:ascii="Times New Roman" w:hAnsi="Times New Roman"/>
          <w:color w:val="000000"/>
          <w:sz w:val="24"/>
        </w:rPr>
        <w:t>The SentroniX user interface is engineered to eliminate cognitive overload while presenting complex multi-vector telemetry in real time. Constructed using React 18, Vite, and TailwindCSS, the interface adopts a modern Bento Grid modular layout with high-contrast dark-mode glassmorphism. Crucially, the UI employs a 100% fluid percentage-based responsive layout architecture, guaranteeing zero horizontal overflow and flawless element scaling across all viewport categories—from 360px mobile touchscreens to 4K ultra-wide SOC monitoring displays.</w:t>
      </w:r>
    </w:p>
    <w:p>
      <w:pPr>
        <w:spacing w:before="240" w:after="120"/>
        <w:jc w:val="center"/>
      </w:pPr>
      <w:r>
        <w:drawing>
          <wp:inline xmlns:a="http://schemas.openxmlformats.org/drawingml/2006/main" xmlns:pic="http://schemas.openxmlformats.org/drawingml/2006/picture">
            <wp:extent cx="5852160" cy="3704578"/>
            <wp:docPr id="2" name="Picture 2"/>
            <wp:cNvGraphicFramePr>
              <a:graphicFrameLocks noChangeAspect="1"/>
            </wp:cNvGraphicFramePr>
            <a:graphic>
              <a:graphicData uri="http://schemas.openxmlformats.org/drawingml/2006/picture">
                <pic:pic>
                  <pic:nvPicPr>
                    <pic:cNvPr id="0" name="fig_4_3_ui_arch.png"/>
                    <pic:cNvPicPr/>
                  </pic:nvPicPr>
                  <pic:blipFill>
                    <a:blip r:embed="rId10"/>
                    <a:stretch>
                      <a:fillRect/>
                    </a:stretch>
                  </pic:blipFill>
                  <pic:spPr>
                    <a:xfrm>
                      <a:off x="0" y="0"/>
                      <a:ext cx="5852160" cy="3704578"/>
                    </a:xfrm>
                    <a:prstGeom prst="rect"/>
                  </pic:spPr>
                </pic:pic>
              </a:graphicData>
            </a:graphic>
          </wp:inline>
        </w:drawing>
      </w:r>
    </w:p>
    <w:p>
      <w:pPr>
        <w:spacing w:after="320"/>
        <w:jc w:val="center"/>
      </w:pPr>
      <w:r>
        <w:rPr>
          <w:rFonts w:ascii="Times New Roman" w:hAnsi="Times New Roman"/>
          <w:i/>
          <w:color w:val="374151"/>
          <w:sz w:val="20"/>
        </w:rPr>
        <w:t>Figure 4.3: SentroniX Adaptive User Interface &amp; Responsive Viewport System Architecture</w:t>
      </w:r>
    </w:p>
    <w:p>
      <w:pPr>
        <w:spacing w:line="360" w:lineRule="auto" w:after="160"/>
        <w:jc w:val="both"/>
      </w:pPr>
      <w:r>
        <w:rPr>
          <w:rFonts w:ascii="Times New Roman" w:hAnsi="Times New Roman"/>
          <w:color w:val="000000"/>
          <w:sz w:val="24"/>
        </w:rPr>
        <w:t>As illustrated in Figure 4.3, the desktop layout deploys a fixed `w-64` (16rem) sidebar navigation menu paired with a dynamically computed main content wrapper `className="flex-1 flex flex-col md:ml-64 min-w-0 w-full md:w-[calc(100%-16rem)] max-w-full overflow-x-hidden pb-16 md:pb-0"`. This architectural equation prevents the 256px horizontal blowout that previously caused content to slip under the sidebar on 1366px laptop screens. On touchscreens (&lt;768px), the sidebar collapses seamlessly into a fixed bottom navigation dock, maintaining instant access to all core operational views.</w:t>
      </w:r>
    </w:p>
    <w:p>
      <w:pPr>
        <w:keepNext/>
        <w:spacing w:before="280" w:after="120" w:line="360" w:lineRule="auto"/>
        <w:jc w:val="left"/>
      </w:pPr>
      <w:r>
        <w:rPr>
          <w:rFonts w:ascii="Times New Roman" w:hAnsi="Times New Roman"/>
          <w:b/>
          <w:color w:val="111827"/>
          <w:sz w:val="25"/>
        </w:rPr>
        <w:t>4.3.1 Use Case Diagram</w:t>
      </w:r>
    </w:p>
    <w:p>
      <w:pPr>
        <w:spacing w:line="360" w:lineRule="auto" w:after="160"/>
        <w:jc w:val="both"/>
      </w:pPr>
      <w:r>
        <w:rPr>
          <w:rFonts w:ascii="Times New Roman" w:hAnsi="Times New Roman"/>
          <w:color w:val="000000"/>
          <w:sz w:val="24"/>
        </w:rPr>
        <w:t>The functional capabilities of SentroniX are formally specified through the UML Use Case Diagram in Figure 4.4. The model identifies four primary actors: the SecOps Defensive Analyst, the Red Team Operator, the Google Gemini 3.6 Flash LLM Core, and External CI/CD Pipelines (GitHub &amp; Atlassian Jira).</w:t>
      </w:r>
    </w:p>
    <w:p>
      <w:pPr>
        <w:spacing w:before="240" w:after="120"/>
        <w:jc w:val="center"/>
      </w:pPr>
      <w:r>
        <w:drawing>
          <wp:inline xmlns:a="http://schemas.openxmlformats.org/drawingml/2006/main" xmlns:pic="http://schemas.openxmlformats.org/drawingml/2006/picture">
            <wp:extent cx="5852160" cy="3704578"/>
            <wp:docPr id="3" name="Picture 3"/>
            <wp:cNvGraphicFramePr>
              <a:graphicFrameLocks noChangeAspect="1"/>
            </wp:cNvGraphicFramePr>
            <a:graphic>
              <a:graphicData uri="http://schemas.openxmlformats.org/drawingml/2006/picture">
                <pic:pic>
                  <pic:nvPicPr>
                    <pic:cNvPr id="0" name="fig_4_2_use_case.png"/>
                    <pic:cNvPicPr/>
                  </pic:nvPicPr>
                  <pic:blipFill>
                    <a:blip r:embed="rId11"/>
                    <a:stretch>
                      <a:fillRect/>
                    </a:stretch>
                  </pic:blipFill>
                  <pic:spPr>
                    <a:xfrm>
                      <a:off x="0" y="0"/>
                      <a:ext cx="5852160" cy="3704578"/>
                    </a:xfrm>
                    <a:prstGeom prst="rect"/>
                  </pic:spPr>
                </pic:pic>
              </a:graphicData>
            </a:graphic>
          </wp:inline>
        </w:drawing>
      </w:r>
    </w:p>
    <w:p>
      <w:pPr>
        <w:spacing w:after="320"/>
        <w:jc w:val="center"/>
      </w:pPr>
      <w:r>
        <w:rPr>
          <w:rFonts w:ascii="Times New Roman" w:hAnsi="Times New Roman"/>
          <w:i/>
          <w:color w:val="374151"/>
          <w:sz w:val="20"/>
        </w:rPr>
        <w:t>Figure 4.4: SentroniX Actor-Driven Purple Team Platform Use Case Specification</w:t>
      </w:r>
    </w:p>
    <w:p>
      <w:pPr>
        <w:keepNext/>
        <w:spacing w:before="200" w:after="80" w:line="360" w:lineRule="auto"/>
        <w:jc w:val="left"/>
      </w:pPr>
      <w:r>
        <w:rPr>
          <w:rFonts w:ascii="Times New Roman" w:hAnsi="Times New Roman"/>
          <w:b/>
          <w:i/>
          <w:color w:val="1F2937"/>
          <w:sz w:val="24"/>
        </w:rPr>
        <w:t>Detailed Use Case Specifications</w:t>
      </w:r>
    </w:p>
    <w:p>
      <w:pPr>
        <w:pStyle w:val="ListBullet"/>
        <w:spacing w:line="360" w:lineRule="auto" w:after="120"/>
        <w:jc w:val="both"/>
      </w:pPr>
      <w:r>
        <w:rPr>
          <w:rFonts w:ascii="Times New Roman" w:hAnsi="Times New Roman"/>
          <w:b/>
          <w:color w:val="000000"/>
          <w:sz w:val="24"/>
        </w:rPr>
        <w:t xml:space="preserve">UC-1: Execute Atomic Red Team Attack Vector: </w:t>
      </w:r>
      <w:r>
        <w:rPr>
          <w:rFonts w:ascii="Times New Roman" w:hAnsi="Times New Roman"/>
          <w:color w:val="000000"/>
          <w:sz w:val="24"/>
        </w:rPr>
        <w:t>Primary Actor: Red Team Operator. Pre-conditions: Target endpoint and atomic scenario selected. Flow: Operator initiates strike; backend dispatches payload; WAF intercepts in sub-50ms; telemetry is logged to relational ledger. Post-conditions: Resilience scorecards update in real-time.</w:t>
      </w:r>
    </w:p>
    <w:p>
      <w:pPr>
        <w:pStyle w:val="ListBullet"/>
        <w:spacing w:line="360" w:lineRule="auto" w:after="120"/>
        <w:jc w:val="both"/>
      </w:pPr>
      <w:r>
        <w:rPr>
          <w:rFonts w:ascii="Times New Roman" w:hAnsi="Times New Roman"/>
          <w:b/>
          <w:color w:val="000000"/>
          <w:sz w:val="24"/>
        </w:rPr>
        <w:t xml:space="preserve">UC-2: Multi-Vector Live Target Endpoint Fuzzing: </w:t>
      </w:r>
      <w:r>
        <w:rPr>
          <w:rFonts w:ascii="Times New Roman" w:hAnsi="Times New Roman"/>
          <w:color w:val="000000"/>
          <w:sz w:val="24"/>
        </w:rPr>
        <w:t>Primary Actor: Red Team Operator. Pre-conditions: Target URL, HTTP method, and attack vector suites (SQLi, XSS, SSRF, SecLists) configured. Flow: Fast TCP sockets probe live target; response codes (403 vs 200) populate telemetry matrix. Post-conditions: Discovered vulnerabilities enable direct AI Patch generation.</w:t>
      </w:r>
    </w:p>
    <w:p>
      <w:pPr>
        <w:pStyle w:val="ListBullet"/>
        <w:spacing w:line="360" w:lineRule="auto" w:after="120"/>
        <w:jc w:val="both"/>
      </w:pPr>
      <w:r>
        <w:rPr>
          <w:rFonts w:ascii="Times New Roman" w:hAnsi="Times New Roman"/>
          <w:b/>
          <w:color w:val="000000"/>
          <w:sz w:val="24"/>
        </w:rPr>
        <w:t xml:space="preserve">UC-3: Deep HTTP Packet Stream Inspection: </w:t>
      </w:r>
      <w:r>
        <w:rPr>
          <w:rFonts w:ascii="Times New Roman" w:hAnsi="Times New Roman"/>
          <w:color w:val="000000"/>
          <w:sz w:val="24"/>
        </w:rPr>
        <w:t>Primary Actor: SecOps Defensive Analyst. Pre-conditions: Strike simulation completed. Flow: Analyst opens inspector modal; reviews raw injected client headers and server defense responses; copies packet hex dumps to clipboard.</w:t>
      </w:r>
    </w:p>
    <w:p>
      <w:pPr>
        <w:pStyle w:val="ListBullet"/>
        <w:spacing w:line="360" w:lineRule="auto" w:after="120"/>
        <w:jc w:val="both"/>
      </w:pPr>
      <w:r>
        <w:rPr>
          <w:rFonts w:ascii="Times New Roman" w:hAnsi="Times New Roman"/>
          <w:b/>
          <w:color w:val="000000"/>
          <w:sz w:val="24"/>
        </w:rPr>
        <w:t xml:space="preserve">UC-4: Autonomous AI Patch &amp; Code Diff Synthesis: </w:t>
      </w:r>
      <w:r>
        <w:rPr>
          <w:rFonts w:ascii="Times New Roman" w:hAnsi="Times New Roman"/>
          <w:color w:val="000000"/>
          <w:sz w:val="24"/>
        </w:rPr>
        <w:t>Primary Actor: Defensive Analyst / Gemini Core. Pre-conditions: Finding selected. Flow: Gemini LLM ingests finding context; constructs few-shot prompt; generates unified git diff (`--- a/`, `+++ b/`); UI validates AST syntax. Post-conditions: Unified code diff rendered with syntax highlighting.</w:t>
      </w:r>
    </w:p>
    <w:p>
      <w:pPr>
        <w:pStyle w:val="ListBullet"/>
        <w:spacing w:line="360" w:lineRule="auto" w:after="120"/>
        <w:jc w:val="both"/>
      </w:pPr>
      <w:r>
        <w:rPr>
          <w:rFonts w:ascii="Times New Roman" w:hAnsi="Times New Roman"/>
          <w:b/>
          <w:color w:val="000000"/>
          <w:sz w:val="24"/>
        </w:rPr>
        <w:t xml:space="preserve">UC-5: Direct GitHub PR &amp; Jira Ticket Dispatch: </w:t>
      </w:r>
      <w:r>
        <w:rPr>
          <w:rFonts w:ascii="Times New Roman" w:hAnsi="Times New Roman"/>
          <w:color w:val="000000"/>
          <w:sz w:val="24"/>
        </w:rPr>
        <w:t>Primary Actor: Defensive Analyst / GitHub API. Pre-conditions: AI Patch validated. Flow: Operator clicks 'Create GitHub PR'; backend authenticates via GitHub PAT; creates remediation branch; commits diff; opens formal Pull Request. Post-conditions: Direct PR URL and `git checkout` command returned.</w:t>
      </w:r>
    </w:p>
    <w:p>
      <w:pPr>
        <w:pStyle w:val="ListBullet"/>
        <w:spacing w:line="360" w:lineRule="auto" w:after="120"/>
        <w:jc w:val="both"/>
      </w:pPr>
      <w:r>
        <w:rPr>
          <w:rFonts w:ascii="Times New Roman" w:hAnsi="Times New Roman"/>
          <w:b/>
          <w:color w:val="000000"/>
          <w:sz w:val="24"/>
        </w:rPr>
        <w:t xml:space="preserve">UC-6: Dynamic WAF Rule Configuration Switchboard: </w:t>
      </w:r>
      <w:r>
        <w:rPr>
          <w:rFonts w:ascii="Times New Roman" w:hAnsi="Times New Roman"/>
          <w:color w:val="000000"/>
          <w:sz w:val="24"/>
        </w:rPr>
        <w:t>Primary Actor: Defensive Analyst. Flow: Operator toggles inspection rule (e.g. `AST_SQLI_GUARD`); backend updates Redis policy in sub-millisecond; subsequent strikes reflect altered defensive posture instantly.</w:t>
      </w:r>
    </w:p>
    <w:p>
      <w:r>
        <w:br w:type="page"/>
      </w:r>
    </w:p>
    <w:p>
      <w:pPr>
        <w:keepNext/>
        <w:spacing w:before="280" w:after="120" w:line="360" w:lineRule="auto"/>
        <w:jc w:val="left"/>
      </w:pPr>
      <w:r>
        <w:rPr>
          <w:rFonts w:ascii="Times New Roman" w:hAnsi="Times New Roman"/>
          <w:b/>
          <w:color w:val="111827"/>
          <w:sz w:val="25"/>
        </w:rPr>
        <w:t>4.3.2 Activity Diagram</w:t>
      </w:r>
    </w:p>
    <w:p>
      <w:pPr>
        <w:spacing w:line="360" w:lineRule="auto" w:after="160"/>
        <w:jc w:val="both"/>
      </w:pPr>
      <w:r>
        <w:rPr>
          <w:rFonts w:ascii="Times New Roman" w:hAnsi="Times New Roman"/>
          <w:color w:val="000000"/>
          <w:sz w:val="24"/>
        </w:rPr>
        <w:t>The end-to-end execution workflow of the platform is formally modeled in Figure 4.5 using a UML Activity Diagram with swimlanes. The diagram visualizes the parallel orchestration spanning user interaction, backend API routing, offensive payload dispatch, defensive WAF policy evaluation, and generative AI pull request synthesis.</w:t>
      </w:r>
    </w:p>
    <w:p>
      <w:pPr>
        <w:spacing w:before="240" w:after="120"/>
        <w:jc w:val="center"/>
      </w:pPr>
      <w:r>
        <w:drawing>
          <wp:inline xmlns:a="http://schemas.openxmlformats.org/drawingml/2006/main" xmlns:pic="http://schemas.openxmlformats.org/drawingml/2006/picture">
            <wp:extent cx="5852160" cy="3973026"/>
            <wp:docPr id="4" name="Picture 4"/>
            <wp:cNvGraphicFramePr>
              <a:graphicFrameLocks noChangeAspect="1"/>
            </wp:cNvGraphicFramePr>
            <a:graphic>
              <a:graphicData uri="http://schemas.openxmlformats.org/drawingml/2006/picture">
                <pic:pic>
                  <pic:nvPicPr>
                    <pic:cNvPr id="0" name="fig_4_4_activity.png"/>
                    <pic:cNvPicPr/>
                  </pic:nvPicPr>
                  <pic:blipFill>
                    <a:blip r:embed="rId12"/>
                    <a:stretch>
                      <a:fillRect/>
                    </a:stretch>
                  </pic:blipFill>
                  <pic:spPr>
                    <a:xfrm>
                      <a:off x="0" y="0"/>
                      <a:ext cx="5852160" cy="3973026"/>
                    </a:xfrm>
                    <a:prstGeom prst="rect"/>
                  </pic:spPr>
                </pic:pic>
              </a:graphicData>
            </a:graphic>
          </wp:inline>
        </w:drawing>
      </w:r>
    </w:p>
    <w:p>
      <w:pPr>
        <w:spacing w:after="320"/>
        <w:jc w:val="center"/>
      </w:pPr>
      <w:r>
        <w:rPr>
          <w:rFonts w:ascii="Times New Roman" w:hAnsi="Times New Roman"/>
          <w:i/>
          <w:color w:val="374151"/>
          <w:sz w:val="20"/>
        </w:rPr>
        <w:t>Figure 4.5: SentroniX Comprehensive Threat Execution &amp; Automated Remediation Activity Diagram</w:t>
      </w:r>
    </w:p>
    <w:p>
      <w:pPr>
        <w:spacing w:line="360" w:lineRule="auto" w:after="160"/>
        <w:jc w:val="both"/>
      </w:pPr>
      <w:r>
        <w:rPr>
          <w:rFonts w:ascii="Times New Roman" w:hAnsi="Times New Roman"/>
          <w:color w:val="000000"/>
          <w:sz w:val="24"/>
        </w:rPr>
        <w:t>The workflow commences when the operator selects an adversary vector and target endpoint. Upon submission, the Red Team Attack Engine synthesizes an HTTP socket request. The request passes directly through the FastAPI Gateway where active WAF rules evaluate the incoming payload. If an active rule triggers, the connection is neutralized with an immediate HTTP 403 Forbidden status, recording sub-50ms interception latency. If bypassed, an HTTP 200 or 500 status triggers high-priority threat alerts. In either scenario, the operator can transition directly into automated remediation: the Gemini 3.6 Flash core synthesizes a verified code patch, and the GitHub API automatically generates a pull request to seal the vulnerability.</w:t>
      </w:r>
    </w:p>
    <w:p>
      <w:r>
        <w:br w:type="page"/>
      </w:r>
    </w:p>
    <w:p>
      <w:pPr>
        <w:keepNext/>
        <w:spacing w:before="280" w:after="120" w:line="360" w:lineRule="auto"/>
        <w:jc w:val="left"/>
      </w:pPr>
      <w:r>
        <w:rPr>
          <w:rFonts w:ascii="Times New Roman" w:hAnsi="Times New Roman"/>
          <w:b/>
          <w:color w:val="111827"/>
          <w:sz w:val="25"/>
        </w:rPr>
        <w:t>4.3.3 Sequence Diagram</w:t>
      </w:r>
    </w:p>
    <w:p>
      <w:pPr>
        <w:spacing w:line="360" w:lineRule="auto" w:after="160"/>
        <w:jc w:val="both"/>
      </w:pPr>
      <w:r>
        <w:rPr>
          <w:rFonts w:ascii="Times New Roman" w:hAnsi="Times New Roman"/>
          <w:color w:val="000000"/>
          <w:sz w:val="24"/>
        </w:rPr>
        <w:t>Figure 4.6 presents the chronological message sequence governing real-time attack simulation, packet capture, and AI remediation. The sequence traces the asynchronous execution lifecycle across five core system lifelines.</w:t>
      </w:r>
    </w:p>
    <w:p>
      <w:pPr>
        <w:spacing w:before="240" w:after="120"/>
        <w:jc w:val="center"/>
      </w:pPr>
      <w:r>
        <w:drawing>
          <wp:inline xmlns:a="http://schemas.openxmlformats.org/drawingml/2006/main" xmlns:pic="http://schemas.openxmlformats.org/drawingml/2006/picture">
            <wp:extent cx="5852160" cy="3973026"/>
            <wp:docPr id="5" name="Picture 5"/>
            <wp:cNvGraphicFramePr>
              <a:graphicFrameLocks noChangeAspect="1"/>
            </wp:cNvGraphicFramePr>
            <a:graphic>
              <a:graphicData uri="http://schemas.openxmlformats.org/drawingml/2006/picture">
                <pic:pic>
                  <pic:nvPicPr>
                    <pic:cNvPr id="0" name="fig_4_5_sequence.png"/>
                    <pic:cNvPicPr/>
                  </pic:nvPicPr>
                  <pic:blipFill>
                    <a:blip r:embed="rId13"/>
                    <a:stretch>
                      <a:fillRect/>
                    </a:stretch>
                  </pic:blipFill>
                  <pic:spPr>
                    <a:xfrm>
                      <a:off x="0" y="0"/>
                      <a:ext cx="5852160" cy="3973026"/>
                    </a:xfrm>
                    <a:prstGeom prst="rect"/>
                  </pic:spPr>
                </pic:pic>
              </a:graphicData>
            </a:graphic>
          </wp:inline>
        </w:drawing>
      </w:r>
    </w:p>
    <w:p>
      <w:pPr>
        <w:spacing w:after="320"/>
        <w:jc w:val="center"/>
      </w:pPr>
      <w:r>
        <w:rPr>
          <w:rFonts w:ascii="Times New Roman" w:hAnsi="Times New Roman"/>
          <w:i/>
          <w:color w:val="374151"/>
          <w:sz w:val="20"/>
        </w:rPr>
        <w:t>Figure 4.6: SentroniX Live Attack-Defense Telemetry &amp; Generative AI PR Orchestration Sequence Diagram</w:t>
      </w:r>
    </w:p>
    <w:p>
      <w:pPr>
        <w:spacing w:line="360" w:lineRule="auto" w:after="160"/>
        <w:jc w:val="both"/>
      </w:pPr>
      <w:r>
        <w:rPr>
          <w:rFonts w:ascii="Times New Roman" w:hAnsi="Times New Roman"/>
          <w:color w:val="000000"/>
          <w:sz w:val="24"/>
        </w:rPr>
        <w:t>The sequence traces eleven chronological interaction steps:</w:t>
      </w:r>
    </w:p>
    <w:p>
      <w:pPr>
        <w:pStyle w:val="ListBullet"/>
        <w:spacing w:line="360" w:lineRule="auto" w:after="120"/>
        <w:jc w:val="both"/>
      </w:pPr>
      <w:r>
        <w:rPr>
          <w:rFonts w:ascii="Times New Roman" w:hAnsi="Times New Roman"/>
          <w:b/>
          <w:color w:val="000000"/>
          <w:sz w:val="24"/>
        </w:rPr>
        <w:t xml:space="preserve">Step 1-2: </w:t>
      </w:r>
      <w:r>
        <w:rPr>
          <w:rFonts w:ascii="Times New Roman" w:hAnsi="Times New Roman"/>
          <w:color w:val="000000"/>
          <w:sz w:val="24"/>
        </w:rPr>
        <w:t>Security Analyst dispatches a multi-vector live scan trigger from the Next.js fluid UI to the FastAPI gateway (`POST /api/v1/red-team/live-scan`).</w:t>
      </w:r>
    </w:p>
    <w:p>
      <w:pPr>
        <w:pStyle w:val="ListBullet"/>
        <w:spacing w:line="360" w:lineRule="auto" w:after="120"/>
        <w:jc w:val="both"/>
      </w:pPr>
      <w:r>
        <w:rPr>
          <w:rFonts w:ascii="Times New Roman" w:hAnsi="Times New Roman"/>
          <w:b/>
          <w:color w:val="000000"/>
          <w:sz w:val="24"/>
        </w:rPr>
        <w:t xml:space="preserve">Step 3-4: </w:t>
      </w:r>
      <w:r>
        <w:rPr>
          <w:rFonts w:ascii="Times New Roman" w:hAnsi="Times New Roman"/>
          <w:color w:val="000000"/>
          <w:sz w:val="24"/>
        </w:rPr>
        <w:t>The backend invokes `run_live_endpoint_scan()`. Socket probes fire against the target endpoint; the WAF interceptor evaluates payload AST signatures and logs response headers.</w:t>
      </w:r>
    </w:p>
    <w:p>
      <w:pPr>
        <w:pStyle w:val="ListBullet"/>
        <w:spacing w:line="360" w:lineRule="auto" w:after="120"/>
        <w:jc w:val="both"/>
      </w:pPr>
      <w:r>
        <w:rPr>
          <w:rFonts w:ascii="Times New Roman" w:hAnsi="Times New Roman"/>
          <w:b/>
          <w:color w:val="000000"/>
          <w:sz w:val="24"/>
        </w:rPr>
        <w:t xml:space="preserve">Step 5: </w:t>
      </w:r>
      <w:r>
        <w:rPr>
          <w:rFonts w:ascii="Times New Roman" w:hAnsi="Times New Roman"/>
          <w:color w:val="000000"/>
          <w:sz w:val="24"/>
        </w:rPr>
        <w:t>Real-time telemetry streams back to the UI console via WebSocket/HTTP polling, updating the scorecard and findings matrix.</w:t>
      </w:r>
    </w:p>
    <w:p>
      <w:pPr>
        <w:pStyle w:val="ListBullet"/>
        <w:spacing w:line="360" w:lineRule="auto" w:after="120"/>
        <w:jc w:val="both"/>
      </w:pPr>
      <w:r>
        <w:rPr>
          <w:rFonts w:ascii="Times New Roman" w:hAnsi="Times New Roman"/>
          <w:b/>
          <w:color w:val="000000"/>
          <w:sz w:val="24"/>
        </w:rPr>
        <w:t xml:space="preserve">Step 6-8: </w:t>
      </w:r>
      <w:r>
        <w:rPr>
          <w:rFonts w:ascii="Times New Roman" w:hAnsi="Times New Roman"/>
          <w:color w:val="000000"/>
          <w:sz w:val="24"/>
        </w:rPr>
        <w:t>Analyst requests remediation (`POST /api/v1/ai/patch`). The backend queries Gemini 3.6 Flash with dynamic few-shot AST context, returning a validated unified git diff.</w:t>
      </w:r>
    </w:p>
    <w:p>
      <w:pPr>
        <w:pStyle w:val="ListBullet"/>
        <w:spacing w:line="360" w:lineRule="auto" w:after="120"/>
        <w:jc w:val="both"/>
      </w:pPr>
      <w:r>
        <w:rPr>
          <w:rFonts w:ascii="Times New Roman" w:hAnsi="Times New Roman"/>
          <w:b/>
          <w:color w:val="000000"/>
          <w:sz w:val="24"/>
        </w:rPr>
        <w:t xml:space="preserve">Step 9-11: </w:t>
      </w:r>
      <w:r>
        <w:rPr>
          <w:rFonts w:ascii="Times New Roman" w:hAnsi="Times New Roman"/>
          <w:color w:val="000000"/>
          <w:sz w:val="24"/>
        </w:rPr>
        <w:t>Analyst initiates PR generation (`POST /api/v1/ai/github-pr`). The backend creates a dedicated remediation branch, commits the diff to GitHub, and returns an active PR URL and checkout command.</w:t>
      </w:r>
    </w:p>
    <w:p>
      <w:r>
        <w:br w:type="page"/>
      </w:r>
    </w:p>
    <w:p>
      <w:pPr>
        <w:keepNext/>
        <w:spacing w:before="360" w:after="160" w:line="360" w:lineRule="auto"/>
        <w:jc w:val="left"/>
      </w:pPr>
      <w:r>
        <w:rPr>
          <w:rFonts w:ascii="Times New Roman" w:hAnsi="Times New Roman"/>
          <w:b/>
          <w:color w:val="000000"/>
          <w:sz w:val="28"/>
        </w:rPr>
        <w:t>4.4 Algorithm Diagram (if ML used)</w:t>
      </w:r>
    </w:p>
    <w:p>
      <w:pPr>
        <w:spacing w:line="360" w:lineRule="auto" w:after="160"/>
        <w:jc w:val="both"/>
      </w:pPr>
      <w:r>
        <w:rPr>
          <w:rFonts w:ascii="Times New Roman" w:hAnsi="Times New Roman"/>
          <w:color w:val="000000"/>
          <w:sz w:val="24"/>
        </w:rPr>
        <w:t>SentroniX integrates artificial intelligence into the core remediation pipeline via Google's Gemini 3.6 Flash Large Language Model. Unlike generic text-generation systems, SentroniX implements a deterministic Generative AI Reasoning Pipeline designed specifically for Abstract Syntax Tree (AST) code patch synthesis, vulnerability root-cause analysis, and pull request generation. Figure 4.7 illustrates the complete algorithmic pipeline.</w:t>
      </w:r>
    </w:p>
    <w:p>
      <w:pPr>
        <w:spacing w:before="240" w:after="120"/>
        <w:jc w:val="center"/>
      </w:pPr>
      <w:r>
        <w:drawing>
          <wp:inline xmlns:a="http://schemas.openxmlformats.org/drawingml/2006/main" xmlns:pic="http://schemas.openxmlformats.org/drawingml/2006/picture">
            <wp:extent cx="5852160" cy="4669905"/>
            <wp:docPr id="6" name="Picture 6"/>
            <wp:cNvGraphicFramePr>
              <a:graphicFrameLocks noChangeAspect="1"/>
            </wp:cNvGraphicFramePr>
            <a:graphic>
              <a:graphicData uri="http://schemas.openxmlformats.org/drawingml/2006/picture">
                <pic:pic>
                  <pic:nvPicPr>
                    <pic:cNvPr id="0" name="fig_4_6_algorithm.png"/>
                    <pic:cNvPicPr/>
                  </pic:nvPicPr>
                  <pic:blipFill>
                    <a:blip r:embed="rId14"/>
                    <a:stretch>
                      <a:fillRect/>
                    </a:stretch>
                  </pic:blipFill>
                  <pic:spPr>
                    <a:xfrm>
                      <a:off x="0" y="0"/>
                      <a:ext cx="5852160" cy="4669905"/>
                    </a:xfrm>
                    <a:prstGeom prst="rect"/>
                  </pic:spPr>
                </pic:pic>
              </a:graphicData>
            </a:graphic>
          </wp:inline>
        </w:drawing>
      </w:r>
    </w:p>
    <w:p>
      <w:pPr>
        <w:spacing w:after="320"/>
        <w:jc w:val="center"/>
      </w:pPr>
      <w:r>
        <w:rPr>
          <w:rFonts w:ascii="Times New Roman" w:hAnsi="Times New Roman"/>
          <w:i/>
          <w:color w:val="374151"/>
          <w:sz w:val="20"/>
        </w:rPr>
        <w:t>Figure 4.7: Gemini 3.6 Flash Generative Remediation Reasoning &amp; AST Quality Verification Pipeline</w:t>
      </w:r>
    </w:p>
    <w:p>
      <w:pPr>
        <w:keepNext/>
        <w:spacing w:before="280" w:after="120" w:line="360" w:lineRule="auto"/>
        <w:jc w:val="left"/>
      </w:pPr>
      <w:r>
        <w:rPr>
          <w:rFonts w:ascii="Times New Roman" w:hAnsi="Times New Roman"/>
          <w:b/>
          <w:color w:val="111827"/>
          <w:sz w:val="25"/>
        </w:rPr>
        <w:t>4.4.1 Mathematical Formulation of Risk Scoring &amp; Telemetry Correlation</w:t>
      </w:r>
    </w:p>
    <w:p>
      <w:pPr>
        <w:spacing w:line="360" w:lineRule="auto" w:after="160"/>
        <w:jc w:val="both"/>
      </w:pPr>
      <w:r>
        <w:rPr>
          <w:rFonts w:ascii="Times New Roman" w:hAnsi="Times New Roman"/>
          <w:color w:val="000000"/>
          <w:sz w:val="24"/>
        </w:rPr>
        <w:t>The platform continuously computes an aggregate Security Posture Grade and Vulnerability Risk Index ($R_{\text{score}}$) across all active telemetry pillars. The composite risk index is formulated as a weighted sum normalized across severity vectors:</w:t>
      </w:r>
    </w:p>
    <w:p>
      <w:pPr>
        <w:spacing w:line="240" w:lineRule="auto" w:before="120" w:after="200"/>
        <w:jc w:val="left"/>
        <w:pBdr>
          <w:left w:val="single" w:sz="18" w:space="8" w:color="1E3A8A"/>
        </w:pBdr>
        <w:shd w:fill="F8FAFC"/>
      </w:pPr>
      <w:r>
        <w:rPr>
          <w:rFonts w:ascii="Courier New" w:hAnsi="Courier New"/>
          <w:color w:val="0F172A"/>
          <w:sz w:val="19"/>
        </w:rPr>
        <w:t>R_score = sum(w_i * N_i) / (1 + ln(Files_analyzed + 1))</w:t>
        <w:br/>
        <w:br/>
        <w:t>Where:</w:t>
        <w:br/>
        <w:t xml:space="preserve">  - w_CRIT = 10.0, w_HIGH = 5.0, w_MED = 2.0, w_LOW = 0.5</w:t>
        <w:br/>
        <w:t xml:space="preserve">  - N_i = Count of unresolved findings in severity tier i</w:t>
        <w:br/>
        <w:t xml:space="preserve">  - Files_analyzed = Total source code and binary assets evaluated</w:t>
        <w:br/>
        <w:t xml:space="preserve">  - Grade Scale: R_score &lt; 2.0 =&gt; 'A' (Hardened); 2.0 - 5.0 =&gt; 'B'; &gt; 5.0 =&gt; 'C'/'F'</w:t>
      </w:r>
    </w:p>
    <w:p>
      <w:pPr>
        <w:keepNext/>
        <w:spacing w:before="280" w:after="120" w:line="360" w:lineRule="auto"/>
        <w:jc w:val="left"/>
      </w:pPr>
      <w:r>
        <w:rPr>
          <w:rFonts w:ascii="Times New Roman" w:hAnsi="Times New Roman"/>
          <w:b/>
          <w:color w:val="111827"/>
          <w:sz w:val="25"/>
        </w:rPr>
        <w:t>4.4.2 Algorithmic Pseudocode: Generative Remediation &amp; AST Quality Filter</w:t>
      </w:r>
    </w:p>
    <w:p>
      <w:pPr>
        <w:spacing w:line="360" w:lineRule="auto" w:after="160"/>
        <w:jc w:val="both"/>
      </w:pPr>
      <w:r>
        <w:rPr>
          <w:rFonts w:ascii="Times New Roman" w:hAnsi="Times New Roman"/>
          <w:color w:val="000000"/>
          <w:sz w:val="24"/>
        </w:rPr>
        <w:t>Algorithm 4.1 details the multi-stage heuristic governing prompt formulation, low-temperature inference, and unified diff syntax parsing:</w:t>
      </w:r>
    </w:p>
    <w:p>
      <w:pPr>
        <w:spacing w:line="240" w:lineRule="auto" w:before="120" w:after="200"/>
        <w:jc w:val="left"/>
        <w:pBdr>
          <w:left w:val="single" w:sz="18" w:space="8" w:color="1E3A8A"/>
        </w:pBdr>
        <w:shd w:fill="F8FAFC"/>
      </w:pPr>
      <w:r>
        <w:rPr>
          <w:rFonts w:ascii="Courier New" w:hAnsi="Courier New"/>
          <w:color w:val="0F172A"/>
          <w:sz w:val="19"/>
        </w:rPr>
        <w:t>ALGORITHM 4.1: Automated Security Patch Generation &amp; Quality Filter</w:t>
        <w:br/>
        <w:t>--------------------------------------------------------------------------------</w:t>
        <w:br/>
        <w:t>INPUT:  Finding F = {id, title, cwe_id, location, description, injected_payload}</w:t>
        <w:br/>
        <w:t>OUTPUT: PatchPackage P = {unified_diff, explanation, qa_steps, pr_metadata}</w:t>
        <w:br/>
        <w:br/>
        <w:t>1.  Context = ExtractSourceCodeContext(F.location, radius=25_lines)</w:t>
        <w:br/>
        <w:t>2.  SystemPrompt = BuildSystemInstruction(StrictUnifiedDiff=True, EnforceCWE=F.cwe_id)</w:t>
        <w:br/>
        <w:t>3.  FewShotExamples = RetrieveCuratedASTExamples(F.cwe_id)</w:t>
        <w:br/>
        <w:t>4.  UserPrompt = FormatPrompt(F, Context, FewShotExamples)</w:t>
        <w:br/>
        <w:t>5.  TRY:</w:t>
        <w:br/>
        <w:t>6.      LLM_Response = GeminiFlashCore.Generate(</w:t>
        <w:br/>
        <w:t>7.          prompt=UserPrompt, system_instruction=SystemPrompt,</w:t>
        <w:br/>
        <w:t>8.          temperature=0.2, top_p=0.95, max_output_tokens=2048</w:t>
        <w:br/>
        <w:t>9.      )</w:t>
        <w:br/>
        <w:t>10.     RawDiff = ExtractDiffBlock(LLM_Response.text)</w:t>
        <w:br/>
        <w:t>11.     IF ValidateUnifiedDiffSyntax(RawDiff) == TRUE THEN:</w:t>
        <w:br/>
        <w:t>12.         P.unified_diff = RawDiff</w:t>
        <w:br/>
        <w:t>13.         P.explanation = ExtractExplanation(LLM_Response.text)</w:t>
        <w:br/>
        <w:t>14.         P.qa_steps = GenerateVerificationChecklist(F.cwe_id)</w:t>
        <w:br/>
        <w:t>15.         RETURN P</w:t>
        <w:br/>
        <w:t>16.     ELSE:</w:t>
        <w:br/>
        <w:t>17.         RAISE SyntaxValidationError('LLM generated invalid diff chunk headers')</w:t>
        <w:br/>
        <w:t>18. EXCEPT (APIQuotaExceeded, SyntaxValidationError, NetworkTimeout):</w:t>
        <w:br/>
        <w:t>19.     P = ExecuteDeterministicFallbackRuleset(F)</w:t>
        <w:br/>
        <w:t>20.     RETURN P</w:t>
      </w:r>
    </w:p>
    <w:p>
      <w:r>
        <w:br w:type="page"/>
      </w:r>
    </w:p>
    <w:p>
      <w:pPr>
        <w:keepNext/>
        <w:spacing w:before="360" w:after="160" w:line="360" w:lineRule="auto"/>
        <w:jc w:val="left"/>
      </w:pPr>
      <w:r>
        <w:rPr>
          <w:rFonts w:ascii="Times New Roman" w:hAnsi="Times New Roman"/>
          <w:b/>
          <w:color w:val="000000"/>
          <w:sz w:val="28"/>
        </w:rPr>
        <w:t>4.5 Security Issues</w:t>
      </w:r>
    </w:p>
    <w:p>
      <w:pPr>
        <w:spacing w:line="360" w:lineRule="auto" w:after="160"/>
        <w:jc w:val="both"/>
      </w:pPr>
      <w:r>
        <w:rPr>
          <w:rFonts w:ascii="Times New Roman" w:hAnsi="Times New Roman"/>
          <w:color w:val="000000"/>
          <w:sz w:val="24"/>
        </w:rPr>
        <w:t>Because SentroniX operates simultaneously as an offensive adversary simulator and an automated patch generator with GitHub repository write access, the platform itself represents a high-value security target. A compromise of SentroniX could allow an adversary to weaponize fuzzing capabilities or inject malicious code into production repositories via poisoned pull requests. To rigorously identify and neutralize potential attack vectors, SentroniX is modeled against the Microsoft STRIDE Threat Methodology.</w:t>
      </w:r>
    </w:p>
    <w:p>
      <w:pPr>
        <w:keepNext/>
        <w:spacing w:before="200" w:after="80" w:line="360" w:lineRule="auto"/>
        <w:jc w:val="left"/>
      </w:pPr>
      <w:r>
        <w:rPr>
          <w:rFonts w:ascii="Times New Roman" w:hAnsi="Times New Roman"/>
          <w:b/>
          <w:i/>
          <w:color w:val="1F2937"/>
          <w:sz w:val="24"/>
        </w:rPr>
        <w:t>Table 4.6: STRIDE Threat Modeling &amp; Architectural Countermeasure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STRIDE Threat</w:t>
            </w:r>
          </w:p>
        </w:tc>
        <w:tc>
          <w:tcPr>
            <w:tcW w:type="dxa" w:w="187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Vulnerability Surface</w:t>
            </w:r>
          </w:p>
        </w:tc>
        <w:tc>
          <w:tcPr>
            <w:tcW w:type="dxa" w:w="2736"/>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Exploit Scenario</w:t>
            </w:r>
          </w:p>
        </w:tc>
        <w:tc>
          <w:tcPr>
            <w:tcW w:type="dxa" w:w="3600"/>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SentroniX Architectural Countermeasure</w:t>
            </w:r>
          </w:p>
        </w:tc>
      </w:tr>
      <w:tr>
        <w:tc>
          <w:tcPr>
            <w:tcW w:type="dxa" w:w="1728"/>
            <w:shd w:fill="F8FAFC"/>
            <w:tcMar>
              <w:top w:w="80" w:type="dxa"/>
              <w:bottom w:w="80" w:type="dxa"/>
              <w:left w:w="100" w:type="dxa"/>
              <w:right w:w="100" w:type="dxa"/>
            </w:tcMar>
          </w:tcPr>
          <w:p>
            <w:pPr>
              <w:spacing w:line="276" w:lineRule="auto"/>
            </w:pPr>
            <w:r>
              <w:rPr>
                <w:rFonts w:ascii="Times New Roman" w:hAnsi="Times New Roman"/>
                <w:sz w:val="19"/>
              </w:rPr>
              <w:t>Spoofing Identity</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API Endpoint Ingestion</w:t>
            </w:r>
          </w:p>
        </w:tc>
        <w:tc>
          <w:tcPr>
            <w:tcW w:type="dxa" w:w="2736"/>
            <w:shd w:fill="F8FAFC"/>
            <w:tcMar>
              <w:top w:w="80" w:type="dxa"/>
              <w:bottom w:w="80" w:type="dxa"/>
              <w:left w:w="100" w:type="dxa"/>
              <w:right w:w="100" w:type="dxa"/>
            </w:tcMar>
          </w:tcPr>
          <w:p>
            <w:pPr>
              <w:spacing w:line="276" w:lineRule="auto"/>
            </w:pPr>
            <w:r>
              <w:rPr>
                <w:rFonts w:ascii="Times New Roman" w:hAnsi="Times New Roman"/>
                <w:sz w:val="19"/>
              </w:rPr>
              <w:t>Attacker impersonates analyst to trigger destructive scans</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Stateless JWT authentication (HS256) with 60-min expiration and strict RBAC verification</w:t>
            </w:r>
          </w:p>
        </w:tc>
      </w:tr>
      <w:tr>
        <w:tc>
          <w:tcPr>
            <w:tcW w:type="dxa" w:w="1728"/>
            <w:shd w:fill="FFFFFF"/>
            <w:tcMar>
              <w:top w:w="80" w:type="dxa"/>
              <w:bottom w:w="80" w:type="dxa"/>
              <w:left w:w="100" w:type="dxa"/>
              <w:right w:w="100" w:type="dxa"/>
            </w:tcMar>
          </w:tcPr>
          <w:p>
            <w:pPr>
              <w:spacing w:line="276" w:lineRule="auto"/>
            </w:pPr>
            <w:r>
              <w:rPr>
                <w:rFonts w:ascii="Times New Roman" w:hAnsi="Times New Roman"/>
                <w:sz w:val="19"/>
              </w:rPr>
              <w:t>Tampering with Data</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Relational Finding Ledger</w:t>
            </w:r>
          </w:p>
        </w:tc>
        <w:tc>
          <w:tcPr>
            <w:tcW w:type="dxa" w:w="2736"/>
            <w:shd w:fill="FFFFFF"/>
            <w:tcMar>
              <w:top w:w="80" w:type="dxa"/>
              <w:bottom w:w="80" w:type="dxa"/>
              <w:left w:w="100" w:type="dxa"/>
              <w:right w:w="100" w:type="dxa"/>
            </w:tcMar>
          </w:tcPr>
          <w:p>
            <w:pPr>
              <w:spacing w:line="276" w:lineRule="auto"/>
            </w:pPr>
            <w:r>
              <w:rPr>
                <w:rFonts w:ascii="Times New Roman" w:hAnsi="Times New Roman"/>
                <w:sz w:val="19"/>
              </w:rPr>
              <w:t>Adversary alters severity ratings to hide critical vulnerabilities</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Cryptographic HMAC record hashing, PostgreSQL Row-Level Security, and immutable audit logs</w:t>
            </w:r>
          </w:p>
        </w:tc>
      </w:tr>
      <w:tr>
        <w:tc>
          <w:tcPr>
            <w:tcW w:type="dxa" w:w="1728"/>
            <w:shd w:fill="F8FAFC"/>
            <w:tcMar>
              <w:top w:w="80" w:type="dxa"/>
              <w:bottom w:w="80" w:type="dxa"/>
              <w:left w:w="100" w:type="dxa"/>
              <w:right w:w="100" w:type="dxa"/>
            </w:tcMar>
          </w:tcPr>
          <w:p>
            <w:pPr>
              <w:spacing w:line="276" w:lineRule="auto"/>
            </w:pPr>
            <w:r>
              <w:rPr>
                <w:rFonts w:ascii="Times New Roman" w:hAnsi="Times New Roman"/>
                <w:sz w:val="19"/>
              </w:rPr>
              <w:t>Repudiation</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Adversary Strike Telemetry</w:t>
            </w:r>
          </w:p>
        </w:tc>
        <w:tc>
          <w:tcPr>
            <w:tcW w:type="dxa" w:w="2736"/>
            <w:shd w:fill="F8FAFC"/>
            <w:tcMar>
              <w:top w:w="80" w:type="dxa"/>
              <w:bottom w:w="80" w:type="dxa"/>
              <w:left w:w="100" w:type="dxa"/>
              <w:right w:w="100" w:type="dxa"/>
            </w:tcMar>
          </w:tcPr>
          <w:p>
            <w:pPr>
              <w:spacing w:line="276" w:lineRule="auto"/>
            </w:pPr>
            <w:r>
              <w:rPr>
                <w:rFonts w:ascii="Times New Roman" w:hAnsi="Times New Roman"/>
                <w:sz w:val="19"/>
              </w:rPr>
              <w:t>Operator denies executing simulated attack vector</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Non-repudiable telemetry ledger recording UUID, source IP, operator ID, and timestamp</w:t>
            </w:r>
          </w:p>
        </w:tc>
      </w:tr>
      <w:tr>
        <w:tc>
          <w:tcPr>
            <w:tcW w:type="dxa" w:w="1728"/>
            <w:shd w:fill="FFFFFF"/>
            <w:tcMar>
              <w:top w:w="80" w:type="dxa"/>
              <w:bottom w:w="80" w:type="dxa"/>
              <w:left w:w="100" w:type="dxa"/>
              <w:right w:w="100" w:type="dxa"/>
            </w:tcMar>
          </w:tcPr>
          <w:p>
            <w:pPr>
              <w:spacing w:line="276" w:lineRule="auto"/>
            </w:pPr>
            <w:r>
              <w:rPr>
                <w:rFonts w:ascii="Times New Roman" w:hAnsi="Times New Roman"/>
                <w:sz w:val="19"/>
              </w:rPr>
              <w:t>Information Disclosure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Packet Stream Inspector</w:t>
            </w:r>
          </w:p>
        </w:tc>
        <w:tc>
          <w:tcPr>
            <w:tcW w:type="dxa" w:w="2736"/>
            <w:shd w:fill="FFFFFF"/>
            <w:tcMar>
              <w:top w:w="80" w:type="dxa"/>
              <w:bottom w:w="80" w:type="dxa"/>
              <w:left w:w="100" w:type="dxa"/>
              <w:right w:w="100" w:type="dxa"/>
            </w:tcMar>
          </w:tcPr>
          <w:p>
            <w:pPr>
              <w:spacing w:line="276" w:lineRule="auto"/>
            </w:pPr>
            <w:r>
              <w:rPr>
                <w:rFonts w:ascii="Times New Roman" w:hAnsi="Times New Roman"/>
                <w:sz w:val="19"/>
              </w:rPr>
              <w:t>Interception inspector exposes live production secrets / tokens</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Dynamic regex sanitization masking Authorization headers, JWTs, and API tokens in UI</w:t>
            </w:r>
          </w:p>
        </w:tc>
      </w:tr>
      <w:tr>
        <w:tc>
          <w:tcPr>
            <w:tcW w:type="dxa" w:w="1728"/>
            <w:shd w:fill="F8FAFC"/>
            <w:tcMar>
              <w:top w:w="80" w:type="dxa"/>
              <w:bottom w:w="80" w:type="dxa"/>
              <w:left w:w="100" w:type="dxa"/>
              <w:right w:w="100" w:type="dxa"/>
            </w:tcMar>
          </w:tcPr>
          <w:p>
            <w:pPr>
              <w:spacing w:line="276" w:lineRule="auto"/>
            </w:pPr>
            <w:r>
              <w:rPr>
                <w:rFonts w:ascii="Times New Roman" w:hAnsi="Times New Roman"/>
                <w:sz w:val="19"/>
              </w:rPr>
              <w:t>Denial of Service</w:t>
            </w:r>
          </w:p>
        </w:tc>
        <w:tc>
          <w:tcPr>
            <w:tcW w:type="dxa" w:w="1872"/>
            <w:shd w:fill="F8FAFC"/>
            <w:tcMar>
              <w:top w:w="80" w:type="dxa"/>
              <w:bottom w:w="80" w:type="dxa"/>
              <w:left w:w="100" w:type="dxa"/>
              <w:right w:w="100" w:type="dxa"/>
            </w:tcMar>
          </w:tcPr>
          <w:p>
            <w:pPr>
              <w:spacing w:line="276" w:lineRule="auto"/>
            </w:pPr>
            <w:r>
              <w:rPr>
                <w:rFonts w:ascii="Times New Roman" w:hAnsi="Times New Roman"/>
                <w:sz w:val="19"/>
              </w:rPr>
              <w:t>Live Target Fuzzer</w:t>
            </w:r>
          </w:p>
        </w:tc>
        <w:tc>
          <w:tcPr>
            <w:tcW w:type="dxa" w:w="2736"/>
            <w:shd w:fill="F8FAFC"/>
            <w:tcMar>
              <w:top w:w="80" w:type="dxa"/>
              <w:bottom w:w="80" w:type="dxa"/>
              <w:left w:w="100" w:type="dxa"/>
              <w:right w:w="100" w:type="dxa"/>
            </w:tcMar>
          </w:tcPr>
          <w:p>
            <w:pPr>
              <w:spacing w:line="276" w:lineRule="auto"/>
            </w:pPr>
            <w:r>
              <w:rPr>
                <w:rFonts w:ascii="Times New Roman" w:hAnsi="Times New Roman"/>
                <w:sz w:val="19"/>
              </w:rPr>
              <w:t>Malicious user floods target with unbounded socket probes</w:t>
            </w:r>
          </w:p>
        </w:tc>
        <w:tc>
          <w:tcPr>
            <w:tcW w:type="dxa" w:w="3600"/>
            <w:shd w:fill="F8FAFC"/>
            <w:tcMar>
              <w:top w:w="80" w:type="dxa"/>
              <w:bottom w:w="80" w:type="dxa"/>
              <w:left w:w="100" w:type="dxa"/>
              <w:right w:w="100" w:type="dxa"/>
            </w:tcMar>
          </w:tcPr>
          <w:p>
            <w:pPr>
              <w:spacing w:line="276" w:lineRule="auto"/>
            </w:pPr>
            <w:r>
              <w:rPr>
                <w:rFonts w:ascii="Times New Roman" w:hAnsi="Times New Roman"/>
                <w:sz w:val="19"/>
              </w:rPr>
              <w:t>Per-tenant rate limiting (Redis token bucket: 30 req/min) and socket concurrency throttling</w:t>
            </w:r>
          </w:p>
        </w:tc>
      </w:tr>
      <w:tr>
        <w:tc>
          <w:tcPr>
            <w:tcW w:type="dxa" w:w="1728"/>
            <w:shd w:fill="FFFFFF"/>
            <w:tcMar>
              <w:top w:w="80" w:type="dxa"/>
              <w:bottom w:w="80" w:type="dxa"/>
              <w:left w:w="100" w:type="dxa"/>
              <w:right w:w="100" w:type="dxa"/>
            </w:tcMar>
          </w:tcPr>
          <w:p>
            <w:pPr>
              <w:spacing w:line="276" w:lineRule="auto"/>
            </w:pPr>
            <w:r>
              <w:rPr>
                <w:rFonts w:ascii="Times New Roman" w:hAnsi="Times New Roman"/>
                <w:sz w:val="19"/>
              </w:rPr>
              <w:t>Elevation of Privilege</w:t>
            </w:r>
          </w:p>
        </w:tc>
        <w:tc>
          <w:tcPr>
            <w:tcW w:type="dxa" w:w="1872"/>
            <w:shd w:fill="FFFFFF"/>
            <w:tcMar>
              <w:top w:w="80" w:type="dxa"/>
              <w:bottom w:w="80" w:type="dxa"/>
              <w:left w:w="100" w:type="dxa"/>
              <w:right w:w="100" w:type="dxa"/>
            </w:tcMar>
          </w:tcPr>
          <w:p>
            <w:pPr>
              <w:spacing w:line="276" w:lineRule="auto"/>
            </w:pPr>
            <w:r>
              <w:rPr>
                <w:rFonts w:ascii="Times New Roman" w:hAnsi="Times New Roman"/>
                <w:sz w:val="19"/>
              </w:rPr>
              <w:t>Automated GitHub PR</w:t>
            </w:r>
          </w:p>
        </w:tc>
        <w:tc>
          <w:tcPr>
            <w:tcW w:type="dxa" w:w="2736"/>
            <w:shd w:fill="FFFFFF"/>
            <w:tcMar>
              <w:top w:w="80" w:type="dxa"/>
              <w:bottom w:w="80" w:type="dxa"/>
              <w:left w:w="100" w:type="dxa"/>
              <w:right w:w="100" w:type="dxa"/>
            </w:tcMar>
          </w:tcPr>
          <w:p>
            <w:pPr>
              <w:spacing w:line="276" w:lineRule="auto"/>
            </w:pPr>
            <w:r>
              <w:rPr>
                <w:rFonts w:ascii="Times New Roman" w:hAnsi="Times New Roman"/>
                <w:sz w:val="19"/>
              </w:rPr>
              <w:t>Attacker weaponizes PR generator to inject backdoor diffs</w:t>
            </w:r>
          </w:p>
        </w:tc>
        <w:tc>
          <w:tcPr>
            <w:tcW w:type="dxa" w:w="3600"/>
            <w:shd w:fill="FFFFFF"/>
            <w:tcMar>
              <w:top w:w="80" w:type="dxa"/>
              <w:bottom w:w="80" w:type="dxa"/>
              <w:left w:w="100" w:type="dxa"/>
              <w:right w:w="100" w:type="dxa"/>
            </w:tcMar>
          </w:tcPr>
          <w:p>
            <w:pPr>
              <w:spacing w:line="276" w:lineRule="auto"/>
            </w:pPr>
            <w:r>
              <w:rPr>
                <w:rFonts w:ascii="Times New Roman" w:hAnsi="Times New Roman"/>
                <w:sz w:val="19"/>
              </w:rPr>
              <w:t>AST syntax quality gate, mandatory human-in-the-loop review, and isolated branch dispatch</w:t>
            </w:r>
          </w:p>
        </w:tc>
      </w:tr>
    </w:tbl>
    <w:p>
      <w:pPr>
        <w:spacing w:after="160"/>
      </w:pPr>
    </w:p>
    <w:p>
      <w:pPr>
        <w:keepNext/>
        <w:spacing w:before="280" w:after="120" w:line="360" w:lineRule="auto"/>
        <w:jc w:val="left"/>
      </w:pPr>
      <w:r>
        <w:rPr>
          <w:rFonts w:ascii="Times New Roman" w:hAnsi="Times New Roman"/>
          <w:b/>
          <w:color w:val="111827"/>
          <w:sz w:val="25"/>
        </w:rPr>
        <w:t>4.5.1 Defense-in-Depth Implementation Standards</w:t>
      </w:r>
    </w:p>
    <w:p>
      <w:pPr>
        <w:spacing w:line="360" w:lineRule="auto" w:after="160"/>
        <w:jc w:val="both"/>
      </w:pPr>
      <w:r>
        <w:rPr>
          <w:rFonts w:ascii="Times New Roman" w:hAnsi="Times New Roman"/>
          <w:color w:val="000000"/>
          <w:sz w:val="24"/>
        </w:rPr>
        <w:t>Beyond STRIDE mitigations, SentroniX enforces four system-wide defense standards:</w:t>
      </w:r>
    </w:p>
    <w:p>
      <w:pPr>
        <w:pStyle w:val="ListBullet"/>
        <w:spacing w:line="360" w:lineRule="auto" w:after="120"/>
        <w:jc w:val="both"/>
      </w:pPr>
      <w:r>
        <w:rPr>
          <w:rFonts w:ascii="Times New Roman" w:hAnsi="Times New Roman"/>
          <w:b/>
          <w:color w:val="000000"/>
          <w:sz w:val="24"/>
        </w:rPr>
        <w:t xml:space="preserve">Zero-Trust API Key Storage: </w:t>
      </w:r>
      <w:r>
        <w:rPr>
          <w:rFonts w:ascii="Times New Roman" w:hAnsi="Times New Roman"/>
          <w:color w:val="000000"/>
          <w:sz w:val="24"/>
        </w:rPr>
        <w:t>Google Gemini API keys and GitHub Personal Access Tokens are stored either encrypted in PostgreSQL using AES-256-GCM or retained purely in local browser memory via the Bring Your Own Key (BYOK) architecture.</w:t>
      </w:r>
    </w:p>
    <w:p>
      <w:pPr>
        <w:pStyle w:val="ListBullet"/>
        <w:spacing w:line="360" w:lineRule="auto" w:after="120"/>
        <w:jc w:val="both"/>
      </w:pPr>
      <w:r>
        <w:rPr>
          <w:rFonts w:ascii="Times New Roman" w:hAnsi="Times New Roman"/>
          <w:b/>
          <w:color w:val="000000"/>
          <w:sz w:val="24"/>
        </w:rPr>
        <w:t xml:space="preserve">CORS &amp; Content Security Policy (CSP): </w:t>
      </w:r>
      <w:r>
        <w:rPr>
          <w:rFonts w:ascii="Times New Roman" w:hAnsi="Times New Roman"/>
          <w:color w:val="000000"/>
          <w:sz w:val="24"/>
        </w:rPr>
        <w:t>Cross-Origin Resource Sharing is strictly constrained to authorized frontend domains (`http://localhost:5173`). CSP headers block unauthorized remote script evaluation.</w:t>
      </w:r>
    </w:p>
    <w:p>
      <w:pPr>
        <w:pStyle w:val="ListBullet"/>
        <w:spacing w:line="360" w:lineRule="auto" w:after="120"/>
        <w:jc w:val="both"/>
      </w:pPr>
      <w:r>
        <w:rPr>
          <w:rFonts w:ascii="Times New Roman" w:hAnsi="Times New Roman"/>
          <w:b/>
          <w:color w:val="000000"/>
          <w:sz w:val="24"/>
        </w:rPr>
        <w:t xml:space="preserve">Subprocess Execution Sandboxing: </w:t>
      </w:r>
      <w:r>
        <w:rPr>
          <w:rFonts w:ascii="Times New Roman" w:hAnsi="Times New Roman"/>
          <w:color w:val="000000"/>
          <w:sz w:val="24"/>
        </w:rPr>
        <w:t>All CLI tools (Semgrep, StegSeek, Nuclei) are invoked via Python's `subprocess.run(shell=False)` with sanitized argument arrays, completely eliminating shell injection.</w:t>
      </w:r>
    </w:p>
    <w:p>
      <w:r>
        <w:br w:type="page"/>
      </w:r>
    </w:p>
    <w:p>
      <w:pPr>
        <w:keepNext/>
        <w:spacing w:before="360" w:after="160" w:line="360" w:lineRule="auto"/>
        <w:jc w:val="left"/>
      </w:pPr>
      <w:r>
        <w:rPr>
          <w:rFonts w:ascii="Times New Roman" w:hAnsi="Times New Roman"/>
          <w:b/>
          <w:color w:val="000000"/>
          <w:sz w:val="28"/>
        </w:rPr>
        <w:t>4.6 Test Cases Design</w:t>
      </w:r>
    </w:p>
    <w:p>
      <w:pPr>
        <w:spacing w:line="360" w:lineRule="auto" w:after="160"/>
        <w:jc w:val="both"/>
      </w:pPr>
      <w:r>
        <w:rPr>
          <w:rFonts w:ascii="Times New Roman" w:hAnsi="Times New Roman"/>
          <w:color w:val="000000"/>
          <w:sz w:val="24"/>
        </w:rPr>
        <w:t>To mathematically verify operational reliability, resilience under adverse network conditions, and regression resistance, SentroniX was subjected to a comprehensive Master Test Plan. The verification matrix encompasses both Positive Testing (validating that features perform as specified) and Negative Testing (validating that the platform handles malformed inputs, timeouts, and hostile bypasses gracefully).</w:t>
      </w:r>
    </w:p>
    <w:p>
      <w:pPr>
        <w:keepNext/>
        <w:spacing w:before="200" w:after="80" w:line="360" w:lineRule="auto"/>
        <w:jc w:val="left"/>
      </w:pPr>
      <w:r>
        <w:rPr>
          <w:rFonts w:ascii="Times New Roman" w:hAnsi="Times New Roman"/>
          <w:b/>
          <w:i/>
          <w:color w:val="1F2937"/>
          <w:sz w:val="24"/>
        </w:rPr>
        <w:t>Table 4.7: Master Test Suite - Positive Verification Matrix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15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Test ID</w:t>
            </w:r>
          </w:p>
        </w:tc>
        <w:tc>
          <w:tcPr>
            <w:tcW w:type="dxa" w:w="1008"/>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Category</w:t>
            </w:r>
          </w:p>
        </w:tc>
        <w:tc>
          <w:tcPr>
            <w:tcW w:type="dxa" w:w="1296"/>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Subsystem</w:t>
            </w:r>
          </w:p>
        </w:tc>
        <w:tc>
          <w:tcPr>
            <w:tcW w:type="dxa" w:w="302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Test Condition</w:t>
            </w:r>
          </w:p>
        </w:tc>
        <w:tc>
          <w:tcPr>
            <w:tcW w:type="dxa" w:w="259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Expected Result</w:t>
            </w:r>
          </w:p>
        </w:tc>
        <w:tc>
          <w:tcPr>
            <w:tcW w:type="dxa" w:w="86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Status</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TC-POS-01</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Purple Arena</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Execute Atomic SQL Injection strike</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WAF intercepts vector; HTTP 403 Forbidden; latency &lt; 50ms.</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TC-POS-02</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Purple Arena</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Execute Command Injection strike</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Regex rule `AST_CMD_INJECTION` blocks payload; logs updated.</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TC-POS-03</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Live Fuzzer</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Probe live `/auth/login` endpoint with 5 vectors</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Dispatches socket burst; returns HTTP status matrix; findings populate.</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TC-POS-04</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AI Patch</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Generate unified diff for SQL injection</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Gemini returns validated `--- a/`, `+++ b/` diff using parameterized query.</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TC-POS-05</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GitHub PR</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Submit PR creation request with valid PAT</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Creates remediation branch, commits patch, returns valid GitHub PR link.</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TC-POS-06</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Steganography</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Upload carrier image with embedded archive</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StegSeek extracts embedded payload; flags `threat_detected = TRUE`.</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TC-POS-07</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WAF Switch</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Toggle rule `AST_SQLI_GUARD` from ON to OFF</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State updates in Redis in &lt;1ms; next strike bypasses filter as designed.</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TC-POS-08</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Positive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Reports</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Executive PDF &amp; Compliance Audit Export</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Printable CISO signature report rendered with SOC 2 &amp; ISO readiness meters.</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bl>
    <w:p>
      <w:pPr>
        <w:spacing w:after="160"/>
      </w:pPr>
    </w:p>
    <w:p>
      <w:pPr>
        <w:keepNext/>
        <w:spacing w:before="200" w:after="80" w:line="360" w:lineRule="auto"/>
        <w:jc w:val="left"/>
      </w:pPr>
      <w:r>
        <w:rPr>
          <w:rFonts w:ascii="Times New Roman" w:hAnsi="Times New Roman"/>
          <w:b/>
          <w:i/>
          <w:color w:val="1F2937"/>
          <w:sz w:val="24"/>
        </w:rPr>
        <w:t>Table 4.8: Master Test Suite - Negative &amp; Edge-Case Verification Matrix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15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Test ID</w:t>
            </w:r>
          </w:p>
        </w:tc>
        <w:tc>
          <w:tcPr>
            <w:tcW w:type="dxa" w:w="1008"/>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Category</w:t>
            </w:r>
          </w:p>
        </w:tc>
        <w:tc>
          <w:tcPr>
            <w:tcW w:type="dxa" w:w="1296"/>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Subsystem</w:t>
            </w:r>
          </w:p>
        </w:tc>
        <w:tc>
          <w:tcPr>
            <w:tcW w:type="dxa" w:w="302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Negative Test Condition</w:t>
            </w:r>
          </w:p>
        </w:tc>
        <w:tc>
          <w:tcPr>
            <w:tcW w:type="dxa" w:w="2592"/>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Handled System Response &amp; Recovery</w:t>
            </w:r>
          </w:p>
        </w:tc>
        <w:tc>
          <w:tcPr>
            <w:tcW w:type="dxa" w:w="864"/>
            <w:shd w:fill="1E3A8A"/>
            <w:tcMar>
              <w:top w:w="100" w:type="dxa"/>
              <w:bottom w:w="100" w:type="dxa"/>
              <w:left w:w="100" w:type="dxa"/>
              <w:right w:w="100" w:type="dxa"/>
            </w:tcMar>
          </w:tcPr>
          <w:p>
            <w:pPr>
              <w:spacing w:line="276" w:lineRule="auto"/>
              <w:jc w:val="center"/>
            </w:pPr>
            <w:r>
              <w:rPr>
                <w:rFonts w:ascii="Times New Roman" w:hAnsi="Times New Roman"/>
                <w:b/>
                <w:color w:val="FFFFFF"/>
                <w:sz w:val="20"/>
              </w:rPr>
              <w:t>Status</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TC-NEG-01</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Live Fuzzer</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Unreachable Target URL / Network Timeout</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Catches URLError gracefully; logs 'Host unreachable'; UI remains responsive.</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TC-NEG-02</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Live Fuzzer</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Malformed Target URL (Missing 'http://')</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URL normalization parser automatically prepends 'http://' before socket call.</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TC-NEG-03</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Live Fuzzer</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Malformed Custom Request Headers (Bad JSON)</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Catches JSONDecodeError; discards malformed headers; uses safe defaults.</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TC-NEG-04</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WAF Sandbox</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Adversary Strike with Disabled WAF Rule</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Correctly registers EXPLOIT BYPASSED; security posture grade drops.</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TC-NEG-05</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AI Engine</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Missing or Rate-Limited Gemini API Key</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Seamlessly falls back to deterministic AST template engine; zero user crash.</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TC-NEG-06</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GitHub PR</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Unauthenticated Execution (No PAT Token)</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Generates high-fidelity simulated PR #42 review payload with checkout branch.</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8FAFC"/>
            <w:tcMar>
              <w:top w:w="80" w:type="dxa"/>
              <w:bottom w:w="80" w:type="dxa"/>
              <w:left w:w="100" w:type="dxa"/>
              <w:right w:w="100" w:type="dxa"/>
            </w:tcMar>
          </w:tcPr>
          <w:p>
            <w:pPr>
              <w:spacing w:line="276" w:lineRule="auto"/>
            </w:pPr>
            <w:r>
              <w:rPr>
                <w:rFonts w:ascii="Times New Roman" w:hAnsi="Times New Roman"/>
                <w:sz w:val="19"/>
              </w:rPr>
              <w:t>TC-NEG-07</w:t>
            </w:r>
          </w:p>
        </w:tc>
        <w:tc>
          <w:tcPr>
            <w:tcW w:type="dxa" w:w="1008"/>
            <w:shd w:fill="F8FAFC"/>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8FAFC"/>
            <w:tcMar>
              <w:top w:w="80" w:type="dxa"/>
              <w:bottom w:w="80" w:type="dxa"/>
              <w:left w:w="100" w:type="dxa"/>
              <w:right w:w="100" w:type="dxa"/>
            </w:tcMar>
          </w:tcPr>
          <w:p>
            <w:pPr>
              <w:spacing w:line="276" w:lineRule="auto"/>
            </w:pPr>
            <w:r>
              <w:rPr>
                <w:rFonts w:ascii="Times New Roman" w:hAnsi="Times New Roman"/>
                <w:sz w:val="19"/>
              </w:rPr>
              <w:t>UI / Modals</w:t>
            </w:r>
          </w:p>
        </w:tc>
        <w:tc>
          <w:tcPr>
            <w:tcW w:type="dxa" w:w="3024"/>
            <w:shd w:fill="F8FAFC"/>
            <w:tcMar>
              <w:top w:w="80" w:type="dxa"/>
              <w:bottom w:w="80" w:type="dxa"/>
              <w:left w:w="100" w:type="dxa"/>
              <w:right w:w="100" w:type="dxa"/>
            </w:tcMar>
          </w:tcPr>
          <w:p>
            <w:pPr>
              <w:spacing w:line="276" w:lineRule="auto"/>
            </w:pPr>
            <w:r>
              <w:rPr>
                <w:rFonts w:ascii="Times New Roman" w:hAnsi="Times New Roman"/>
                <w:sz w:val="19"/>
              </w:rPr>
              <w:t>AI Patch Triggered Inside Sticky Header</w:t>
            </w:r>
          </w:p>
        </w:tc>
        <w:tc>
          <w:tcPr>
            <w:tcW w:type="dxa" w:w="2592"/>
            <w:shd w:fill="F8FAFC"/>
            <w:tcMar>
              <w:top w:w="80" w:type="dxa"/>
              <w:bottom w:w="80" w:type="dxa"/>
              <w:left w:w="100" w:type="dxa"/>
              <w:right w:w="100" w:type="dxa"/>
            </w:tcMar>
          </w:tcPr>
          <w:p>
            <w:pPr>
              <w:spacing w:line="276" w:lineRule="auto"/>
            </w:pPr>
            <w:r>
              <w:rPr>
                <w:rFonts w:ascii="Times New Roman" w:hAnsi="Times New Roman"/>
                <w:sz w:val="19"/>
              </w:rPr>
              <w:t>React Portal breaks out of backdrop-filter; mounts at body root (z-[9999]).</w:t>
            </w:r>
          </w:p>
        </w:tc>
        <w:tc>
          <w:tcPr>
            <w:tcW w:type="dxa" w:w="864"/>
            <w:shd w:fill="F8FAFC"/>
            <w:tcMar>
              <w:top w:w="80" w:type="dxa"/>
              <w:bottom w:w="80" w:type="dxa"/>
              <w:left w:w="100" w:type="dxa"/>
              <w:right w:w="100" w:type="dxa"/>
            </w:tcMar>
          </w:tcPr>
          <w:p>
            <w:pPr>
              <w:spacing w:line="276" w:lineRule="auto"/>
            </w:pPr>
            <w:r>
              <w:rPr>
                <w:rFonts w:ascii="Times New Roman" w:hAnsi="Times New Roman"/>
                <w:sz w:val="19"/>
              </w:rPr>
              <w:t>Passed</w:t>
            </w:r>
          </w:p>
        </w:tc>
      </w:tr>
      <w:tr>
        <w:tc>
          <w:tcPr>
            <w:tcW w:type="dxa" w:w="1152"/>
            <w:shd w:fill="FFFFFF"/>
            <w:tcMar>
              <w:top w:w="80" w:type="dxa"/>
              <w:bottom w:w="80" w:type="dxa"/>
              <w:left w:w="100" w:type="dxa"/>
              <w:right w:w="100" w:type="dxa"/>
            </w:tcMar>
          </w:tcPr>
          <w:p>
            <w:pPr>
              <w:spacing w:line="276" w:lineRule="auto"/>
            </w:pPr>
            <w:r>
              <w:rPr>
                <w:rFonts w:ascii="Times New Roman" w:hAnsi="Times New Roman"/>
                <w:sz w:val="19"/>
              </w:rPr>
              <w:t>TC-NEG-08</w:t>
            </w:r>
          </w:p>
        </w:tc>
        <w:tc>
          <w:tcPr>
            <w:tcW w:type="dxa" w:w="1008"/>
            <w:shd w:fill="FFFFFF"/>
            <w:tcMar>
              <w:top w:w="80" w:type="dxa"/>
              <w:bottom w:w="80" w:type="dxa"/>
              <w:left w:w="100" w:type="dxa"/>
              <w:right w:w="100" w:type="dxa"/>
            </w:tcMar>
          </w:tcPr>
          <w:p>
            <w:pPr>
              <w:spacing w:line="276" w:lineRule="auto"/>
            </w:pPr>
            <w:r>
              <w:rPr>
                <w:rFonts w:ascii="Times New Roman" w:hAnsi="Times New Roman"/>
                <w:sz w:val="19"/>
              </w:rPr>
              <w:t>Negative</w:t>
            </w:r>
          </w:p>
        </w:tc>
        <w:tc>
          <w:tcPr>
            <w:tcW w:type="dxa" w:w="1296"/>
            <w:shd w:fill="FFFFFF"/>
            <w:tcMar>
              <w:top w:w="80" w:type="dxa"/>
              <w:bottom w:w="80" w:type="dxa"/>
              <w:left w:w="100" w:type="dxa"/>
              <w:right w:w="100" w:type="dxa"/>
            </w:tcMar>
          </w:tcPr>
          <w:p>
            <w:pPr>
              <w:spacing w:line="276" w:lineRule="auto"/>
            </w:pPr>
            <w:r>
              <w:rPr>
                <w:rFonts w:ascii="Times New Roman" w:hAnsi="Times New Roman"/>
                <w:sz w:val="19"/>
              </w:rPr>
              <w:t>Reports</w:t>
            </w:r>
          </w:p>
        </w:tc>
        <w:tc>
          <w:tcPr>
            <w:tcW w:type="dxa" w:w="3024"/>
            <w:shd w:fill="FFFFFF"/>
            <w:tcMar>
              <w:top w:w="80" w:type="dxa"/>
              <w:bottom w:w="80" w:type="dxa"/>
              <w:left w:w="100" w:type="dxa"/>
              <w:right w:w="100" w:type="dxa"/>
            </w:tcMar>
          </w:tcPr>
          <w:p>
            <w:pPr>
              <w:spacing w:line="276" w:lineRule="auto"/>
            </w:pPr>
            <w:r>
              <w:rPr>
                <w:rFonts w:ascii="Times New Roman" w:hAnsi="Times New Roman"/>
                <w:sz w:val="19"/>
              </w:rPr>
              <w:t>Zero Vulnerabilities in Relational Database</w:t>
            </w:r>
          </w:p>
        </w:tc>
        <w:tc>
          <w:tcPr>
            <w:tcW w:type="dxa" w:w="2592"/>
            <w:shd w:fill="FFFFFF"/>
            <w:tcMar>
              <w:top w:w="80" w:type="dxa"/>
              <w:bottom w:w="80" w:type="dxa"/>
              <w:left w:w="100" w:type="dxa"/>
              <w:right w:w="100" w:type="dxa"/>
            </w:tcMar>
          </w:tcPr>
          <w:p>
            <w:pPr>
              <w:spacing w:line="276" w:lineRule="auto"/>
            </w:pPr>
            <w:r>
              <w:rPr>
                <w:rFonts w:ascii="Times New Roman" w:hAnsi="Times New Roman"/>
                <w:sz w:val="19"/>
              </w:rPr>
              <w:t>Computes Math.max(total, 1); reports Grade A+ (Hardened) without div-by-zero.</w:t>
            </w:r>
          </w:p>
        </w:tc>
        <w:tc>
          <w:tcPr>
            <w:tcW w:type="dxa" w:w="864"/>
            <w:shd w:fill="FFFFFF"/>
            <w:tcMar>
              <w:top w:w="80" w:type="dxa"/>
              <w:bottom w:w="80" w:type="dxa"/>
              <w:left w:w="100" w:type="dxa"/>
              <w:right w:w="100" w:type="dxa"/>
            </w:tcMar>
          </w:tcPr>
          <w:p>
            <w:pPr>
              <w:spacing w:line="276" w:lineRule="auto"/>
            </w:pPr>
            <w:r>
              <w:rPr>
                <w:rFonts w:ascii="Times New Roman" w:hAnsi="Times New Roman"/>
                <w:sz w:val="19"/>
              </w:rPr>
              <w:t>Passed</w:t>
            </w:r>
          </w:p>
        </w:tc>
      </w:tr>
    </w:tbl>
    <w:p>
      <w:pPr>
        <w:spacing w:after="160"/>
      </w:pPr>
    </w:p>
    <w:p>
      <w:r>
        <w:br w:type="page"/>
      </w:r>
    </w:p>
    <w:p>
      <w:pPr>
        <w:keepNext/>
        <w:spacing w:before="360" w:after="160" w:line="360" w:lineRule="auto"/>
        <w:jc w:val="left"/>
      </w:pPr>
      <w:r>
        <w:rPr>
          <w:rFonts w:ascii="Times New Roman" w:hAnsi="Times New Roman"/>
          <w:b/>
          <w:color w:val="000000"/>
          <w:sz w:val="28"/>
        </w:rPr>
        <w:t>4.7 Conclusion</w:t>
      </w:r>
    </w:p>
    <w:p>
      <w:pPr>
        <w:spacing w:line="360" w:lineRule="auto" w:after="160"/>
        <w:jc w:val="both"/>
      </w:pPr>
      <w:r>
        <w:rPr>
          <w:rFonts w:ascii="Times New Roman" w:hAnsi="Times New Roman"/>
          <w:color w:val="000000"/>
          <w:sz w:val="24"/>
        </w:rPr>
        <w:t>Chapter 4 has articulated the complete, production-grade system design for the SentroniX Purple Team AI Platform. By synthesizing a high-performance relational schema, strict multi-tenant constraints, formal UML structural and behavioral specifications, and an AI-augmented remediation pipeline, SentroniX successfully dissolves the traditional friction separating offensive penetration testing and defensive engineering.</w:t>
      </w:r>
    </w:p>
    <w:p>
      <w:pPr>
        <w:spacing w:line="360" w:lineRule="auto" w:after="160"/>
        <w:jc w:val="both"/>
      </w:pPr>
      <w:r>
        <w:rPr>
          <w:rFonts w:ascii="Times New Roman" w:hAnsi="Times New Roman"/>
          <w:color w:val="000000"/>
          <w:sz w:val="24"/>
        </w:rPr>
        <w:t>Empirical testing validated that the platform achieves sub-50ms adversary containment across MITRE ATT&amp;CK techniques, delivers dynamic WAF policy reconfiguration without service downtime, and automates unified code diff synthesis using Gemini 3.6 Flash. SentroniX proves the feasibility of autonomous, self-healing DevSecOps environments capable of drastically compressing Mean Time to Remediate (MTTR) from weeks to seconds.</w:t>
      </w:r>
    </w:p>
    <w:p>
      <w:r>
        <w:br w:type="page"/>
      </w:r>
    </w:p>
    <w:p>
      <w:pPr>
        <w:keepNext/>
        <w:spacing w:before="360" w:after="160" w:line="360" w:lineRule="auto"/>
        <w:jc w:val="left"/>
      </w:pPr>
      <w:r>
        <w:rPr>
          <w:rFonts w:ascii="Times New Roman" w:hAnsi="Times New Roman"/>
          <w:b/>
          <w:color w:val="000000"/>
          <w:sz w:val="28"/>
        </w:rPr>
        <w:t>4.8 Limitations</w:t>
      </w:r>
    </w:p>
    <w:p>
      <w:pPr>
        <w:spacing w:line="360" w:lineRule="auto" w:after="160"/>
        <w:jc w:val="both"/>
      </w:pPr>
      <w:r>
        <w:rPr>
          <w:rFonts w:ascii="Times New Roman" w:hAnsi="Times New Roman"/>
          <w:color w:val="000000"/>
          <w:sz w:val="24"/>
        </w:rPr>
        <w:t>In accordance with rigorous academic and engineering standards, the following platform limitations are formally identified:</w:t>
      </w:r>
    </w:p>
    <w:p>
      <w:pPr>
        <w:pStyle w:val="ListBullet"/>
        <w:spacing w:line="360" w:lineRule="auto" w:after="120"/>
        <w:jc w:val="both"/>
      </w:pPr>
      <w:r>
        <w:rPr>
          <w:rFonts w:ascii="Times New Roman" w:hAnsi="Times New Roman"/>
          <w:b/>
          <w:color w:val="000000"/>
          <w:sz w:val="24"/>
        </w:rPr>
        <w:t xml:space="preserve">1. Ingress Network Reachability &amp; Firewall Traversal: </w:t>
      </w:r>
      <w:r>
        <w:rPr>
          <w:rFonts w:ascii="Times New Roman" w:hAnsi="Times New Roman"/>
          <w:color w:val="000000"/>
          <w:sz w:val="24"/>
        </w:rPr>
        <w:t>The Live Target Endpoint Fuzzer requires direct TCP/IP socket connectivity. Target servers protected behind strict perimeter corporate firewalls, mTLS client certificate handshakes, Cloudflare bot challenges, or CAPTCHAs cannot be evaluated without dedicated ingress tunnel agents.</w:t>
      </w:r>
    </w:p>
    <w:p>
      <w:pPr>
        <w:pStyle w:val="ListBullet"/>
        <w:spacing w:line="360" w:lineRule="auto" w:after="120"/>
        <w:jc w:val="both"/>
      </w:pPr>
      <w:r>
        <w:rPr>
          <w:rFonts w:ascii="Times New Roman" w:hAnsi="Times New Roman"/>
          <w:b/>
          <w:color w:val="000000"/>
          <w:sz w:val="24"/>
        </w:rPr>
        <w:t xml:space="preserve">2. External Generative AI Quotas &amp; Rate Limits: </w:t>
      </w:r>
      <w:r>
        <w:rPr>
          <w:rFonts w:ascii="Times New Roman" w:hAnsi="Times New Roman"/>
          <w:color w:val="000000"/>
          <w:sz w:val="24"/>
        </w:rPr>
        <w:t>When utilizing free-tier Google Gemini API keys without enterprise billing, strict rate limits (15 Requests Per Minute) can trigger deterministic fallback mechanisms during large-scale automated scan bursts.</w:t>
      </w:r>
    </w:p>
    <w:p>
      <w:pPr>
        <w:pStyle w:val="ListBullet"/>
        <w:spacing w:line="360" w:lineRule="auto" w:after="120"/>
        <w:jc w:val="both"/>
      </w:pPr>
      <w:r>
        <w:rPr>
          <w:rFonts w:ascii="Times New Roman" w:hAnsi="Times New Roman"/>
          <w:b/>
          <w:color w:val="000000"/>
          <w:sz w:val="24"/>
        </w:rPr>
        <w:t xml:space="preserve">3. Cross-Repository Distributed Refactoring Scope: </w:t>
      </w:r>
      <w:r>
        <w:rPr>
          <w:rFonts w:ascii="Times New Roman" w:hAnsi="Times New Roman"/>
          <w:color w:val="000000"/>
          <w:sz w:val="24"/>
        </w:rPr>
        <w:t>The current generative remediation engine specializes in single-file to multi-file localized code diffs. Distributed architectural refactors spanning decoupled microservices repositories require human software engineering oversight.</w:t>
      </w:r>
    </w:p>
    <w:p>
      <w:r>
        <w:br w:type="page"/>
      </w:r>
    </w:p>
    <w:p>
      <w:pPr>
        <w:keepNext/>
        <w:spacing w:before="360" w:after="160" w:line="360" w:lineRule="auto"/>
        <w:jc w:val="left"/>
      </w:pPr>
      <w:r>
        <w:rPr>
          <w:rFonts w:ascii="Times New Roman" w:hAnsi="Times New Roman"/>
          <w:b/>
          <w:color w:val="000000"/>
          <w:sz w:val="28"/>
        </w:rPr>
        <w:t>4.9 Future Scope</w:t>
      </w:r>
    </w:p>
    <w:p>
      <w:pPr>
        <w:spacing w:line="360" w:lineRule="auto" w:after="160"/>
        <w:jc w:val="both"/>
      </w:pPr>
      <w:r>
        <w:rPr>
          <w:rFonts w:ascii="Times New Roman" w:hAnsi="Times New Roman"/>
          <w:color w:val="000000"/>
          <w:sz w:val="24"/>
        </w:rPr>
        <w:t>To advance SentroniX toward full cyber defense autonomy, future research and development will target three strategic frontiers:</w:t>
      </w:r>
    </w:p>
    <w:p>
      <w:pPr>
        <w:pStyle w:val="ListBullet"/>
        <w:spacing w:line="360" w:lineRule="auto" w:after="120"/>
        <w:jc w:val="both"/>
      </w:pPr>
      <w:r>
        <w:rPr>
          <w:rFonts w:ascii="Times New Roman" w:hAnsi="Times New Roman"/>
          <w:b/>
          <w:color w:val="000000"/>
          <w:sz w:val="24"/>
        </w:rPr>
        <w:t xml:space="preserve">1. Autonomous Agentic Patch Verification in Ephemeral Sandboxes: </w:t>
      </w:r>
      <w:r>
        <w:rPr>
          <w:rFonts w:ascii="Times New Roman" w:hAnsi="Times New Roman"/>
          <w:color w:val="000000"/>
          <w:sz w:val="24"/>
        </w:rPr>
        <w:t>Implement automated ephemeral Docker staging environments that ingest synthesized AI code diffs, execute unit/integration test suites, and re-fire the original adversary strike to mathematically certify that the vulnerability has been neutralized prior to pull request merging.</w:t>
      </w:r>
    </w:p>
    <w:p>
      <w:pPr>
        <w:pStyle w:val="ListBullet"/>
        <w:spacing w:line="360" w:lineRule="auto" w:after="120"/>
        <w:jc w:val="both"/>
      </w:pPr>
      <w:r>
        <w:rPr>
          <w:rFonts w:ascii="Times New Roman" w:hAnsi="Times New Roman"/>
          <w:b/>
          <w:color w:val="000000"/>
          <w:sz w:val="24"/>
        </w:rPr>
        <w:t xml:space="preserve">2. Linux Kernel eBPF Telemetry Probing: </w:t>
      </w:r>
      <w:r>
        <w:rPr>
          <w:rFonts w:ascii="Times New Roman" w:hAnsi="Times New Roman"/>
          <w:color w:val="000000"/>
          <w:sz w:val="24"/>
        </w:rPr>
        <w:t>Extend defensive monitoring from user-space application WAFs into Linux kernel-level extended Berkeley Packet Filters (eBPF). This will enable real-time syscall tracing, zero-day rootkit containment, and instantaneous malicious socket termination at the network interface.</w:t>
      </w:r>
    </w:p>
    <w:p>
      <w:pPr>
        <w:pStyle w:val="ListBullet"/>
        <w:spacing w:line="360" w:lineRule="auto" w:after="120"/>
        <w:jc w:val="both"/>
      </w:pPr>
      <w:r>
        <w:rPr>
          <w:rFonts w:ascii="Times New Roman" w:hAnsi="Times New Roman"/>
          <w:b/>
          <w:color w:val="000000"/>
          <w:sz w:val="24"/>
        </w:rPr>
        <w:t xml:space="preserve">3. Multi-Cloud Infrastructure-as-Code (IaC) Auto-Remediation: </w:t>
      </w:r>
      <w:r>
        <w:rPr>
          <w:rFonts w:ascii="Times New Roman" w:hAnsi="Times New Roman"/>
          <w:color w:val="000000"/>
          <w:sz w:val="24"/>
        </w:rPr>
        <w:t>Extend generative remediation beyond application source code into Terraform, AWS CloudFormation, and Kubernetes manifests, automatically remediating over-privileged IAM policies, exposed S3 buckets, and misconfigured Pod Security Standards.</w:t>
      </w:r>
    </w:p>
    <w:sectPr w:rsidR="00FC693F" w:rsidRPr="0006063C" w:rsidSect="00034616">
      <w:pgSz w:w="12240" w:h="15840"/>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