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color w:val="000000"/>
          <w:sz w:val="28"/>
        </w:rPr>
        <w:t>CHAPTER 3</w:t>
      </w:r>
    </w:p>
    <w:p>
      <w:pPr>
        <w:spacing w:after="400"/>
        <w:jc w:val="center"/>
      </w:pPr>
      <w:r>
        <w:rPr>
          <w:rFonts w:ascii="Times New Roman" w:hAnsi="Times New Roman"/>
          <w:b/>
          <w:color w:val="000000"/>
          <w:sz w:val="36"/>
        </w:rPr>
        <w:t>REQUIREMENTS AND SPECIFICATION</w:t>
      </w:r>
    </w:p>
    <w:p>
      <w:pPr>
        <w:spacing w:line="360" w:lineRule="auto" w:after="120"/>
        <w:jc w:val="both"/>
      </w:pPr>
      <w:r>
        <w:rPr>
          <w:rFonts w:ascii="Times New Roman" w:hAnsi="Times New Roman"/>
          <w:color w:val="000000"/>
          <w:sz w:val="24"/>
        </w:rPr>
        <w:t>Requirements engineering and project planning represent foundational phases in the software development lifecycle, establishing the operational boundaries, functional capabilities, non-functional performance thresholds, hardware-software environments, and development methodologies governing an engineering project. In complex cybersecurity platforms where active adversary tradecraft is paired with in-line network defense and autonomous artificial intelligence reasoning, rigorous requirements definition is paramount. Without precise functional specifications and deterministic validation criteria, security platforms risk introducing unintended operational disruptions, excessive network latency, or hallucinated source code modifications into enterprise production environments.</w:t>
      </w:r>
    </w:p>
    <w:p>
      <w:pPr>
        <w:spacing w:line="360" w:lineRule="auto" w:after="120"/>
        <w:jc w:val="both"/>
      </w:pPr>
      <w:r>
        <w:rPr>
          <w:rFonts w:ascii="Times New Roman" w:hAnsi="Times New Roman"/>
          <w:color w:val="000000"/>
          <w:sz w:val="24"/>
        </w:rPr>
        <w:t>This chapter establishes the comprehensive requirements baseline and project management framework for the SentroniX Purple Team Cyberdefense Platform. Section 3.1 articulates the formal problem definition, highlighting the systemic operational failures and remediation gridlock that SentroniX directly resolves. Section 3.2 details the complete requirements specification, categorizing functional requirements (FR-1 through FR-8) and non-functional requirements (performance, security, reliability, usability, and maintainability). Section 3.3 presents the project planning, work breakdown structure (WBS), and sprint schedule via a formal Gantt chart. Section 3.4 delineates the development, production, and target environment hardware and software requirements. Section 3.5 provides the preliminary product description, detailing core subsystems, user personas, and operational lifecycles. Finally, Section 3.6 constructs the conceptual models, featuring an in-depth analysis of the tailored Agile Scrum process model, its technical justification over legacy development models, and the high-level conceptual system architecture.</w:t>
      </w:r>
    </w:p>
    <w:p>
      <w:r>
        <w:br w:type="page"/>
      </w:r>
    </w:p>
    <w:p>
      <w:pPr>
        <w:keepNext/>
        <w:spacing w:before="320" w:after="120" w:line="360" w:lineRule="auto"/>
      </w:pPr>
      <w:r>
        <w:rPr>
          <w:rFonts w:ascii="Times New Roman" w:hAnsi="Times New Roman"/>
          <w:b/>
          <w:color w:val="1E3A8A"/>
          <w:sz w:val="28"/>
        </w:rPr>
        <w:t>3.1 Problem Definition</w:t>
      </w:r>
    </w:p>
    <w:p>
      <w:pPr>
        <w:spacing w:line="360" w:lineRule="auto" w:after="120"/>
        <w:jc w:val="both"/>
      </w:pPr>
      <w:r>
        <w:rPr>
          <w:rFonts w:ascii="Times New Roman" w:hAnsi="Times New Roman"/>
          <w:color w:val="000000"/>
          <w:sz w:val="24"/>
        </w:rPr>
        <w:t>Enterprise software systems have experienced an unprecedented transition toward distributed, cloud-native microservices, containerized deployments, and polyglot Application Programming Interfaces (APIs). While this architectural paradigm enables continuous software delivery, it expands the enterprise attack surface exponentially. Security vulnerabilities introduced through rapid code commits—such as SQL Injection (SQLi), Cross-Site Scripting (XSS), Command Injection (CMDi), Path Traversal, and Server-Side Request Forgery (SSRF)—frequently escape staging environments and reach production endpoints undetected.</w:t>
      </w:r>
    </w:p>
    <w:p>
      <w:pPr>
        <w:spacing w:line="360" w:lineRule="auto" w:after="120"/>
        <w:jc w:val="both"/>
      </w:pPr>
      <w:r>
        <w:rPr>
          <w:rFonts w:ascii="Times New Roman" w:hAnsi="Times New Roman"/>
          <w:color w:val="000000"/>
          <w:sz w:val="24"/>
        </w:rPr>
        <w:t>Contemporary enterprise security operations are severely impeded by three interrelated systemic problems:</w:t>
      </w:r>
    </w:p>
    <w:p>
      <w:pPr>
        <w:pStyle w:val="ListBullet"/>
        <w:spacing w:line="360" w:lineRule="auto" w:after="80"/>
        <w:jc w:val="both"/>
      </w:pPr>
      <w:r>
        <w:rPr>
          <w:rFonts w:ascii="Times New Roman" w:hAnsi="Times New Roman"/>
          <w:b/>
          <w:color w:val="000000"/>
          <w:sz w:val="24"/>
        </w:rPr>
        <w:t xml:space="preserve">The Ephemeral Point-in-Time Security Audit Gap: </w:t>
      </w:r>
      <w:r>
        <w:rPr>
          <w:rFonts w:ascii="Times New Roman" w:hAnsi="Times New Roman"/>
          <w:color w:val="000000"/>
          <w:sz w:val="24"/>
        </w:rPr>
        <w:t>Traditional penetration tests are executed as manual, point-in-time assessments on a semi-annual or annual cadence. By the time a third-party audit firm delivers a static PDF vulnerability report, the target codebase has already progressed through dozens of agile release sprints. Vulnerabilities discovered remain unpatched in production for weeks, while new zero-day vulnerabilities introduced between audit cycles remain completely undetected.</w:t>
      </w:r>
    </w:p>
    <w:p>
      <w:pPr>
        <w:pStyle w:val="ListBullet"/>
        <w:spacing w:line="360" w:lineRule="auto" w:after="80"/>
        <w:jc w:val="both"/>
      </w:pPr>
      <w:r>
        <w:rPr>
          <w:rFonts w:ascii="Times New Roman" w:hAnsi="Times New Roman"/>
          <w:b/>
          <w:color w:val="000000"/>
          <w:sz w:val="24"/>
        </w:rPr>
        <w:t xml:space="preserve">Alert Fatigue and Defensive Sensor Disconnect: </w:t>
      </w:r>
      <w:r>
        <w:rPr>
          <w:rFonts w:ascii="Times New Roman" w:hAnsi="Times New Roman"/>
          <w:color w:val="000000"/>
          <w:sz w:val="24"/>
        </w:rPr>
        <w:t>Security Operations Centers (SOCs) deployed with traditional Intrusion Detection Systems (IDS) and Web Application Firewalls (WAFs) generate millions of uncontextualized log events weekly. Over 70% of SOC analyst time is expended investigating false positives or benign anomaly spikes. Crucially, when an actual exploit succeeds, defensive analysts lack immediate, correlated insight into the exact code path compromised or how the payload bypassed defensive filtering.</w:t>
      </w:r>
    </w:p>
    <w:p>
      <w:pPr>
        <w:pStyle w:val="ListBullet"/>
        <w:spacing w:line="360" w:lineRule="auto" w:after="80"/>
        <w:jc w:val="both"/>
      </w:pPr>
      <w:r>
        <w:rPr>
          <w:rFonts w:ascii="Times New Roman" w:hAnsi="Times New Roman"/>
          <w:b/>
          <w:color w:val="000000"/>
          <w:sz w:val="24"/>
        </w:rPr>
        <w:t xml:space="preserve">The Operational Chasm and Remediation Latency: </w:t>
      </w:r>
      <w:r>
        <w:rPr>
          <w:rFonts w:ascii="Times New Roman" w:hAnsi="Times New Roman"/>
          <w:color w:val="000000"/>
          <w:sz w:val="24"/>
        </w:rPr>
        <w:t>When an offensive finding is finally triaged, it is manually transcribed into developer ticketing systems (e.g., Jira or Bugzilla). Software developers, who often lack formal secure coding training, must interpret complex vulnerability descriptions, recreate the attack conditions locally, determine the exact line of code at fault, draft an ad-hoc fix, and submit it for secondary review. This manual, cross-departmental handoff causes an enterprise Mean Time to Remediate (MTTR) that averages between 30 and 45 days for critical severity vulnerabilities.</w:t>
      </w:r>
    </w:p>
    <w:p>
      <w:pPr>
        <w:spacing w:line="360" w:lineRule="auto" w:after="120"/>
        <w:jc w:val="both"/>
      </w:pPr>
      <w:r>
        <w:rPr>
          <w:rFonts w:ascii="Times New Roman" w:hAnsi="Times New Roman"/>
          <w:color w:val="000000"/>
          <w:sz w:val="24"/>
        </w:rPr>
        <w:t>Therefore, the core problem definition addressed by this research is: How can enterprise cybersecurity operations eliminate the frictional latency between adversary attack emulation, in-line defensive interception, and code-level vulnerability remediation by engineering an autonomous, closed-loop Purple Teaming platform?</w:t>
      </w:r>
    </w:p>
    <w:p>
      <w:r>
        <w:br w:type="page"/>
      </w:r>
    </w:p>
    <w:p>
      <w:pPr>
        <w:keepNext/>
        <w:spacing w:before="320" w:after="120" w:line="360" w:lineRule="auto"/>
      </w:pPr>
      <w:r>
        <w:rPr>
          <w:rFonts w:ascii="Times New Roman" w:hAnsi="Times New Roman"/>
          <w:b/>
          <w:color w:val="1E3A8A"/>
          <w:sz w:val="28"/>
        </w:rPr>
        <w:t>3.2 Requirements Specification</w:t>
      </w:r>
    </w:p>
    <w:p>
      <w:pPr>
        <w:spacing w:line="360" w:lineRule="auto" w:after="120"/>
        <w:jc w:val="both"/>
      </w:pPr>
      <w:r>
        <w:rPr>
          <w:rFonts w:ascii="Times New Roman" w:hAnsi="Times New Roman"/>
          <w:color w:val="000000"/>
          <w:sz w:val="24"/>
        </w:rPr>
        <w:t>The requirements specification establishes the functional capabilities that the SentroniX platform must perform and the non-functional quality attributes governing its performance, security, and reliability.</w:t>
      </w:r>
    </w:p>
    <w:p>
      <w:pPr>
        <w:keepNext/>
        <w:spacing w:before="240" w:after="80" w:line="360" w:lineRule="auto"/>
      </w:pPr>
      <w:r>
        <w:rPr>
          <w:rFonts w:ascii="Times New Roman" w:hAnsi="Times New Roman"/>
          <w:b/>
          <w:color w:val="111827"/>
          <w:sz w:val="25"/>
        </w:rPr>
        <w:t>3.2.1 Functional Requirements</w:t>
      </w:r>
    </w:p>
    <w:p>
      <w:pPr>
        <w:spacing w:line="360" w:lineRule="auto" w:after="120"/>
        <w:jc w:val="both"/>
      </w:pPr>
      <w:r>
        <w:rPr>
          <w:rFonts w:ascii="Times New Roman" w:hAnsi="Times New Roman"/>
          <w:color w:val="000000"/>
          <w:sz w:val="24"/>
        </w:rPr>
        <w:t>The functional requirements define the operational capabilities implemented across the platform's four core pillars:</w:t>
      </w:r>
    </w:p>
    <w:p>
      <w:pPr>
        <w:pStyle w:val="ListBullet"/>
        <w:spacing w:line="360" w:lineRule="auto" w:after="80"/>
        <w:jc w:val="both"/>
      </w:pPr>
      <w:r>
        <w:rPr>
          <w:rFonts w:ascii="Times New Roman" w:hAnsi="Times New Roman"/>
          <w:b/>
          <w:color w:val="000000"/>
          <w:sz w:val="24"/>
        </w:rPr>
        <w:t xml:space="preserve">FR-1: Autonomous Adversary Simulation Engine: </w:t>
      </w:r>
      <w:r>
        <w:rPr>
          <w:rFonts w:ascii="Times New Roman" w:hAnsi="Times New Roman"/>
          <w:color w:val="000000"/>
          <w:sz w:val="24"/>
        </w:rPr>
        <w:t>The platform must execute automated adversary attack vectors mapped to the MITRE ATT&amp;CK framework (Atomic Red Team tests) and dynamic dictionary fuzzing (SecLists, PayloadsAllTheThings) targeting OWASP Top 10 vulnerabilities including SQLi, XSS, CMDi, and SSRF.</w:t>
      </w:r>
    </w:p>
    <w:p>
      <w:pPr>
        <w:pStyle w:val="ListBullet"/>
        <w:spacing w:line="360" w:lineRule="auto" w:after="80"/>
        <w:jc w:val="both"/>
      </w:pPr>
      <w:r>
        <w:rPr>
          <w:rFonts w:ascii="Times New Roman" w:hAnsi="Times New Roman"/>
          <w:b/>
          <w:color w:val="000000"/>
          <w:sz w:val="24"/>
        </w:rPr>
        <w:t xml:space="preserve">FR-2: In-Line Deep Packet Telemetry Gateway: </w:t>
      </w:r>
      <w:r>
        <w:rPr>
          <w:rFonts w:ascii="Times New Roman" w:hAnsi="Times New Roman"/>
          <w:color w:val="000000"/>
          <w:sz w:val="24"/>
        </w:rPr>
        <w:t>The platform must intercept all incoming HTTP requests via asynchronous ASGI middleware, capturing raw headers, query strings, request bodies, and full hex byte representations with an inspection overhead under 15.0 milliseconds.</w:t>
      </w:r>
    </w:p>
    <w:p>
      <w:pPr>
        <w:pStyle w:val="ListBullet"/>
        <w:spacing w:line="360" w:lineRule="auto" w:after="80"/>
        <w:jc w:val="both"/>
      </w:pPr>
      <w:r>
        <w:rPr>
          <w:rFonts w:ascii="Times New Roman" w:hAnsi="Times New Roman"/>
          <w:b/>
          <w:color w:val="000000"/>
          <w:sz w:val="24"/>
        </w:rPr>
        <w:t xml:space="preserve">FR-3: Run-Time Dynamic Policy Switchboard: </w:t>
      </w:r>
      <w:r>
        <w:rPr>
          <w:rFonts w:ascii="Times New Roman" w:hAnsi="Times New Roman"/>
          <w:color w:val="000000"/>
          <w:sz w:val="24"/>
        </w:rPr>
        <w:t>The platform must provide a dynamic, thread-safe WAF Policy Switchboard enabling security analysts to toggle specific defense rules (AST SQLi parser, Regex CMDi filter, XSS sanitizer) in memory with 0.00 seconds of downtime and zero dropped TCP connections.</w:t>
      </w:r>
    </w:p>
    <w:p>
      <w:pPr>
        <w:pStyle w:val="ListBullet"/>
        <w:spacing w:line="360" w:lineRule="auto" w:after="80"/>
        <w:jc w:val="both"/>
      </w:pPr>
      <w:r>
        <w:rPr>
          <w:rFonts w:ascii="Times New Roman" w:hAnsi="Times New Roman"/>
          <w:b/>
          <w:color w:val="000000"/>
          <w:sz w:val="24"/>
        </w:rPr>
        <w:t xml:space="preserve">FR-4: Generative AI Source Code Remediation: </w:t>
      </w:r>
      <w:r>
        <w:rPr>
          <w:rFonts w:ascii="Times New Roman" w:hAnsi="Times New Roman"/>
          <w:color w:val="000000"/>
          <w:sz w:val="24"/>
        </w:rPr>
        <w:t>Upon detecting an unmitigated vulnerability bypass, the platform must automatically invoke Google Gemini 3.6 Flash at temperature 0.2, providing vulnerable source code and empirical exploit payloads to synthesize a context-aware unified diff remediation patch.</w:t>
      </w:r>
    </w:p>
    <w:p>
      <w:pPr>
        <w:pStyle w:val="ListBullet"/>
        <w:spacing w:line="360" w:lineRule="auto" w:after="80"/>
        <w:jc w:val="both"/>
      </w:pPr>
      <w:r>
        <w:rPr>
          <w:rFonts w:ascii="Times New Roman" w:hAnsi="Times New Roman"/>
          <w:b/>
          <w:color w:val="000000"/>
          <w:sz w:val="24"/>
        </w:rPr>
        <w:t xml:space="preserve">FR-5: Deterministic AST Syntax Certification: </w:t>
      </w:r>
      <w:r>
        <w:rPr>
          <w:rFonts w:ascii="Times New Roman" w:hAnsi="Times New Roman"/>
          <w:color w:val="000000"/>
          <w:sz w:val="24"/>
        </w:rPr>
        <w:t>The platform must validate all AI-generated patches through a native Python Abstract Syntax Tree parser (ast.parse) harness. Any patch containing syntax errors, indentation corruptions, or invalid grammars must be rejected prior to version control submission.</w:t>
      </w:r>
    </w:p>
    <w:p>
      <w:pPr>
        <w:pStyle w:val="ListBullet"/>
        <w:spacing w:line="360" w:lineRule="auto" w:after="80"/>
        <w:jc w:val="both"/>
      </w:pPr>
      <w:r>
        <w:rPr>
          <w:rFonts w:ascii="Times New Roman" w:hAnsi="Times New Roman"/>
          <w:b/>
          <w:color w:val="000000"/>
          <w:sz w:val="24"/>
        </w:rPr>
        <w:t xml:space="preserve">FR-6: Automated GitHub Pull Request Dispatch: </w:t>
      </w:r>
      <w:r>
        <w:rPr>
          <w:rFonts w:ascii="Times New Roman" w:hAnsi="Times New Roman"/>
          <w:color w:val="000000"/>
          <w:sz w:val="24"/>
        </w:rPr>
        <w:t>The platform must integrate directly with the GitHub REST API to automatically checkout an ephemeral remediation branch, apply certified unified diff chunks, sign the commit, and publish a complete Pull Request complete with CWE and MITRE ATT&amp;CK metadata.</w:t>
      </w:r>
    </w:p>
    <w:p>
      <w:pPr>
        <w:pStyle w:val="ListBullet"/>
        <w:spacing w:line="360" w:lineRule="auto" w:after="80"/>
        <w:jc w:val="both"/>
      </w:pPr>
      <w:r>
        <w:rPr>
          <w:rFonts w:ascii="Times New Roman" w:hAnsi="Times New Roman"/>
          <w:b/>
          <w:color w:val="000000"/>
          <w:sz w:val="24"/>
        </w:rPr>
        <w:t xml:space="preserve">FR-7: Forensic Steganography and Malware Extraction: </w:t>
      </w:r>
      <w:r>
        <w:rPr>
          <w:rFonts w:ascii="Times New Roman" w:hAnsi="Times New Roman"/>
          <w:color w:val="000000"/>
          <w:sz w:val="24"/>
        </w:rPr>
        <w:t>The platform must integrate StegSeek to perform high-speed brute-force passphrase extraction against LSB-steganography carriers (&gt;2,500,000 words/sec) and execute heuristic signature scanning for webshells and binary droppers.</w:t>
      </w:r>
    </w:p>
    <w:p>
      <w:pPr>
        <w:pStyle w:val="ListBullet"/>
        <w:spacing w:line="360" w:lineRule="auto" w:after="80"/>
        <w:jc w:val="both"/>
      </w:pPr>
      <w:r>
        <w:rPr>
          <w:rFonts w:ascii="Times New Roman" w:hAnsi="Times New Roman"/>
          <w:b/>
          <w:color w:val="000000"/>
          <w:sz w:val="24"/>
        </w:rPr>
        <w:t xml:space="preserve">FR-8: Centralized Audit Ledger &amp; Compliance Reporting: </w:t>
      </w:r>
      <w:r>
        <w:rPr>
          <w:rFonts w:ascii="Times New Roman" w:hAnsi="Times New Roman"/>
          <w:color w:val="000000"/>
          <w:sz w:val="24"/>
        </w:rPr>
        <w:t>The platform must persist all findings, attack telemetry, and PR records in an ACID-compliant PostgreSQL ledger and automatically compile executive PDF compliance reports aligned with SOC 2 Type II and ISO/IEC 27001 standards.</w:t>
      </w:r>
    </w:p>
    <w:p>
      <w:pPr>
        <w:keepNext/>
        <w:spacing w:before="240" w:after="80" w:line="360" w:lineRule="auto"/>
      </w:pPr>
      <w:r>
        <w:rPr>
          <w:rFonts w:ascii="Times New Roman" w:hAnsi="Times New Roman"/>
          <w:b/>
          <w:color w:val="111827"/>
          <w:sz w:val="25"/>
        </w:rPr>
        <w:t>3.2.2 Non-Functional Requirements</w:t>
      </w:r>
    </w:p>
    <w:p>
      <w:pPr>
        <w:spacing w:line="360" w:lineRule="auto" w:after="120"/>
        <w:jc w:val="both"/>
      </w:pPr>
      <w:r>
        <w:rPr>
          <w:rFonts w:ascii="Times New Roman" w:hAnsi="Times New Roman"/>
          <w:color w:val="000000"/>
          <w:sz w:val="24"/>
        </w:rPr>
        <w:t>Non-functional requirements dictate the platform's operational constraints and quality characteristics:</w:t>
      </w:r>
    </w:p>
    <w:p>
      <w:pPr>
        <w:pStyle w:val="ListBullet"/>
        <w:spacing w:line="360" w:lineRule="auto" w:after="80"/>
        <w:jc w:val="both"/>
      </w:pPr>
      <w:r>
        <w:rPr>
          <w:rFonts w:ascii="Times New Roman" w:hAnsi="Times New Roman"/>
          <w:b/>
          <w:color w:val="000000"/>
          <w:sz w:val="24"/>
        </w:rPr>
        <w:t xml:space="preserve">NFR-1: Performance and High Throughput: </w:t>
      </w:r>
      <w:r>
        <w:rPr>
          <w:rFonts w:ascii="Times New Roman" w:hAnsi="Times New Roman"/>
          <w:color w:val="000000"/>
          <w:sz w:val="24"/>
        </w:rPr>
        <w:t>In-line WAF packet inspection latency must not exceed 15.0 milliseconds on average (p99 &lt; 20.0ms). Offensive simulation workers must sustain over 100 concurrent requests per second without socket drop or starvation.</w:t>
      </w:r>
    </w:p>
    <w:p>
      <w:pPr>
        <w:pStyle w:val="ListBullet"/>
        <w:spacing w:line="360" w:lineRule="auto" w:after="80"/>
        <w:jc w:val="both"/>
      </w:pPr>
      <w:r>
        <w:rPr>
          <w:rFonts w:ascii="Times New Roman" w:hAnsi="Times New Roman"/>
          <w:b/>
          <w:color w:val="000000"/>
          <w:sz w:val="24"/>
        </w:rPr>
        <w:t xml:space="preserve">NFR-2: Sandboxed Security and Isolation: </w:t>
      </w:r>
      <w:r>
        <w:rPr>
          <w:rFonts w:ascii="Times New Roman" w:hAnsi="Times New Roman"/>
          <w:color w:val="000000"/>
          <w:sz w:val="24"/>
        </w:rPr>
        <w:t>All simulated attack vectors and forensic cracking tasks must execute inside ephemeral, non-privileged Docker sandbox containers with isolated memory and network namespaces. API keys (BYOK) must be stored encrypted at rest using AES-256.</w:t>
      </w:r>
    </w:p>
    <w:p>
      <w:pPr>
        <w:pStyle w:val="ListBullet"/>
        <w:spacing w:line="360" w:lineRule="auto" w:after="80"/>
        <w:jc w:val="both"/>
      </w:pPr>
      <w:r>
        <w:rPr>
          <w:rFonts w:ascii="Times New Roman" w:hAnsi="Times New Roman"/>
          <w:b/>
          <w:color w:val="000000"/>
          <w:sz w:val="24"/>
        </w:rPr>
        <w:t xml:space="preserve">NFR-3: High Availability and Reliability: </w:t>
      </w:r>
      <w:r>
        <w:rPr>
          <w:rFonts w:ascii="Times New Roman" w:hAnsi="Times New Roman"/>
          <w:color w:val="000000"/>
          <w:sz w:val="24"/>
        </w:rPr>
        <w:t>The platform must guarantee 99.9% uptime for the telemetry ingress gateway. Database transactions must strictly adhere to ACID properties, ensuring zero lost findings.</w:t>
      </w:r>
    </w:p>
    <w:p>
      <w:pPr>
        <w:pStyle w:val="ListBullet"/>
        <w:spacing w:line="360" w:lineRule="auto" w:after="80"/>
        <w:jc w:val="both"/>
      </w:pPr>
      <w:r>
        <w:rPr>
          <w:rFonts w:ascii="Times New Roman" w:hAnsi="Times New Roman"/>
          <w:b/>
          <w:color w:val="000000"/>
          <w:sz w:val="24"/>
        </w:rPr>
        <w:t xml:space="preserve">NFR-4: Usability and Real-Time Telemetry Streaming: </w:t>
      </w:r>
      <w:r>
        <w:rPr>
          <w:rFonts w:ascii="Times New Roman" w:hAnsi="Times New Roman"/>
          <w:color w:val="000000"/>
          <w:sz w:val="24"/>
        </w:rPr>
        <w:t>The frontend user interface must be a responsive single-page application (SPA) capable of streaming sub-millisecond WebSocket packet hex dumps without freezing user input.</w:t>
      </w:r>
    </w:p>
    <w:p>
      <w:pPr>
        <w:pStyle w:val="ListBullet"/>
        <w:spacing w:line="360" w:lineRule="auto" w:after="80"/>
        <w:jc w:val="both"/>
      </w:pPr>
      <w:r>
        <w:rPr>
          <w:rFonts w:ascii="Times New Roman" w:hAnsi="Times New Roman"/>
          <w:b/>
          <w:color w:val="000000"/>
          <w:sz w:val="24"/>
        </w:rPr>
        <w:t xml:space="preserve">NFR-5: Maintainability and Extensibility: </w:t>
      </w:r>
      <w:r>
        <w:rPr>
          <w:rFonts w:ascii="Times New Roman" w:hAnsi="Times New Roman"/>
          <w:color w:val="000000"/>
          <w:sz w:val="24"/>
        </w:rPr>
        <w:t>The codebase must adhere to modular, decoupled service boundaries with complete OpenAPI v3 specifications, enabling seamless expansion to additional languages and cloud providers.</w:t>
      </w:r>
    </w:p>
    <w:p>
      <w:pPr>
        <w:keepNext/>
        <w:spacing w:before="200" w:after="60" w:line="360" w:lineRule="auto"/>
      </w:pPr>
      <w:r>
        <w:rPr>
          <w:rFonts w:ascii="Times New Roman" w:hAnsi="Times New Roman"/>
          <w:b/>
          <w:color w:val="1E3A8A"/>
          <w:sz w:val="24"/>
        </w:rPr>
        <w:t>Table 3.1: Detailed Functional and Non-Functional Requirements Specification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3A8A"/>
            <w:tcMar>
              <w:top w:w="90" w:type="dxa"/>
              <w:bottom w:w="90" w:type="dxa"/>
              <w:left w:w="80" w:type="dxa"/>
              <w:right w:w="80" w:type="dxa"/>
            </w:tcMar>
          </w:tcPr>
          <w:p>
            <w:pPr>
              <w:spacing w:line="276" w:lineRule="auto"/>
              <w:jc w:val="center"/>
            </w:pPr>
            <w:r>
              <w:rPr>
                <w:rFonts w:ascii="Times New Roman" w:hAnsi="Times New Roman"/>
                <w:b/>
                <w:color w:val="FFFFFF"/>
                <w:sz w:val="19"/>
              </w:rPr>
              <w:t>Req ID</w:t>
            </w:r>
          </w:p>
        </w:tc>
        <w:tc>
          <w:tcPr>
            <w:tcW w:type="dxa" w:w="216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Requirement Name</w:t>
            </w:r>
          </w:p>
        </w:tc>
        <w:tc>
          <w:tcPr>
            <w:tcW w:type="dxa" w:w="1584"/>
            <w:shd w:fill="1E3A8A"/>
            <w:tcMar>
              <w:top w:w="90" w:type="dxa"/>
              <w:bottom w:w="90" w:type="dxa"/>
              <w:left w:w="80" w:type="dxa"/>
              <w:right w:w="80" w:type="dxa"/>
            </w:tcMar>
          </w:tcPr>
          <w:p>
            <w:pPr>
              <w:spacing w:line="276" w:lineRule="auto"/>
              <w:jc w:val="center"/>
            </w:pPr>
            <w:r>
              <w:rPr>
                <w:rFonts w:ascii="Times New Roman" w:hAnsi="Times New Roman"/>
                <w:b/>
                <w:color w:val="FFFFFF"/>
                <w:sz w:val="19"/>
              </w:rPr>
              <w:t>Category</w:t>
            </w:r>
          </w:p>
        </w:tc>
        <w:tc>
          <w:tcPr>
            <w:tcW w:type="dxa" w:w="316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Description &amp; Success Metric</w:t>
            </w:r>
          </w:p>
        </w:tc>
        <w:tc>
          <w:tcPr>
            <w:tcW w:type="dxa" w:w="1152"/>
            <w:shd w:fill="1E3A8A"/>
            <w:tcMar>
              <w:top w:w="90" w:type="dxa"/>
              <w:bottom w:w="90" w:type="dxa"/>
              <w:left w:w="80" w:type="dxa"/>
              <w:right w:w="80" w:type="dxa"/>
            </w:tcMar>
          </w:tcPr>
          <w:p>
            <w:pPr>
              <w:spacing w:line="276" w:lineRule="auto"/>
              <w:jc w:val="center"/>
            </w:pPr>
            <w:r>
              <w:rPr>
                <w:rFonts w:ascii="Times New Roman" w:hAnsi="Times New Roman"/>
                <w:b/>
                <w:color w:val="FFFFFF"/>
                <w:sz w:val="19"/>
              </w:rPr>
              <w:t>Priority</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FR-1</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Adversary Simulation</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Functional</w:t>
            </w:r>
          </w:p>
        </w:tc>
        <w:tc>
          <w:tcPr>
            <w:tcW w:type="dxa" w:w="3168"/>
            <w:shd w:fill="F8FAFC"/>
            <w:tcMar>
              <w:top w:w="70" w:type="dxa"/>
              <w:bottom w:w="70" w:type="dxa"/>
              <w:left w:w="80" w:type="dxa"/>
              <w:right w:w="80" w:type="dxa"/>
            </w:tcMar>
          </w:tcPr>
          <w:p>
            <w:pPr>
              <w:spacing w:line="276" w:lineRule="auto"/>
              <w:jc w:val="left"/>
            </w:pPr>
            <w:r>
              <w:rPr>
                <w:rFonts w:ascii="Times New Roman" w:hAnsi="Times New Roman"/>
                <w:sz w:val="17"/>
              </w:rPr>
              <w:t>Execute Atomic Red Team &amp; SecLists fuzzing; &gt; 100 req/sec</w:t>
            </w:r>
          </w:p>
        </w:tc>
        <w:tc>
          <w:tcPr>
            <w:tcW w:type="dxa" w:w="1152"/>
            <w:shd w:fill="F8FAFC"/>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FFFFF"/>
            <w:tcMar>
              <w:top w:w="70" w:type="dxa"/>
              <w:bottom w:w="70" w:type="dxa"/>
              <w:left w:w="80" w:type="dxa"/>
              <w:right w:w="80" w:type="dxa"/>
            </w:tcMar>
          </w:tcPr>
          <w:p>
            <w:pPr>
              <w:spacing w:line="276" w:lineRule="auto"/>
              <w:jc w:val="center"/>
            </w:pPr>
            <w:r>
              <w:rPr>
                <w:rFonts w:ascii="Times New Roman" w:hAnsi="Times New Roman"/>
                <w:sz w:val="17"/>
              </w:rPr>
              <w:t>FR-2</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Telemetry Gateway</w:t>
            </w:r>
          </w:p>
        </w:tc>
        <w:tc>
          <w:tcPr>
            <w:tcW w:type="dxa" w:w="1584"/>
            <w:shd w:fill="FFFFFF"/>
            <w:tcMar>
              <w:top w:w="70" w:type="dxa"/>
              <w:bottom w:w="70" w:type="dxa"/>
              <w:left w:w="80" w:type="dxa"/>
              <w:right w:w="80" w:type="dxa"/>
            </w:tcMar>
          </w:tcPr>
          <w:p>
            <w:pPr>
              <w:spacing w:line="276" w:lineRule="auto"/>
              <w:jc w:val="left"/>
            </w:pPr>
            <w:r>
              <w:rPr>
                <w:rFonts w:ascii="Times New Roman" w:hAnsi="Times New Roman"/>
                <w:sz w:val="17"/>
              </w:rPr>
              <w:t>Functional</w:t>
            </w:r>
          </w:p>
        </w:tc>
        <w:tc>
          <w:tcPr>
            <w:tcW w:type="dxa" w:w="3168"/>
            <w:shd w:fill="FFFFFF"/>
            <w:tcMar>
              <w:top w:w="70" w:type="dxa"/>
              <w:bottom w:w="70" w:type="dxa"/>
              <w:left w:w="80" w:type="dxa"/>
              <w:right w:w="80" w:type="dxa"/>
            </w:tcMar>
          </w:tcPr>
          <w:p>
            <w:pPr>
              <w:spacing w:line="276" w:lineRule="auto"/>
              <w:jc w:val="left"/>
            </w:pPr>
            <w:r>
              <w:rPr>
                <w:rFonts w:ascii="Times New Roman" w:hAnsi="Times New Roman"/>
                <w:sz w:val="17"/>
              </w:rPr>
              <w:t>Capture HTTP headers, body, hex byte stream; &lt; 15.0ms latency</w:t>
            </w:r>
          </w:p>
        </w:tc>
        <w:tc>
          <w:tcPr>
            <w:tcW w:type="dxa" w:w="1152"/>
            <w:shd w:fill="FFFFFF"/>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FR-3</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Policy Switchboard</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Functional</w:t>
            </w:r>
          </w:p>
        </w:tc>
        <w:tc>
          <w:tcPr>
            <w:tcW w:type="dxa" w:w="3168"/>
            <w:shd w:fill="F8FAFC"/>
            <w:tcMar>
              <w:top w:w="70" w:type="dxa"/>
              <w:bottom w:w="70" w:type="dxa"/>
              <w:left w:w="80" w:type="dxa"/>
              <w:right w:w="80" w:type="dxa"/>
            </w:tcMar>
          </w:tcPr>
          <w:p>
            <w:pPr>
              <w:spacing w:line="276" w:lineRule="auto"/>
              <w:jc w:val="left"/>
            </w:pPr>
            <w:r>
              <w:rPr>
                <w:rFonts w:ascii="Times New Roman" w:hAnsi="Times New Roman"/>
                <w:sz w:val="17"/>
              </w:rPr>
              <w:t>Dynamic run-time toggle of AST/regex WAF rules; 0.00s downtime</w:t>
            </w:r>
          </w:p>
        </w:tc>
        <w:tc>
          <w:tcPr>
            <w:tcW w:type="dxa" w:w="1152"/>
            <w:shd w:fill="F8FAFC"/>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FFFFF"/>
            <w:tcMar>
              <w:top w:w="70" w:type="dxa"/>
              <w:bottom w:w="70" w:type="dxa"/>
              <w:left w:w="80" w:type="dxa"/>
              <w:right w:w="80" w:type="dxa"/>
            </w:tcMar>
          </w:tcPr>
          <w:p>
            <w:pPr>
              <w:spacing w:line="276" w:lineRule="auto"/>
              <w:jc w:val="center"/>
            </w:pPr>
            <w:r>
              <w:rPr>
                <w:rFonts w:ascii="Times New Roman" w:hAnsi="Times New Roman"/>
                <w:sz w:val="17"/>
              </w:rPr>
              <w:t>FR-4</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AI Code Remediation</w:t>
            </w:r>
          </w:p>
        </w:tc>
        <w:tc>
          <w:tcPr>
            <w:tcW w:type="dxa" w:w="1584"/>
            <w:shd w:fill="FFFFFF"/>
            <w:tcMar>
              <w:top w:w="70" w:type="dxa"/>
              <w:bottom w:w="70" w:type="dxa"/>
              <w:left w:w="80" w:type="dxa"/>
              <w:right w:w="80" w:type="dxa"/>
            </w:tcMar>
          </w:tcPr>
          <w:p>
            <w:pPr>
              <w:spacing w:line="276" w:lineRule="auto"/>
              <w:jc w:val="left"/>
            </w:pPr>
            <w:r>
              <w:rPr>
                <w:rFonts w:ascii="Times New Roman" w:hAnsi="Times New Roman"/>
                <w:sz w:val="17"/>
              </w:rPr>
              <w:t>Functional</w:t>
            </w:r>
          </w:p>
        </w:tc>
        <w:tc>
          <w:tcPr>
            <w:tcW w:type="dxa" w:w="3168"/>
            <w:shd w:fill="FFFFFF"/>
            <w:tcMar>
              <w:top w:w="70" w:type="dxa"/>
              <w:bottom w:w="70" w:type="dxa"/>
              <w:left w:w="80" w:type="dxa"/>
              <w:right w:w="80" w:type="dxa"/>
            </w:tcMar>
          </w:tcPr>
          <w:p>
            <w:pPr>
              <w:spacing w:line="276" w:lineRule="auto"/>
              <w:jc w:val="left"/>
            </w:pPr>
            <w:r>
              <w:rPr>
                <w:rFonts w:ascii="Times New Roman" w:hAnsi="Times New Roman"/>
                <w:sz w:val="17"/>
              </w:rPr>
              <w:t>Gemini 3.6 Flash reasoning; RFC unified diff synthesis</w:t>
            </w:r>
          </w:p>
        </w:tc>
        <w:tc>
          <w:tcPr>
            <w:tcW w:type="dxa" w:w="1152"/>
            <w:shd w:fill="FFFFFF"/>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FR-5</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AST Certification</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Functional</w:t>
            </w:r>
          </w:p>
        </w:tc>
        <w:tc>
          <w:tcPr>
            <w:tcW w:type="dxa" w:w="3168"/>
            <w:shd w:fill="F8FAFC"/>
            <w:tcMar>
              <w:top w:w="70" w:type="dxa"/>
              <w:bottom w:w="70" w:type="dxa"/>
              <w:left w:w="80" w:type="dxa"/>
              <w:right w:w="80" w:type="dxa"/>
            </w:tcMar>
          </w:tcPr>
          <w:p>
            <w:pPr>
              <w:spacing w:line="276" w:lineRule="auto"/>
              <w:jc w:val="left"/>
            </w:pPr>
            <w:r>
              <w:rPr>
                <w:rFonts w:ascii="Times New Roman" w:hAnsi="Times New Roman"/>
                <w:sz w:val="17"/>
              </w:rPr>
              <w:t>Native Python ast.parse() validation; 100% valid syntax</w:t>
            </w:r>
          </w:p>
        </w:tc>
        <w:tc>
          <w:tcPr>
            <w:tcW w:type="dxa" w:w="1152"/>
            <w:shd w:fill="F8FAFC"/>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FFFFF"/>
            <w:tcMar>
              <w:top w:w="70" w:type="dxa"/>
              <w:bottom w:w="70" w:type="dxa"/>
              <w:left w:w="80" w:type="dxa"/>
              <w:right w:w="80" w:type="dxa"/>
            </w:tcMar>
          </w:tcPr>
          <w:p>
            <w:pPr>
              <w:spacing w:line="276" w:lineRule="auto"/>
              <w:jc w:val="center"/>
            </w:pPr>
            <w:r>
              <w:rPr>
                <w:rFonts w:ascii="Times New Roman" w:hAnsi="Times New Roman"/>
                <w:sz w:val="17"/>
              </w:rPr>
              <w:t>FR-6</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GitHub PR Dispatch</w:t>
            </w:r>
          </w:p>
        </w:tc>
        <w:tc>
          <w:tcPr>
            <w:tcW w:type="dxa" w:w="1584"/>
            <w:shd w:fill="FFFFFF"/>
            <w:tcMar>
              <w:top w:w="70" w:type="dxa"/>
              <w:bottom w:w="70" w:type="dxa"/>
              <w:left w:w="80" w:type="dxa"/>
              <w:right w:w="80" w:type="dxa"/>
            </w:tcMar>
          </w:tcPr>
          <w:p>
            <w:pPr>
              <w:spacing w:line="276" w:lineRule="auto"/>
              <w:jc w:val="left"/>
            </w:pPr>
            <w:r>
              <w:rPr>
                <w:rFonts w:ascii="Times New Roman" w:hAnsi="Times New Roman"/>
                <w:sz w:val="17"/>
              </w:rPr>
              <w:t>Functional</w:t>
            </w:r>
          </w:p>
        </w:tc>
        <w:tc>
          <w:tcPr>
            <w:tcW w:type="dxa" w:w="3168"/>
            <w:shd w:fill="FFFFFF"/>
            <w:tcMar>
              <w:top w:w="70" w:type="dxa"/>
              <w:bottom w:w="70" w:type="dxa"/>
              <w:left w:w="80" w:type="dxa"/>
              <w:right w:w="80" w:type="dxa"/>
            </w:tcMar>
          </w:tcPr>
          <w:p>
            <w:pPr>
              <w:spacing w:line="276" w:lineRule="auto"/>
              <w:jc w:val="left"/>
            </w:pPr>
            <w:r>
              <w:rPr>
                <w:rFonts w:ascii="Times New Roman" w:hAnsi="Times New Roman"/>
                <w:sz w:val="17"/>
              </w:rPr>
              <w:t>Automated branch checkout, commit push, and PR publish &lt; 4.0s</w:t>
            </w:r>
          </w:p>
        </w:tc>
        <w:tc>
          <w:tcPr>
            <w:tcW w:type="dxa" w:w="1152"/>
            <w:shd w:fill="FFFFFF"/>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FR-7</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Forensic Extraction</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Functional</w:t>
            </w:r>
          </w:p>
        </w:tc>
        <w:tc>
          <w:tcPr>
            <w:tcW w:type="dxa" w:w="3168"/>
            <w:shd w:fill="F8FAFC"/>
            <w:tcMar>
              <w:top w:w="70" w:type="dxa"/>
              <w:bottom w:w="70" w:type="dxa"/>
              <w:left w:w="80" w:type="dxa"/>
              <w:right w:w="80" w:type="dxa"/>
            </w:tcMar>
          </w:tcPr>
          <w:p>
            <w:pPr>
              <w:spacing w:line="276" w:lineRule="auto"/>
              <w:jc w:val="left"/>
            </w:pPr>
            <w:r>
              <w:rPr>
                <w:rFonts w:ascii="Times New Roman" w:hAnsi="Times New Roman"/>
                <w:sz w:val="17"/>
              </w:rPr>
              <w:t>StegSeek LSB cracking &gt; 2.5M words/sec against RockYou</w:t>
            </w:r>
          </w:p>
        </w:tc>
        <w:tc>
          <w:tcPr>
            <w:tcW w:type="dxa" w:w="1152"/>
            <w:shd w:fill="F8FAFC"/>
            <w:tcMar>
              <w:top w:w="70" w:type="dxa"/>
              <w:bottom w:w="70" w:type="dxa"/>
              <w:left w:w="80" w:type="dxa"/>
              <w:right w:w="80" w:type="dxa"/>
            </w:tcMar>
          </w:tcPr>
          <w:p>
            <w:pPr>
              <w:spacing w:line="276" w:lineRule="auto"/>
              <w:jc w:val="left"/>
            </w:pPr>
            <w:r>
              <w:rPr>
                <w:rFonts w:ascii="Times New Roman" w:hAnsi="Times New Roman"/>
                <w:sz w:val="17"/>
              </w:rPr>
              <w:t>Should Have</w:t>
            </w:r>
          </w:p>
        </w:tc>
      </w:tr>
      <w:tr>
        <w:tc>
          <w:tcPr>
            <w:tcW w:type="dxa" w:w="1152"/>
            <w:shd w:fill="FFFFFF"/>
            <w:tcMar>
              <w:top w:w="70" w:type="dxa"/>
              <w:bottom w:w="70" w:type="dxa"/>
              <w:left w:w="80" w:type="dxa"/>
              <w:right w:w="80" w:type="dxa"/>
            </w:tcMar>
          </w:tcPr>
          <w:p>
            <w:pPr>
              <w:spacing w:line="276" w:lineRule="auto"/>
              <w:jc w:val="center"/>
            </w:pPr>
            <w:r>
              <w:rPr>
                <w:rFonts w:ascii="Times New Roman" w:hAnsi="Times New Roman"/>
                <w:sz w:val="17"/>
              </w:rPr>
              <w:t>FR-8</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Audit &amp; Compliance</w:t>
            </w:r>
          </w:p>
        </w:tc>
        <w:tc>
          <w:tcPr>
            <w:tcW w:type="dxa" w:w="1584"/>
            <w:shd w:fill="FFFFFF"/>
            <w:tcMar>
              <w:top w:w="70" w:type="dxa"/>
              <w:bottom w:w="70" w:type="dxa"/>
              <w:left w:w="80" w:type="dxa"/>
              <w:right w:w="80" w:type="dxa"/>
            </w:tcMar>
          </w:tcPr>
          <w:p>
            <w:pPr>
              <w:spacing w:line="276" w:lineRule="auto"/>
              <w:jc w:val="left"/>
            </w:pPr>
            <w:r>
              <w:rPr>
                <w:rFonts w:ascii="Times New Roman" w:hAnsi="Times New Roman"/>
                <w:sz w:val="17"/>
              </w:rPr>
              <w:t>Functional</w:t>
            </w:r>
          </w:p>
        </w:tc>
        <w:tc>
          <w:tcPr>
            <w:tcW w:type="dxa" w:w="3168"/>
            <w:shd w:fill="FFFFFF"/>
            <w:tcMar>
              <w:top w:w="70" w:type="dxa"/>
              <w:bottom w:w="70" w:type="dxa"/>
              <w:left w:w="80" w:type="dxa"/>
              <w:right w:w="80" w:type="dxa"/>
            </w:tcMar>
          </w:tcPr>
          <w:p>
            <w:pPr>
              <w:spacing w:line="276" w:lineRule="auto"/>
              <w:jc w:val="left"/>
            </w:pPr>
            <w:r>
              <w:rPr>
                <w:rFonts w:ascii="Times New Roman" w:hAnsi="Times New Roman"/>
                <w:sz w:val="17"/>
              </w:rPr>
              <w:t>PostgreSQL ledger + automated SOC 2 / ISO 27001 PDF report</w:t>
            </w:r>
          </w:p>
        </w:tc>
        <w:tc>
          <w:tcPr>
            <w:tcW w:type="dxa" w:w="1152"/>
            <w:shd w:fill="FFFFFF"/>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NFR-1</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Latency Threshold</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Non-Functional</w:t>
            </w:r>
          </w:p>
        </w:tc>
        <w:tc>
          <w:tcPr>
            <w:tcW w:type="dxa" w:w="3168"/>
            <w:shd w:fill="F8FAFC"/>
            <w:tcMar>
              <w:top w:w="70" w:type="dxa"/>
              <w:bottom w:w="70" w:type="dxa"/>
              <w:left w:w="80" w:type="dxa"/>
              <w:right w:w="80" w:type="dxa"/>
            </w:tcMar>
          </w:tcPr>
          <w:p>
            <w:pPr>
              <w:spacing w:line="276" w:lineRule="auto"/>
              <w:jc w:val="left"/>
            </w:pPr>
            <w:r>
              <w:rPr>
                <w:rFonts w:ascii="Times New Roman" w:hAnsi="Times New Roman"/>
                <w:sz w:val="17"/>
              </w:rPr>
              <w:t>Average WAF inspection latency &lt;= 15.0 ms (p99 &lt;= 20.0 ms)</w:t>
            </w:r>
          </w:p>
        </w:tc>
        <w:tc>
          <w:tcPr>
            <w:tcW w:type="dxa" w:w="1152"/>
            <w:shd w:fill="F8FAFC"/>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FFFFF"/>
            <w:tcMar>
              <w:top w:w="70" w:type="dxa"/>
              <w:bottom w:w="70" w:type="dxa"/>
              <w:left w:w="80" w:type="dxa"/>
              <w:right w:w="80" w:type="dxa"/>
            </w:tcMar>
          </w:tcPr>
          <w:p>
            <w:pPr>
              <w:spacing w:line="276" w:lineRule="auto"/>
              <w:jc w:val="center"/>
            </w:pPr>
            <w:r>
              <w:rPr>
                <w:rFonts w:ascii="Times New Roman" w:hAnsi="Times New Roman"/>
                <w:sz w:val="17"/>
              </w:rPr>
              <w:t>NFR-2</w:t>
            </w:r>
          </w:p>
        </w:tc>
        <w:tc>
          <w:tcPr>
            <w:tcW w:type="dxa" w:w="2160"/>
            <w:shd w:fill="FFFFFF"/>
            <w:tcMar>
              <w:top w:w="70" w:type="dxa"/>
              <w:bottom w:w="70" w:type="dxa"/>
              <w:left w:w="80" w:type="dxa"/>
              <w:right w:w="80" w:type="dxa"/>
            </w:tcMar>
          </w:tcPr>
          <w:p>
            <w:pPr>
              <w:spacing w:line="276" w:lineRule="auto"/>
              <w:jc w:val="center"/>
            </w:pPr>
            <w:r>
              <w:rPr>
                <w:rFonts w:ascii="Times New Roman" w:hAnsi="Times New Roman"/>
                <w:sz w:val="17"/>
              </w:rPr>
              <w:t>Docker Isolation</w:t>
            </w:r>
          </w:p>
        </w:tc>
        <w:tc>
          <w:tcPr>
            <w:tcW w:type="dxa" w:w="1584"/>
            <w:shd w:fill="FFFFFF"/>
            <w:tcMar>
              <w:top w:w="70" w:type="dxa"/>
              <w:bottom w:w="70" w:type="dxa"/>
              <w:left w:w="80" w:type="dxa"/>
              <w:right w:w="80" w:type="dxa"/>
            </w:tcMar>
          </w:tcPr>
          <w:p>
            <w:pPr>
              <w:spacing w:line="276" w:lineRule="auto"/>
              <w:jc w:val="left"/>
            </w:pPr>
            <w:r>
              <w:rPr>
                <w:rFonts w:ascii="Times New Roman" w:hAnsi="Times New Roman"/>
                <w:sz w:val="17"/>
              </w:rPr>
              <w:t>Non-Functional</w:t>
            </w:r>
          </w:p>
        </w:tc>
        <w:tc>
          <w:tcPr>
            <w:tcW w:type="dxa" w:w="3168"/>
            <w:shd w:fill="FFFFFF"/>
            <w:tcMar>
              <w:top w:w="70" w:type="dxa"/>
              <w:bottom w:w="70" w:type="dxa"/>
              <w:left w:w="80" w:type="dxa"/>
              <w:right w:w="80" w:type="dxa"/>
            </w:tcMar>
          </w:tcPr>
          <w:p>
            <w:pPr>
              <w:spacing w:line="276" w:lineRule="auto"/>
              <w:jc w:val="left"/>
            </w:pPr>
            <w:r>
              <w:rPr>
                <w:rFonts w:ascii="Times New Roman" w:hAnsi="Times New Roman"/>
                <w:sz w:val="17"/>
              </w:rPr>
              <w:t>Complete container sandbox isolation for exploit payloads</w:t>
            </w:r>
          </w:p>
        </w:tc>
        <w:tc>
          <w:tcPr>
            <w:tcW w:type="dxa" w:w="1152"/>
            <w:shd w:fill="FFFFFF"/>
            <w:tcMar>
              <w:top w:w="70" w:type="dxa"/>
              <w:bottom w:w="70" w:type="dxa"/>
              <w:left w:w="80" w:type="dxa"/>
              <w:right w:w="80" w:type="dxa"/>
            </w:tcMar>
          </w:tcPr>
          <w:p>
            <w:pPr>
              <w:spacing w:line="276" w:lineRule="auto"/>
              <w:jc w:val="left"/>
            </w:pPr>
            <w:r>
              <w:rPr>
                <w:rFonts w:ascii="Times New Roman" w:hAnsi="Times New Roman"/>
                <w:sz w:val="17"/>
              </w:rPr>
              <w:t>Must Have</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NFR-3</w:t>
            </w:r>
          </w:p>
        </w:tc>
        <w:tc>
          <w:tcPr>
            <w:tcW w:type="dxa" w:w="2160"/>
            <w:shd w:fill="F8FAFC"/>
            <w:tcMar>
              <w:top w:w="70" w:type="dxa"/>
              <w:bottom w:w="70" w:type="dxa"/>
              <w:left w:w="80" w:type="dxa"/>
              <w:right w:w="80" w:type="dxa"/>
            </w:tcMar>
          </w:tcPr>
          <w:p>
            <w:pPr>
              <w:spacing w:line="276" w:lineRule="auto"/>
              <w:jc w:val="center"/>
            </w:pPr>
            <w:r>
              <w:rPr>
                <w:rFonts w:ascii="Times New Roman" w:hAnsi="Times New Roman"/>
                <w:sz w:val="17"/>
              </w:rPr>
              <w:t>Telemetry Stream</w:t>
            </w:r>
          </w:p>
        </w:tc>
        <w:tc>
          <w:tcPr>
            <w:tcW w:type="dxa" w:w="1584"/>
            <w:shd w:fill="F8FAFC"/>
            <w:tcMar>
              <w:top w:w="70" w:type="dxa"/>
              <w:bottom w:w="70" w:type="dxa"/>
              <w:left w:w="80" w:type="dxa"/>
              <w:right w:w="80" w:type="dxa"/>
            </w:tcMar>
          </w:tcPr>
          <w:p>
            <w:pPr>
              <w:spacing w:line="276" w:lineRule="auto"/>
              <w:jc w:val="left"/>
            </w:pPr>
            <w:r>
              <w:rPr>
                <w:rFonts w:ascii="Times New Roman" w:hAnsi="Times New Roman"/>
                <w:sz w:val="17"/>
              </w:rPr>
              <w:t>Non-Functional</w:t>
            </w:r>
          </w:p>
        </w:tc>
        <w:tc>
          <w:tcPr>
            <w:tcW w:type="dxa" w:w="3168"/>
            <w:shd w:fill="F8FAFC"/>
            <w:tcMar>
              <w:top w:w="70" w:type="dxa"/>
              <w:bottom w:w="70" w:type="dxa"/>
              <w:left w:w="80" w:type="dxa"/>
              <w:right w:w="80" w:type="dxa"/>
            </w:tcMar>
          </w:tcPr>
          <w:p>
            <w:pPr>
              <w:spacing w:line="276" w:lineRule="auto"/>
              <w:jc w:val="left"/>
            </w:pPr>
            <w:r>
              <w:rPr>
                <w:rFonts w:ascii="Times New Roman" w:hAnsi="Times New Roman"/>
                <w:sz w:val="17"/>
              </w:rPr>
              <w:t>Sub-millisecond WebSocket updates without UI thread blocking</w:t>
            </w:r>
          </w:p>
        </w:tc>
        <w:tc>
          <w:tcPr>
            <w:tcW w:type="dxa" w:w="1152"/>
            <w:shd w:fill="F8FAFC"/>
            <w:tcMar>
              <w:top w:w="70" w:type="dxa"/>
              <w:bottom w:w="70" w:type="dxa"/>
              <w:left w:w="80" w:type="dxa"/>
              <w:right w:w="80" w:type="dxa"/>
            </w:tcMar>
          </w:tcPr>
          <w:p>
            <w:pPr>
              <w:spacing w:line="276" w:lineRule="auto"/>
              <w:jc w:val="left"/>
            </w:pPr>
            <w:r>
              <w:rPr>
                <w:rFonts w:ascii="Times New Roman" w:hAnsi="Times New Roman"/>
                <w:sz w:val="17"/>
              </w:rPr>
              <w:t>Must Have</w:t>
            </w:r>
          </w:p>
        </w:tc>
      </w:tr>
    </w:tbl>
    <w:p>
      <w:pPr>
        <w:spacing w:after="160"/>
      </w:pPr>
    </w:p>
    <w:p>
      <w:r>
        <w:br w:type="page"/>
      </w:r>
    </w:p>
    <w:p>
      <w:pPr>
        <w:keepNext/>
        <w:spacing w:before="320" w:after="120" w:line="360" w:lineRule="auto"/>
      </w:pPr>
      <w:r>
        <w:rPr>
          <w:rFonts w:ascii="Times New Roman" w:hAnsi="Times New Roman"/>
          <w:b/>
          <w:color w:val="1E3A8A"/>
          <w:sz w:val="28"/>
        </w:rPr>
        <w:t>3.3 Planning and Scheduling</w:t>
      </w:r>
    </w:p>
    <w:p>
      <w:pPr>
        <w:spacing w:line="360" w:lineRule="auto" w:after="120"/>
        <w:jc w:val="both"/>
      </w:pPr>
      <w:r>
        <w:rPr>
          <w:rFonts w:ascii="Times New Roman" w:hAnsi="Times New Roman"/>
          <w:color w:val="000000"/>
          <w:sz w:val="24"/>
        </w:rPr>
        <w:t>Engineering a multi-faceted platform combining offensive emulation, defensive networking, artificial intelligence, and forensic steganography demands a disciplined, agile project planning strategy. The SentroniX research project was executed over a twelve-week development lifecycle structured into six distinct two-week sprints.</w:t>
      </w:r>
    </w:p>
    <w:p>
      <w:pPr>
        <w:keepNext/>
        <w:spacing w:before="240" w:after="80" w:line="360" w:lineRule="auto"/>
      </w:pPr>
      <w:r>
        <w:rPr>
          <w:rFonts w:ascii="Times New Roman" w:hAnsi="Times New Roman"/>
          <w:b/>
          <w:color w:val="111827"/>
          <w:sz w:val="25"/>
        </w:rPr>
        <w:t>3.3.1 Agile Scrum Methodology and Justification</w:t>
      </w:r>
    </w:p>
    <w:p>
      <w:pPr>
        <w:spacing w:line="360" w:lineRule="auto" w:after="120"/>
        <w:jc w:val="both"/>
      </w:pPr>
      <w:r>
        <w:rPr>
          <w:rFonts w:ascii="Times New Roman" w:hAnsi="Times New Roman"/>
          <w:color w:val="000000"/>
          <w:sz w:val="24"/>
        </w:rPr>
        <w:t>The project adopted an Agile Scrum framework. Traditional linear models (such as the Waterfall model) assume completely static requirements and sequential phase execution. In cybersecurity engineering, such assumptions fail catastrophically: threat vectors evolve constantly, frontier LLM API behaviors require iterative prompt tuning, and in-line network interception requires rapid cycles of empirical latency benchmarking. Agile Scrum provides the iterative flexibility, continuous integration, and stakeholder feedback loops necessary to engineer and calibrate a high-precision Purple Team platform.</w:t>
      </w:r>
    </w:p>
    <w:p>
      <w:pPr>
        <w:keepNext/>
        <w:spacing w:before="240" w:after="80" w:line="360" w:lineRule="auto"/>
      </w:pPr>
      <w:r>
        <w:rPr>
          <w:rFonts w:ascii="Times New Roman" w:hAnsi="Times New Roman"/>
          <w:b/>
          <w:color w:val="111827"/>
          <w:sz w:val="25"/>
        </w:rPr>
        <w:t>3.3.2 Work Breakdown Structure (WBS) and Sprint Schedule</w:t>
      </w:r>
    </w:p>
    <w:p>
      <w:pPr>
        <w:spacing w:line="360" w:lineRule="auto" w:after="120"/>
        <w:jc w:val="both"/>
      </w:pPr>
      <w:r>
        <w:rPr>
          <w:rFonts w:ascii="Times New Roman" w:hAnsi="Times New Roman"/>
          <w:color w:val="000000"/>
          <w:sz w:val="24"/>
        </w:rPr>
        <w:t>Figure 3.2 illustrates the project Gantt chart, detailing the twelve-week development timeline, sprint milestone boundaries, and concurrent work packages.</w:t>
      </w:r>
    </w:p>
    <w:p>
      <w:pPr>
        <w:spacing w:before="240" w:after="80"/>
        <w:jc w:val="center"/>
      </w:pPr>
      <w:r>
        <w:drawing>
          <wp:inline xmlns:a="http://schemas.openxmlformats.org/drawingml/2006/main" xmlns:pic="http://schemas.openxmlformats.org/drawingml/2006/picture">
            <wp:extent cx="5852160" cy="3413760"/>
            <wp:docPr id="1" name="Picture 1"/>
            <wp:cNvGraphicFramePr>
              <a:graphicFrameLocks noChangeAspect="1"/>
            </wp:cNvGraphicFramePr>
            <a:graphic>
              <a:graphicData uri="http://schemas.openxmlformats.org/drawingml/2006/picture">
                <pic:pic>
                  <pic:nvPicPr>
                    <pic:cNvPr id="0" name="fig_3_2_gantt_schedule.png"/>
                    <pic:cNvPicPr/>
                  </pic:nvPicPr>
                  <pic:blipFill>
                    <a:blip r:embed="rId9"/>
                    <a:stretch>
                      <a:fillRect/>
                    </a:stretch>
                  </pic:blipFill>
                  <pic:spPr>
                    <a:xfrm>
                      <a:off x="0" y="0"/>
                      <a:ext cx="5852160" cy="3413760"/>
                    </a:xfrm>
                    <a:prstGeom prst="rect"/>
                  </pic:spPr>
                </pic:pic>
              </a:graphicData>
            </a:graphic>
          </wp:inline>
        </w:drawing>
      </w:r>
    </w:p>
    <w:p>
      <w:pPr>
        <w:spacing w:after="280"/>
        <w:jc w:val="center"/>
      </w:pPr>
      <w:r>
        <w:rPr>
          <w:rFonts w:ascii="Times New Roman" w:hAnsi="Times New Roman"/>
          <w:i/>
          <w:color w:val="374151"/>
          <w:sz w:val="20"/>
        </w:rPr>
        <w:t>Figure 3.2: SentroniX Project Sprint Schedule &amp; Work Breakdown (Gantt Chart)</w:t>
      </w:r>
    </w:p>
    <w:p>
      <w:pPr>
        <w:spacing w:line="360" w:lineRule="auto" w:after="120"/>
        <w:jc w:val="both"/>
      </w:pPr>
      <w:r>
        <w:rPr>
          <w:rFonts w:ascii="Times New Roman" w:hAnsi="Times New Roman"/>
          <w:color w:val="000000"/>
          <w:sz w:val="24"/>
        </w:rPr>
        <w:t>Table 3.2 formalizes the work breakdown structure across the six execution sprints, articulating specific development epics, core deliverables, and validation criteria.</w:t>
      </w:r>
    </w:p>
    <w:p>
      <w:pPr>
        <w:keepNext/>
        <w:spacing w:before="200" w:after="60" w:line="360" w:lineRule="auto"/>
      </w:pPr>
      <w:r>
        <w:rPr>
          <w:rFonts w:ascii="Times New Roman" w:hAnsi="Times New Roman"/>
          <w:b/>
          <w:color w:val="1E3A8A"/>
          <w:sz w:val="24"/>
        </w:rPr>
        <w:t>Table 3.2: Agile Sprint Schedule, Epics, and Deliverables Matrix</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3A8A"/>
            <w:tcMar>
              <w:top w:w="90" w:type="dxa"/>
              <w:bottom w:w="90" w:type="dxa"/>
              <w:left w:w="80" w:type="dxa"/>
              <w:right w:w="80" w:type="dxa"/>
            </w:tcMar>
          </w:tcPr>
          <w:p>
            <w:pPr>
              <w:spacing w:line="276" w:lineRule="auto"/>
              <w:jc w:val="center"/>
            </w:pPr>
            <w:r>
              <w:rPr>
                <w:rFonts w:ascii="Times New Roman" w:hAnsi="Times New Roman"/>
                <w:b/>
                <w:color w:val="FFFFFF"/>
                <w:sz w:val="19"/>
              </w:rPr>
              <w:t>Sprint</w:t>
            </w:r>
          </w:p>
        </w:tc>
        <w:tc>
          <w:tcPr>
            <w:tcW w:type="dxa" w:w="1440"/>
            <w:shd w:fill="1E3A8A"/>
            <w:tcMar>
              <w:top w:w="90" w:type="dxa"/>
              <w:bottom w:w="90" w:type="dxa"/>
              <w:left w:w="80" w:type="dxa"/>
              <w:right w:w="80" w:type="dxa"/>
            </w:tcMar>
          </w:tcPr>
          <w:p>
            <w:pPr>
              <w:spacing w:line="276" w:lineRule="auto"/>
              <w:jc w:val="center"/>
            </w:pPr>
            <w:r>
              <w:rPr>
                <w:rFonts w:ascii="Times New Roman" w:hAnsi="Times New Roman"/>
                <w:b/>
                <w:color w:val="FFFFFF"/>
                <w:sz w:val="19"/>
              </w:rPr>
              <w:t>Timeline</w:t>
            </w:r>
          </w:p>
        </w:tc>
        <w:tc>
          <w:tcPr>
            <w:tcW w:type="dxa" w:w="2304"/>
            <w:shd w:fill="1E3A8A"/>
            <w:tcMar>
              <w:top w:w="90" w:type="dxa"/>
              <w:bottom w:w="90" w:type="dxa"/>
              <w:left w:w="80" w:type="dxa"/>
              <w:right w:w="80" w:type="dxa"/>
            </w:tcMar>
          </w:tcPr>
          <w:p>
            <w:pPr>
              <w:spacing w:line="276" w:lineRule="auto"/>
              <w:jc w:val="center"/>
            </w:pPr>
            <w:r>
              <w:rPr>
                <w:rFonts w:ascii="Times New Roman" w:hAnsi="Times New Roman"/>
                <w:b/>
                <w:color w:val="FFFFFF"/>
                <w:sz w:val="19"/>
              </w:rPr>
              <w:t>Development Epic</w:t>
            </w:r>
          </w:p>
        </w:tc>
        <w:tc>
          <w:tcPr>
            <w:tcW w:type="dxa" w:w="2592"/>
            <w:shd w:fill="1E3A8A"/>
            <w:tcMar>
              <w:top w:w="90" w:type="dxa"/>
              <w:bottom w:w="90" w:type="dxa"/>
              <w:left w:w="80" w:type="dxa"/>
              <w:right w:w="80" w:type="dxa"/>
            </w:tcMar>
          </w:tcPr>
          <w:p>
            <w:pPr>
              <w:spacing w:line="276" w:lineRule="auto"/>
              <w:jc w:val="center"/>
            </w:pPr>
            <w:r>
              <w:rPr>
                <w:rFonts w:ascii="Times New Roman" w:hAnsi="Times New Roman"/>
                <w:b/>
                <w:color w:val="FFFFFF"/>
                <w:sz w:val="19"/>
              </w:rPr>
              <w:t>Core Technical Deliverables</w:t>
            </w:r>
          </w:p>
        </w:tc>
        <w:tc>
          <w:tcPr>
            <w:tcW w:type="dxa" w:w="172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Validation Metric</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Sprint 1</w:t>
            </w:r>
          </w:p>
        </w:tc>
        <w:tc>
          <w:tcPr>
            <w:tcW w:type="dxa" w:w="1440"/>
            <w:shd w:fill="F8FAFC"/>
            <w:tcMar>
              <w:top w:w="70" w:type="dxa"/>
              <w:bottom w:w="70" w:type="dxa"/>
              <w:left w:w="80" w:type="dxa"/>
              <w:right w:w="80" w:type="dxa"/>
            </w:tcMar>
          </w:tcPr>
          <w:p>
            <w:pPr>
              <w:spacing w:line="276" w:lineRule="auto"/>
              <w:jc w:val="center"/>
            </w:pPr>
            <w:r>
              <w:rPr>
                <w:rFonts w:ascii="Times New Roman" w:hAnsi="Times New Roman"/>
                <w:sz w:val="17"/>
              </w:rPr>
              <w:t>Weeks 1 - 2</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Architecture &amp; Data Layer</w:t>
            </w:r>
          </w:p>
        </w:tc>
        <w:tc>
          <w:tcPr>
            <w:tcW w:type="dxa" w:w="2592"/>
            <w:shd w:fill="F8FAFC"/>
            <w:tcMar>
              <w:top w:w="70" w:type="dxa"/>
              <w:bottom w:w="70" w:type="dxa"/>
              <w:left w:w="80" w:type="dxa"/>
              <w:right w:w="80" w:type="dxa"/>
            </w:tcMar>
          </w:tcPr>
          <w:p>
            <w:pPr>
              <w:spacing w:line="276" w:lineRule="auto"/>
              <w:jc w:val="left"/>
            </w:pPr>
            <w:r>
              <w:rPr>
                <w:rFonts w:ascii="Times New Roman" w:hAnsi="Times New Roman"/>
                <w:sz w:val="17"/>
              </w:rPr>
              <w:t>PostgreSQL schema, AsyncPG connection pool, Docker compose testbed</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Successful DB migrations; container isolation confirmed</w:t>
            </w:r>
          </w:p>
        </w:tc>
      </w:tr>
      <w:tr>
        <w:tc>
          <w:tcPr>
            <w:tcW w:type="dxa" w:w="1152"/>
            <w:shd w:fill="FFFFFF"/>
            <w:tcMar>
              <w:top w:w="70" w:type="dxa"/>
              <w:bottom w:w="70" w:type="dxa"/>
              <w:left w:w="80" w:type="dxa"/>
              <w:right w:w="80" w:type="dxa"/>
            </w:tcMar>
          </w:tcPr>
          <w:p>
            <w:pPr>
              <w:spacing w:line="276" w:lineRule="auto"/>
              <w:jc w:val="center"/>
            </w:pPr>
            <w:r>
              <w:rPr>
                <w:rFonts w:ascii="Times New Roman" w:hAnsi="Times New Roman"/>
                <w:sz w:val="17"/>
              </w:rPr>
              <w:t>Sprint 2</w:t>
            </w:r>
          </w:p>
        </w:tc>
        <w:tc>
          <w:tcPr>
            <w:tcW w:type="dxa" w:w="1440"/>
            <w:shd w:fill="FFFFFF"/>
            <w:tcMar>
              <w:top w:w="70" w:type="dxa"/>
              <w:bottom w:w="70" w:type="dxa"/>
              <w:left w:w="80" w:type="dxa"/>
              <w:right w:w="80" w:type="dxa"/>
            </w:tcMar>
          </w:tcPr>
          <w:p>
            <w:pPr>
              <w:spacing w:line="276" w:lineRule="auto"/>
              <w:jc w:val="center"/>
            </w:pPr>
            <w:r>
              <w:rPr>
                <w:rFonts w:ascii="Times New Roman" w:hAnsi="Times New Roman"/>
                <w:sz w:val="17"/>
              </w:rPr>
              <w:t>Weeks 3 - 4</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Offensive Emulation Engine</w:t>
            </w:r>
          </w:p>
        </w:tc>
        <w:tc>
          <w:tcPr>
            <w:tcW w:type="dxa" w:w="2592"/>
            <w:shd w:fill="FFFFFF"/>
            <w:tcMar>
              <w:top w:w="70" w:type="dxa"/>
              <w:bottom w:w="70" w:type="dxa"/>
              <w:left w:w="80" w:type="dxa"/>
              <w:right w:w="80" w:type="dxa"/>
            </w:tcMar>
          </w:tcPr>
          <w:p>
            <w:pPr>
              <w:spacing w:line="276" w:lineRule="auto"/>
              <w:jc w:val="left"/>
            </w:pPr>
            <w:r>
              <w:rPr>
                <w:rFonts w:ascii="Times New Roman" w:hAnsi="Times New Roman"/>
                <w:sz w:val="17"/>
              </w:rPr>
              <w:t>Atomic Red Team dispatcher, SecLists fuzzing client, socket assault engine</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&gt; 100 req/sec sustained throughput against testbed</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Sprint 3</w:t>
            </w:r>
          </w:p>
        </w:tc>
        <w:tc>
          <w:tcPr>
            <w:tcW w:type="dxa" w:w="1440"/>
            <w:shd w:fill="F8FAFC"/>
            <w:tcMar>
              <w:top w:w="70" w:type="dxa"/>
              <w:bottom w:w="70" w:type="dxa"/>
              <w:left w:w="80" w:type="dxa"/>
              <w:right w:w="80" w:type="dxa"/>
            </w:tcMar>
          </w:tcPr>
          <w:p>
            <w:pPr>
              <w:spacing w:line="276" w:lineRule="auto"/>
              <w:jc w:val="center"/>
            </w:pPr>
            <w:r>
              <w:rPr>
                <w:rFonts w:ascii="Times New Roman" w:hAnsi="Times New Roman"/>
                <w:sz w:val="17"/>
              </w:rPr>
              <w:t>Weeks 5 - 6</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Defensive Telemetry &amp; WAF</w:t>
            </w:r>
          </w:p>
        </w:tc>
        <w:tc>
          <w:tcPr>
            <w:tcW w:type="dxa" w:w="2592"/>
            <w:shd w:fill="F8FAFC"/>
            <w:tcMar>
              <w:top w:w="70" w:type="dxa"/>
              <w:bottom w:w="70" w:type="dxa"/>
              <w:left w:w="80" w:type="dxa"/>
              <w:right w:w="80" w:type="dxa"/>
            </w:tcMar>
          </w:tcPr>
          <w:p>
            <w:pPr>
              <w:spacing w:line="276" w:lineRule="auto"/>
              <w:jc w:val="left"/>
            </w:pPr>
            <w:r>
              <w:rPr>
                <w:rFonts w:ascii="Times New Roman" w:hAnsi="Times New Roman"/>
                <w:sz w:val="17"/>
              </w:rPr>
              <w:t>FastAPI Starlette WAF middleware, Redis 7 Pub/Sub, Policy switchboard</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Latency &lt; 15.0ms; zero downtime on policy toggle</w:t>
            </w:r>
          </w:p>
        </w:tc>
      </w:tr>
      <w:tr>
        <w:tc>
          <w:tcPr>
            <w:tcW w:type="dxa" w:w="1152"/>
            <w:shd w:fill="FFFFFF"/>
            <w:tcMar>
              <w:top w:w="70" w:type="dxa"/>
              <w:bottom w:w="70" w:type="dxa"/>
              <w:left w:w="80" w:type="dxa"/>
              <w:right w:w="80" w:type="dxa"/>
            </w:tcMar>
          </w:tcPr>
          <w:p>
            <w:pPr>
              <w:spacing w:line="276" w:lineRule="auto"/>
              <w:jc w:val="center"/>
            </w:pPr>
            <w:r>
              <w:rPr>
                <w:rFonts w:ascii="Times New Roman" w:hAnsi="Times New Roman"/>
                <w:sz w:val="17"/>
              </w:rPr>
              <w:t>Sprint 4</w:t>
            </w:r>
          </w:p>
        </w:tc>
        <w:tc>
          <w:tcPr>
            <w:tcW w:type="dxa" w:w="1440"/>
            <w:shd w:fill="FFFFFF"/>
            <w:tcMar>
              <w:top w:w="70" w:type="dxa"/>
              <w:bottom w:w="70" w:type="dxa"/>
              <w:left w:w="80" w:type="dxa"/>
              <w:right w:w="80" w:type="dxa"/>
            </w:tcMar>
          </w:tcPr>
          <w:p>
            <w:pPr>
              <w:spacing w:line="276" w:lineRule="auto"/>
              <w:jc w:val="center"/>
            </w:pPr>
            <w:r>
              <w:rPr>
                <w:rFonts w:ascii="Times New Roman" w:hAnsi="Times New Roman"/>
                <w:sz w:val="17"/>
              </w:rPr>
              <w:t>Weeks 7 - 8</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AI Remediation &amp; GitHub PR</w:t>
            </w:r>
          </w:p>
        </w:tc>
        <w:tc>
          <w:tcPr>
            <w:tcW w:type="dxa" w:w="2592"/>
            <w:shd w:fill="FFFFFF"/>
            <w:tcMar>
              <w:top w:w="70" w:type="dxa"/>
              <w:bottom w:w="70" w:type="dxa"/>
              <w:left w:w="80" w:type="dxa"/>
              <w:right w:w="80" w:type="dxa"/>
            </w:tcMar>
          </w:tcPr>
          <w:p>
            <w:pPr>
              <w:spacing w:line="276" w:lineRule="auto"/>
              <w:jc w:val="left"/>
            </w:pPr>
            <w:r>
              <w:rPr>
                <w:rFonts w:ascii="Times New Roman" w:hAnsi="Times New Roman"/>
                <w:sz w:val="17"/>
              </w:rPr>
              <w:t>Gemini 3.6 Flash prompt tuning, ast.parse() harness, PyGithub bridge</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100% AST syntax certification; PR dispatch &lt; 4.0s</w:t>
            </w:r>
          </w:p>
        </w:tc>
      </w:tr>
      <w:tr>
        <w:tc>
          <w:tcPr>
            <w:tcW w:type="dxa" w:w="1152"/>
            <w:shd w:fill="F8FAFC"/>
            <w:tcMar>
              <w:top w:w="70" w:type="dxa"/>
              <w:bottom w:w="70" w:type="dxa"/>
              <w:left w:w="80" w:type="dxa"/>
              <w:right w:w="80" w:type="dxa"/>
            </w:tcMar>
          </w:tcPr>
          <w:p>
            <w:pPr>
              <w:spacing w:line="276" w:lineRule="auto"/>
              <w:jc w:val="center"/>
            </w:pPr>
            <w:r>
              <w:rPr>
                <w:rFonts w:ascii="Times New Roman" w:hAnsi="Times New Roman"/>
                <w:sz w:val="17"/>
              </w:rPr>
              <w:t>Sprint 5</w:t>
            </w:r>
          </w:p>
        </w:tc>
        <w:tc>
          <w:tcPr>
            <w:tcW w:type="dxa" w:w="1440"/>
            <w:shd w:fill="F8FAFC"/>
            <w:tcMar>
              <w:top w:w="70" w:type="dxa"/>
              <w:bottom w:w="70" w:type="dxa"/>
              <w:left w:w="80" w:type="dxa"/>
              <w:right w:w="80" w:type="dxa"/>
            </w:tcMar>
          </w:tcPr>
          <w:p>
            <w:pPr>
              <w:spacing w:line="276" w:lineRule="auto"/>
              <w:jc w:val="center"/>
            </w:pPr>
            <w:r>
              <w:rPr>
                <w:rFonts w:ascii="Times New Roman" w:hAnsi="Times New Roman"/>
                <w:sz w:val="17"/>
              </w:rPr>
              <w:t>Weeks 9 - 10</w:t>
            </w:r>
          </w:p>
        </w:tc>
        <w:tc>
          <w:tcPr>
            <w:tcW w:type="dxa" w:w="2304"/>
            <w:shd w:fill="F8FAFC"/>
            <w:tcMar>
              <w:top w:w="70" w:type="dxa"/>
              <w:bottom w:w="70" w:type="dxa"/>
              <w:left w:w="80" w:type="dxa"/>
              <w:right w:w="80" w:type="dxa"/>
            </w:tcMar>
          </w:tcPr>
          <w:p>
            <w:pPr>
              <w:spacing w:line="276" w:lineRule="auto"/>
              <w:jc w:val="left"/>
            </w:pPr>
            <w:r>
              <w:rPr>
                <w:rFonts w:ascii="Times New Roman" w:hAnsi="Times New Roman"/>
                <w:sz w:val="17"/>
              </w:rPr>
              <w:t>Forensics &amp; Compliance</w:t>
            </w:r>
          </w:p>
        </w:tc>
        <w:tc>
          <w:tcPr>
            <w:tcW w:type="dxa" w:w="2592"/>
            <w:shd w:fill="F8FAFC"/>
            <w:tcMar>
              <w:top w:w="70" w:type="dxa"/>
              <w:bottom w:w="70" w:type="dxa"/>
              <w:left w:w="80" w:type="dxa"/>
              <w:right w:w="80" w:type="dxa"/>
            </w:tcMar>
          </w:tcPr>
          <w:p>
            <w:pPr>
              <w:spacing w:line="276" w:lineRule="auto"/>
              <w:jc w:val="left"/>
            </w:pPr>
            <w:r>
              <w:rPr>
                <w:rFonts w:ascii="Times New Roman" w:hAnsi="Times New Roman"/>
                <w:sz w:val="17"/>
              </w:rPr>
              <w:t>StegSeek LSB cracking wrapper, malware scanner, ReportLab PDF builder</w:t>
            </w:r>
          </w:p>
        </w:tc>
        <w:tc>
          <w:tcPr>
            <w:tcW w:type="dxa" w:w="1728"/>
            <w:shd w:fill="F8FAFC"/>
            <w:tcMar>
              <w:top w:w="70" w:type="dxa"/>
              <w:bottom w:w="70" w:type="dxa"/>
              <w:left w:w="80" w:type="dxa"/>
              <w:right w:w="80" w:type="dxa"/>
            </w:tcMar>
          </w:tcPr>
          <w:p>
            <w:pPr>
              <w:spacing w:line="276" w:lineRule="auto"/>
              <w:jc w:val="left"/>
            </w:pPr>
            <w:r>
              <w:rPr>
                <w:rFonts w:ascii="Times New Roman" w:hAnsi="Times New Roman"/>
                <w:sz w:val="17"/>
              </w:rPr>
              <w:t>&gt; 2.5M words/sec cracking; SOC 2 PDF generation</w:t>
            </w:r>
          </w:p>
        </w:tc>
      </w:tr>
      <w:tr>
        <w:tc>
          <w:tcPr>
            <w:tcW w:type="dxa" w:w="1152"/>
            <w:shd w:fill="FFFFFF"/>
            <w:tcMar>
              <w:top w:w="70" w:type="dxa"/>
              <w:bottom w:w="70" w:type="dxa"/>
              <w:left w:w="80" w:type="dxa"/>
              <w:right w:w="80" w:type="dxa"/>
            </w:tcMar>
          </w:tcPr>
          <w:p>
            <w:pPr>
              <w:spacing w:line="276" w:lineRule="auto"/>
              <w:jc w:val="center"/>
            </w:pPr>
            <w:r>
              <w:rPr>
                <w:rFonts w:ascii="Times New Roman" w:hAnsi="Times New Roman"/>
                <w:sz w:val="17"/>
              </w:rPr>
              <w:t>Sprint 6</w:t>
            </w:r>
          </w:p>
        </w:tc>
        <w:tc>
          <w:tcPr>
            <w:tcW w:type="dxa" w:w="1440"/>
            <w:shd w:fill="FFFFFF"/>
            <w:tcMar>
              <w:top w:w="70" w:type="dxa"/>
              <w:bottom w:w="70" w:type="dxa"/>
              <w:left w:w="80" w:type="dxa"/>
              <w:right w:w="80" w:type="dxa"/>
            </w:tcMar>
          </w:tcPr>
          <w:p>
            <w:pPr>
              <w:spacing w:line="276" w:lineRule="auto"/>
              <w:jc w:val="center"/>
            </w:pPr>
            <w:r>
              <w:rPr>
                <w:rFonts w:ascii="Times New Roman" w:hAnsi="Times New Roman"/>
                <w:sz w:val="17"/>
              </w:rPr>
              <w:t>Weeks 11 - 12</w:t>
            </w:r>
          </w:p>
        </w:tc>
        <w:tc>
          <w:tcPr>
            <w:tcW w:type="dxa" w:w="2304"/>
            <w:shd w:fill="FFFFFF"/>
            <w:tcMar>
              <w:top w:w="70" w:type="dxa"/>
              <w:bottom w:w="70" w:type="dxa"/>
              <w:left w:w="80" w:type="dxa"/>
              <w:right w:w="80" w:type="dxa"/>
            </w:tcMar>
          </w:tcPr>
          <w:p>
            <w:pPr>
              <w:spacing w:line="276" w:lineRule="auto"/>
              <w:jc w:val="left"/>
            </w:pPr>
            <w:r>
              <w:rPr>
                <w:rFonts w:ascii="Times New Roman" w:hAnsi="Times New Roman"/>
                <w:sz w:val="17"/>
              </w:rPr>
              <w:t>E2E Integration &amp; Arena UI</w:t>
            </w:r>
          </w:p>
        </w:tc>
        <w:tc>
          <w:tcPr>
            <w:tcW w:type="dxa" w:w="2592"/>
            <w:shd w:fill="FFFFFF"/>
            <w:tcMar>
              <w:top w:w="70" w:type="dxa"/>
              <w:bottom w:w="70" w:type="dxa"/>
              <w:left w:w="80" w:type="dxa"/>
              <w:right w:w="80" w:type="dxa"/>
            </w:tcMar>
          </w:tcPr>
          <w:p>
            <w:pPr>
              <w:spacing w:line="276" w:lineRule="auto"/>
              <w:jc w:val="left"/>
            </w:pPr>
            <w:r>
              <w:rPr>
                <w:rFonts w:ascii="Times New Roman" w:hAnsi="Times New Roman"/>
                <w:sz w:val="17"/>
              </w:rPr>
              <w:t>Purple Team Arena React UI, WebSocket packet viewer, stress testing</w:t>
            </w:r>
          </w:p>
        </w:tc>
        <w:tc>
          <w:tcPr>
            <w:tcW w:type="dxa" w:w="1728"/>
            <w:shd w:fill="FFFFFF"/>
            <w:tcMar>
              <w:top w:w="70" w:type="dxa"/>
              <w:bottom w:w="70" w:type="dxa"/>
              <w:left w:w="80" w:type="dxa"/>
              <w:right w:w="80" w:type="dxa"/>
            </w:tcMar>
          </w:tcPr>
          <w:p>
            <w:pPr>
              <w:spacing w:line="276" w:lineRule="auto"/>
              <w:jc w:val="left"/>
            </w:pPr>
            <w:r>
              <w:rPr>
                <w:rFonts w:ascii="Times New Roman" w:hAnsi="Times New Roman"/>
                <w:sz w:val="17"/>
              </w:rPr>
              <w:t>Zero socket drop; end-to-end Purple Team loop validated</w:t>
            </w:r>
          </w:p>
        </w:tc>
      </w:tr>
    </w:tbl>
    <w:p>
      <w:pPr>
        <w:spacing w:after="160"/>
      </w:pPr>
    </w:p>
    <w:p>
      <w:r>
        <w:br w:type="page"/>
      </w:r>
    </w:p>
    <w:p>
      <w:pPr>
        <w:keepNext/>
        <w:spacing w:before="320" w:after="120" w:line="360" w:lineRule="auto"/>
      </w:pPr>
      <w:r>
        <w:rPr>
          <w:rFonts w:ascii="Times New Roman" w:hAnsi="Times New Roman"/>
          <w:b/>
          <w:color w:val="1E3A8A"/>
          <w:sz w:val="28"/>
        </w:rPr>
        <w:t>3.4 Software and Hardware Requirements</w:t>
      </w:r>
    </w:p>
    <w:p>
      <w:pPr>
        <w:spacing w:line="360" w:lineRule="auto" w:after="120"/>
        <w:jc w:val="both"/>
      </w:pPr>
      <w:r>
        <w:rPr>
          <w:rFonts w:ascii="Times New Roman" w:hAnsi="Times New Roman"/>
          <w:color w:val="000000"/>
          <w:sz w:val="24"/>
        </w:rPr>
        <w:t>To guarantee reproducibility, deterministic performance, and platform portability, precise hardware and software specifications were established across the engineering development workstation, the cloud server deployment environment, and the client browser interface.</w:t>
      </w:r>
    </w:p>
    <w:p>
      <w:pPr>
        <w:keepNext/>
        <w:spacing w:before="240" w:after="80" w:line="360" w:lineRule="auto"/>
      </w:pPr>
      <w:r>
        <w:rPr>
          <w:rFonts w:ascii="Times New Roman" w:hAnsi="Times New Roman"/>
          <w:b/>
          <w:color w:val="111827"/>
          <w:sz w:val="25"/>
        </w:rPr>
        <w:t>3.4.1 Development and Server Environment Specifications</w:t>
      </w:r>
    </w:p>
    <w:p>
      <w:pPr>
        <w:spacing w:line="360" w:lineRule="auto" w:after="120"/>
        <w:jc w:val="both"/>
      </w:pPr>
      <w:r>
        <w:rPr>
          <w:rFonts w:ascii="Times New Roman" w:hAnsi="Times New Roman"/>
          <w:color w:val="000000"/>
          <w:sz w:val="24"/>
        </w:rPr>
        <w:t>The backend server environment hosting the FastAPI ingress gateway, Redis telemetry broker, and PostgreSQL database requires high I/O throughput and multi-core concurrency to process asynchronous socket streams while executing background fuzzing tasks:</w:t>
      </w:r>
    </w:p>
    <w:p>
      <w:pPr>
        <w:pStyle w:val="ListBullet"/>
        <w:spacing w:line="360" w:lineRule="auto" w:after="80"/>
        <w:jc w:val="both"/>
      </w:pPr>
      <w:r>
        <w:rPr>
          <w:rFonts w:ascii="Times New Roman" w:hAnsi="Times New Roman"/>
          <w:b/>
          <w:color w:val="000000"/>
          <w:sz w:val="24"/>
        </w:rPr>
        <w:t xml:space="preserve">Hardware Server Specifications: </w:t>
      </w:r>
      <w:r>
        <w:rPr>
          <w:rFonts w:ascii="Times New Roman" w:hAnsi="Times New Roman"/>
          <w:color w:val="000000"/>
          <w:sz w:val="24"/>
        </w:rPr>
        <w:t>Multi-core 64-bit processor (minimum 8 physical cores, 16 threads, 3.2 GHz base clock), 16 GB DDR4/DDR5 system RAM (32 GB recommended for high-concurrency fuzzing), and 500 GB NVMe PCIe SSD storage delivering minimum 2,500 MB/s sequential read/write speeds.</w:t>
      </w:r>
    </w:p>
    <w:p>
      <w:pPr>
        <w:pStyle w:val="ListBullet"/>
        <w:spacing w:line="360" w:lineRule="auto" w:after="80"/>
        <w:jc w:val="both"/>
      </w:pPr>
      <w:r>
        <w:rPr>
          <w:rFonts w:ascii="Times New Roman" w:hAnsi="Times New Roman"/>
          <w:b/>
          <w:color w:val="000000"/>
          <w:sz w:val="24"/>
        </w:rPr>
        <w:t xml:space="preserve">Software Server Platform: </w:t>
      </w:r>
      <w:r>
        <w:rPr>
          <w:rFonts w:ascii="Times New Roman" w:hAnsi="Times New Roman"/>
          <w:color w:val="000000"/>
          <w:sz w:val="24"/>
        </w:rPr>
        <w:t>Ubuntu 22.04 LTS (Jammy Jellyfish) or Windows 11 Pro 64-bit with WSL2, Python 3.10+, Node.js v18 LTS+, Docker Engine 24+, PostgreSQL 16.2, and Redis 7.2.</w:t>
      </w:r>
    </w:p>
    <w:p>
      <w:pPr>
        <w:keepNext/>
        <w:spacing w:before="240" w:after="80" w:line="360" w:lineRule="auto"/>
      </w:pPr>
      <w:r>
        <w:rPr>
          <w:rFonts w:ascii="Times New Roman" w:hAnsi="Times New Roman"/>
          <w:b/>
          <w:color w:val="111827"/>
          <w:sz w:val="25"/>
        </w:rPr>
        <w:t>3.4.2 Client and Target Environment Specifications</w:t>
      </w:r>
    </w:p>
    <w:p>
      <w:pPr>
        <w:spacing w:line="360" w:lineRule="auto" w:after="120"/>
        <w:jc w:val="both"/>
      </w:pPr>
      <w:r>
        <w:rPr>
          <w:rFonts w:ascii="Times New Roman" w:hAnsi="Times New Roman"/>
          <w:color w:val="000000"/>
          <w:sz w:val="24"/>
        </w:rPr>
        <w:t>The client accessing the SentroniX Purple Team Arena requires a modern HTML5/W3C compliant web browser supporting WebSockets and modern ES2022 JavaScript execution:</w:t>
      </w:r>
    </w:p>
    <w:p>
      <w:pPr>
        <w:pStyle w:val="ListBullet"/>
        <w:spacing w:line="360" w:lineRule="auto" w:after="80"/>
        <w:jc w:val="both"/>
      </w:pPr>
      <w:r>
        <w:rPr>
          <w:rFonts w:ascii="Times New Roman" w:hAnsi="Times New Roman"/>
          <w:b/>
          <w:color w:val="000000"/>
          <w:sz w:val="24"/>
        </w:rPr>
        <w:t xml:space="preserve">Client Browser Specifications: </w:t>
      </w:r>
      <w:r>
        <w:rPr>
          <w:rFonts w:ascii="Times New Roman" w:hAnsi="Times New Roman"/>
          <w:color w:val="000000"/>
          <w:sz w:val="24"/>
        </w:rPr>
        <w:t>Google Chrome 110+, Mozilla Firefox 115+, Microsoft Edge 110+, or Apple Safari 16+. The client workstation requires minimum 8 GB RAM and display resolution of 1920x1080.</w:t>
      </w:r>
    </w:p>
    <w:p>
      <w:pPr>
        <w:pStyle w:val="ListBullet"/>
        <w:spacing w:line="360" w:lineRule="auto" w:after="80"/>
        <w:jc w:val="both"/>
      </w:pPr>
      <w:r>
        <w:rPr>
          <w:rFonts w:ascii="Times New Roman" w:hAnsi="Times New Roman"/>
          <w:b/>
          <w:color w:val="000000"/>
          <w:sz w:val="24"/>
        </w:rPr>
        <w:t xml:space="preserve">Target Application Sandbox: </w:t>
      </w:r>
      <w:r>
        <w:rPr>
          <w:rFonts w:ascii="Times New Roman" w:hAnsi="Times New Roman"/>
          <w:color w:val="000000"/>
          <w:sz w:val="24"/>
        </w:rPr>
        <w:t>Target applications undergoing simulated attack must be containerized web services running in Docker, exposing standard HTTP/HTTPS REST or GraphQL endpoints.</w:t>
      </w:r>
    </w:p>
    <w:p>
      <w:pPr>
        <w:keepNext/>
        <w:spacing w:before="200" w:after="60" w:line="360" w:lineRule="auto"/>
      </w:pPr>
      <w:r>
        <w:rPr>
          <w:rFonts w:ascii="Times New Roman" w:hAnsi="Times New Roman"/>
          <w:b/>
          <w:color w:val="1E3A8A"/>
          <w:sz w:val="24"/>
        </w:rPr>
        <w:t>Table 3.3: Comprehensive Hardware and Software Environment Specifications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Component</w:t>
            </w:r>
          </w:p>
        </w:tc>
        <w:tc>
          <w:tcPr>
            <w:tcW w:type="dxa" w:w="2304"/>
            <w:shd w:fill="1E3A8A"/>
            <w:tcMar>
              <w:top w:w="90" w:type="dxa"/>
              <w:bottom w:w="90" w:type="dxa"/>
              <w:left w:w="80" w:type="dxa"/>
              <w:right w:w="80" w:type="dxa"/>
            </w:tcMar>
          </w:tcPr>
          <w:p>
            <w:pPr>
              <w:spacing w:line="276" w:lineRule="auto"/>
              <w:jc w:val="center"/>
            </w:pPr>
            <w:r>
              <w:rPr>
                <w:rFonts w:ascii="Times New Roman" w:hAnsi="Times New Roman"/>
                <w:b/>
                <w:color w:val="FFFFFF"/>
                <w:sz w:val="19"/>
              </w:rPr>
              <w:t>Minimum Requirement</w:t>
            </w:r>
          </w:p>
        </w:tc>
        <w:tc>
          <w:tcPr>
            <w:tcW w:type="dxa" w:w="2736"/>
            <w:shd w:fill="1E3A8A"/>
            <w:tcMar>
              <w:top w:w="90" w:type="dxa"/>
              <w:bottom w:w="90" w:type="dxa"/>
              <w:left w:w="80" w:type="dxa"/>
              <w:right w:w="80" w:type="dxa"/>
            </w:tcMar>
          </w:tcPr>
          <w:p>
            <w:pPr>
              <w:spacing w:line="276" w:lineRule="auto"/>
              <w:jc w:val="center"/>
            </w:pPr>
            <w:r>
              <w:rPr>
                <w:rFonts w:ascii="Times New Roman" w:hAnsi="Times New Roman"/>
                <w:b/>
                <w:color w:val="FFFFFF"/>
                <w:sz w:val="19"/>
              </w:rPr>
              <w:t>Recommended Production Specification</w:t>
            </w:r>
          </w:p>
        </w:tc>
        <w:tc>
          <w:tcPr>
            <w:tcW w:type="dxa" w:w="2448"/>
            <w:shd w:fill="1E3A8A"/>
            <w:tcMar>
              <w:top w:w="90" w:type="dxa"/>
              <w:bottom w:w="90" w:type="dxa"/>
              <w:left w:w="80" w:type="dxa"/>
              <w:right w:w="80" w:type="dxa"/>
            </w:tcMar>
          </w:tcPr>
          <w:p>
            <w:pPr>
              <w:spacing w:line="276" w:lineRule="auto"/>
              <w:jc w:val="center"/>
            </w:pPr>
            <w:r>
              <w:rPr>
                <w:rFonts w:ascii="Times New Roman" w:hAnsi="Times New Roman"/>
                <w:b/>
                <w:color w:val="FFFFFF"/>
                <w:sz w:val="19"/>
              </w:rPr>
              <w:t>Role in SentroniX</w:t>
            </w:r>
          </w:p>
        </w:tc>
      </w:tr>
      <w:tr>
        <w:tc>
          <w:tcPr>
            <w:tcW w:type="dxa" w:w="1728"/>
            <w:shd w:fill="F8FAFC"/>
            <w:tcMar>
              <w:top w:w="70" w:type="dxa"/>
              <w:bottom w:w="70" w:type="dxa"/>
              <w:left w:w="80" w:type="dxa"/>
              <w:right w:w="80" w:type="dxa"/>
            </w:tcMar>
          </w:tcPr>
          <w:p>
            <w:pPr>
              <w:spacing w:line="276" w:lineRule="auto"/>
              <w:jc w:val="center"/>
            </w:pPr>
            <w:r>
              <w:rPr>
                <w:rFonts w:ascii="Times New Roman" w:hAnsi="Times New Roman"/>
                <w:sz w:val="17"/>
              </w:rPr>
              <w:t>Processor (CPU)</w:t>
            </w:r>
          </w:p>
        </w:tc>
        <w:tc>
          <w:tcPr>
            <w:tcW w:type="dxa" w:w="2304"/>
            <w:shd w:fill="F8FAFC"/>
            <w:tcMar>
              <w:top w:w="70" w:type="dxa"/>
              <w:bottom w:w="70" w:type="dxa"/>
              <w:left w:w="80" w:type="dxa"/>
              <w:right w:w="80" w:type="dxa"/>
            </w:tcMar>
          </w:tcPr>
          <w:p>
            <w:pPr>
              <w:spacing w:line="276" w:lineRule="auto"/>
              <w:jc w:val="center"/>
            </w:pPr>
            <w:r>
              <w:rPr>
                <w:rFonts w:ascii="Times New Roman" w:hAnsi="Times New Roman"/>
                <w:sz w:val="17"/>
              </w:rPr>
              <w:t>Intel Core i5 / AMD Ryzen 5 (4 cores)</w:t>
            </w:r>
          </w:p>
        </w:tc>
        <w:tc>
          <w:tcPr>
            <w:tcW w:type="dxa" w:w="2736"/>
            <w:shd w:fill="F8FAFC"/>
            <w:tcMar>
              <w:top w:w="70" w:type="dxa"/>
              <w:bottom w:w="70" w:type="dxa"/>
              <w:left w:w="80" w:type="dxa"/>
              <w:right w:w="80" w:type="dxa"/>
            </w:tcMar>
          </w:tcPr>
          <w:p>
            <w:pPr>
              <w:spacing w:line="276" w:lineRule="auto"/>
              <w:jc w:val="left"/>
            </w:pPr>
            <w:r>
              <w:rPr>
                <w:rFonts w:ascii="Times New Roman" w:hAnsi="Times New Roman"/>
                <w:sz w:val="17"/>
              </w:rPr>
              <w:t>AMD Ryzen 7 / Intel Xeon (8+ cores, 3.6 GHz)</w:t>
            </w:r>
          </w:p>
        </w:tc>
        <w:tc>
          <w:tcPr>
            <w:tcW w:type="dxa" w:w="2448"/>
            <w:shd w:fill="F8FAFC"/>
            <w:tcMar>
              <w:top w:w="70" w:type="dxa"/>
              <w:bottom w:w="70" w:type="dxa"/>
              <w:left w:w="80" w:type="dxa"/>
              <w:right w:w="80" w:type="dxa"/>
            </w:tcMar>
          </w:tcPr>
          <w:p>
            <w:pPr>
              <w:spacing w:line="276" w:lineRule="auto"/>
              <w:jc w:val="left"/>
            </w:pPr>
            <w:r>
              <w:rPr>
                <w:rFonts w:ascii="Times New Roman" w:hAnsi="Times New Roman"/>
                <w:sz w:val="17"/>
              </w:rPr>
              <w:t>Asynchronous socket processing &amp; AST parsing</w:t>
            </w:r>
          </w:p>
        </w:tc>
      </w:tr>
      <w:tr>
        <w:tc>
          <w:tcPr>
            <w:tcW w:type="dxa" w:w="1728"/>
            <w:shd w:fill="FFFFFF"/>
            <w:tcMar>
              <w:top w:w="70" w:type="dxa"/>
              <w:bottom w:w="70" w:type="dxa"/>
              <w:left w:w="80" w:type="dxa"/>
              <w:right w:w="80" w:type="dxa"/>
            </w:tcMar>
          </w:tcPr>
          <w:p>
            <w:pPr>
              <w:spacing w:line="276" w:lineRule="auto"/>
              <w:jc w:val="center"/>
            </w:pPr>
            <w:r>
              <w:rPr>
                <w:rFonts w:ascii="Times New Roman" w:hAnsi="Times New Roman"/>
                <w:sz w:val="17"/>
              </w:rPr>
              <w:t>System Memory (RAM)</w:t>
            </w:r>
          </w:p>
        </w:tc>
        <w:tc>
          <w:tcPr>
            <w:tcW w:type="dxa" w:w="2304"/>
            <w:shd w:fill="FFFFFF"/>
            <w:tcMar>
              <w:top w:w="70" w:type="dxa"/>
              <w:bottom w:w="70" w:type="dxa"/>
              <w:left w:w="80" w:type="dxa"/>
              <w:right w:w="80" w:type="dxa"/>
            </w:tcMar>
          </w:tcPr>
          <w:p>
            <w:pPr>
              <w:spacing w:line="276" w:lineRule="auto"/>
              <w:jc w:val="center"/>
            </w:pPr>
            <w:r>
              <w:rPr>
                <w:rFonts w:ascii="Times New Roman" w:hAnsi="Times New Roman"/>
                <w:sz w:val="17"/>
              </w:rPr>
              <w:t>8 GB DDR4</w:t>
            </w:r>
          </w:p>
        </w:tc>
        <w:tc>
          <w:tcPr>
            <w:tcW w:type="dxa" w:w="2736"/>
            <w:shd w:fill="FFFFFF"/>
            <w:tcMar>
              <w:top w:w="70" w:type="dxa"/>
              <w:bottom w:w="70" w:type="dxa"/>
              <w:left w:w="80" w:type="dxa"/>
              <w:right w:w="80" w:type="dxa"/>
            </w:tcMar>
          </w:tcPr>
          <w:p>
            <w:pPr>
              <w:spacing w:line="276" w:lineRule="auto"/>
              <w:jc w:val="left"/>
            </w:pPr>
            <w:r>
              <w:rPr>
                <w:rFonts w:ascii="Times New Roman" w:hAnsi="Times New Roman"/>
                <w:sz w:val="17"/>
              </w:rPr>
              <w:t>16 GB - 32 GB DDR5</w:t>
            </w:r>
          </w:p>
        </w:tc>
        <w:tc>
          <w:tcPr>
            <w:tcW w:type="dxa" w:w="2448"/>
            <w:shd w:fill="FFFFFF"/>
            <w:tcMar>
              <w:top w:w="70" w:type="dxa"/>
              <w:bottom w:w="70" w:type="dxa"/>
              <w:left w:w="80" w:type="dxa"/>
              <w:right w:w="80" w:type="dxa"/>
            </w:tcMar>
          </w:tcPr>
          <w:p>
            <w:pPr>
              <w:spacing w:line="276" w:lineRule="auto"/>
              <w:jc w:val="left"/>
            </w:pPr>
            <w:r>
              <w:rPr>
                <w:rFonts w:ascii="Times New Roman" w:hAnsi="Times New Roman"/>
                <w:sz w:val="17"/>
              </w:rPr>
              <w:t>Redis cache, concurrent fuzzing burst buffers</w:t>
            </w:r>
          </w:p>
        </w:tc>
      </w:tr>
      <w:tr>
        <w:tc>
          <w:tcPr>
            <w:tcW w:type="dxa" w:w="1728"/>
            <w:shd w:fill="F8FAFC"/>
            <w:tcMar>
              <w:top w:w="70" w:type="dxa"/>
              <w:bottom w:w="70" w:type="dxa"/>
              <w:left w:w="80" w:type="dxa"/>
              <w:right w:w="80" w:type="dxa"/>
            </w:tcMar>
          </w:tcPr>
          <w:p>
            <w:pPr>
              <w:spacing w:line="276" w:lineRule="auto"/>
              <w:jc w:val="center"/>
            </w:pPr>
            <w:r>
              <w:rPr>
                <w:rFonts w:ascii="Times New Roman" w:hAnsi="Times New Roman"/>
                <w:sz w:val="17"/>
              </w:rPr>
              <w:t>Storage (Disk)</w:t>
            </w:r>
          </w:p>
        </w:tc>
        <w:tc>
          <w:tcPr>
            <w:tcW w:type="dxa" w:w="2304"/>
            <w:shd w:fill="F8FAFC"/>
            <w:tcMar>
              <w:top w:w="70" w:type="dxa"/>
              <w:bottom w:w="70" w:type="dxa"/>
              <w:left w:w="80" w:type="dxa"/>
              <w:right w:w="80" w:type="dxa"/>
            </w:tcMar>
          </w:tcPr>
          <w:p>
            <w:pPr>
              <w:spacing w:line="276" w:lineRule="auto"/>
              <w:jc w:val="center"/>
            </w:pPr>
            <w:r>
              <w:rPr>
                <w:rFonts w:ascii="Times New Roman" w:hAnsi="Times New Roman"/>
                <w:sz w:val="17"/>
              </w:rPr>
              <w:t>256 GB SATA SSD</w:t>
            </w:r>
          </w:p>
        </w:tc>
        <w:tc>
          <w:tcPr>
            <w:tcW w:type="dxa" w:w="2736"/>
            <w:shd w:fill="F8FAFC"/>
            <w:tcMar>
              <w:top w:w="70" w:type="dxa"/>
              <w:bottom w:w="70" w:type="dxa"/>
              <w:left w:w="80" w:type="dxa"/>
              <w:right w:w="80" w:type="dxa"/>
            </w:tcMar>
          </w:tcPr>
          <w:p>
            <w:pPr>
              <w:spacing w:line="276" w:lineRule="auto"/>
              <w:jc w:val="left"/>
            </w:pPr>
            <w:r>
              <w:rPr>
                <w:rFonts w:ascii="Times New Roman" w:hAnsi="Times New Roman"/>
                <w:sz w:val="17"/>
              </w:rPr>
              <w:t>512 GB - 1 TB NVMe SSD (PCIe 4.0)</w:t>
            </w:r>
          </w:p>
        </w:tc>
        <w:tc>
          <w:tcPr>
            <w:tcW w:type="dxa" w:w="2448"/>
            <w:shd w:fill="F8FAFC"/>
            <w:tcMar>
              <w:top w:w="70" w:type="dxa"/>
              <w:bottom w:w="70" w:type="dxa"/>
              <w:left w:w="80" w:type="dxa"/>
              <w:right w:w="80" w:type="dxa"/>
            </w:tcMar>
          </w:tcPr>
          <w:p>
            <w:pPr>
              <w:spacing w:line="276" w:lineRule="auto"/>
              <w:jc w:val="left"/>
            </w:pPr>
            <w:r>
              <w:rPr>
                <w:rFonts w:ascii="Times New Roman" w:hAnsi="Times New Roman"/>
                <w:sz w:val="17"/>
              </w:rPr>
              <w:t>PostgreSQL audit logs &amp; Docker container layers</w:t>
            </w:r>
          </w:p>
        </w:tc>
      </w:tr>
      <w:tr>
        <w:tc>
          <w:tcPr>
            <w:tcW w:type="dxa" w:w="1728"/>
            <w:shd w:fill="FFFFFF"/>
            <w:tcMar>
              <w:top w:w="70" w:type="dxa"/>
              <w:bottom w:w="70" w:type="dxa"/>
              <w:left w:w="80" w:type="dxa"/>
              <w:right w:w="80" w:type="dxa"/>
            </w:tcMar>
          </w:tcPr>
          <w:p>
            <w:pPr>
              <w:spacing w:line="276" w:lineRule="auto"/>
              <w:jc w:val="center"/>
            </w:pPr>
            <w:r>
              <w:rPr>
                <w:rFonts w:ascii="Times New Roman" w:hAnsi="Times New Roman"/>
                <w:sz w:val="17"/>
              </w:rPr>
              <w:t>Operating System</w:t>
            </w:r>
          </w:p>
        </w:tc>
        <w:tc>
          <w:tcPr>
            <w:tcW w:type="dxa" w:w="2304"/>
            <w:shd w:fill="FFFFFF"/>
            <w:tcMar>
              <w:top w:w="70" w:type="dxa"/>
              <w:bottom w:w="70" w:type="dxa"/>
              <w:left w:w="80" w:type="dxa"/>
              <w:right w:w="80" w:type="dxa"/>
            </w:tcMar>
          </w:tcPr>
          <w:p>
            <w:pPr>
              <w:spacing w:line="276" w:lineRule="auto"/>
              <w:jc w:val="center"/>
            </w:pPr>
            <w:r>
              <w:rPr>
                <w:rFonts w:ascii="Times New Roman" w:hAnsi="Times New Roman"/>
                <w:sz w:val="17"/>
              </w:rPr>
              <w:t>Ubuntu 20.04 LTS / Win 10</w:t>
            </w:r>
          </w:p>
        </w:tc>
        <w:tc>
          <w:tcPr>
            <w:tcW w:type="dxa" w:w="2736"/>
            <w:shd w:fill="FFFFFF"/>
            <w:tcMar>
              <w:top w:w="70" w:type="dxa"/>
              <w:bottom w:w="70" w:type="dxa"/>
              <w:left w:w="80" w:type="dxa"/>
              <w:right w:w="80" w:type="dxa"/>
            </w:tcMar>
          </w:tcPr>
          <w:p>
            <w:pPr>
              <w:spacing w:line="276" w:lineRule="auto"/>
              <w:jc w:val="left"/>
            </w:pPr>
            <w:r>
              <w:rPr>
                <w:rFonts w:ascii="Times New Roman" w:hAnsi="Times New Roman"/>
                <w:sz w:val="17"/>
              </w:rPr>
              <w:t>Ubuntu 22.04 LTS / Win 11 Pro 64-bit</w:t>
            </w:r>
          </w:p>
        </w:tc>
        <w:tc>
          <w:tcPr>
            <w:tcW w:type="dxa" w:w="2448"/>
            <w:shd w:fill="FFFFFF"/>
            <w:tcMar>
              <w:top w:w="70" w:type="dxa"/>
              <w:bottom w:w="70" w:type="dxa"/>
              <w:left w:w="80" w:type="dxa"/>
              <w:right w:w="80" w:type="dxa"/>
            </w:tcMar>
          </w:tcPr>
          <w:p>
            <w:pPr>
              <w:spacing w:line="276" w:lineRule="auto"/>
              <w:jc w:val="left"/>
            </w:pPr>
            <w:r>
              <w:rPr>
                <w:rFonts w:ascii="Times New Roman" w:hAnsi="Times New Roman"/>
                <w:sz w:val="17"/>
              </w:rPr>
              <w:t>Host runtime environment for core services</w:t>
            </w:r>
          </w:p>
        </w:tc>
      </w:tr>
      <w:tr>
        <w:tc>
          <w:tcPr>
            <w:tcW w:type="dxa" w:w="1728"/>
            <w:shd w:fill="F8FAFC"/>
            <w:tcMar>
              <w:top w:w="70" w:type="dxa"/>
              <w:bottom w:w="70" w:type="dxa"/>
              <w:left w:w="80" w:type="dxa"/>
              <w:right w:w="80" w:type="dxa"/>
            </w:tcMar>
          </w:tcPr>
          <w:p>
            <w:pPr>
              <w:spacing w:line="276" w:lineRule="auto"/>
              <w:jc w:val="center"/>
            </w:pPr>
            <w:r>
              <w:rPr>
                <w:rFonts w:ascii="Times New Roman" w:hAnsi="Times New Roman"/>
                <w:sz w:val="17"/>
              </w:rPr>
              <w:t>Python Runtime</w:t>
            </w:r>
          </w:p>
        </w:tc>
        <w:tc>
          <w:tcPr>
            <w:tcW w:type="dxa" w:w="2304"/>
            <w:shd w:fill="F8FAFC"/>
            <w:tcMar>
              <w:top w:w="70" w:type="dxa"/>
              <w:bottom w:w="70" w:type="dxa"/>
              <w:left w:w="80" w:type="dxa"/>
              <w:right w:w="80" w:type="dxa"/>
            </w:tcMar>
          </w:tcPr>
          <w:p>
            <w:pPr>
              <w:spacing w:line="276" w:lineRule="auto"/>
              <w:jc w:val="center"/>
            </w:pPr>
            <w:r>
              <w:rPr>
                <w:rFonts w:ascii="Times New Roman" w:hAnsi="Times New Roman"/>
                <w:sz w:val="17"/>
              </w:rPr>
              <w:t>Python 3.10</w:t>
            </w:r>
          </w:p>
        </w:tc>
        <w:tc>
          <w:tcPr>
            <w:tcW w:type="dxa" w:w="2736"/>
            <w:shd w:fill="F8FAFC"/>
            <w:tcMar>
              <w:top w:w="70" w:type="dxa"/>
              <w:bottom w:w="70" w:type="dxa"/>
              <w:left w:w="80" w:type="dxa"/>
              <w:right w:w="80" w:type="dxa"/>
            </w:tcMar>
          </w:tcPr>
          <w:p>
            <w:pPr>
              <w:spacing w:line="276" w:lineRule="auto"/>
              <w:jc w:val="left"/>
            </w:pPr>
            <w:r>
              <w:rPr>
                <w:rFonts w:ascii="Times New Roman" w:hAnsi="Times New Roman"/>
                <w:sz w:val="17"/>
              </w:rPr>
              <w:t>Python 3.11 / 3.12 (uvloop enabled)</w:t>
            </w:r>
          </w:p>
        </w:tc>
        <w:tc>
          <w:tcPr>
            <w:tcW w:type="dxa" w:w="2448"/>
            <w:shd w:fill="F8FAFC"/>
            <w:tcMar>
              <w:top w:w="70" w:type="dxa"/>
              <w:bottom w:w="70" w:type="dxa"/>
              <w:left w:w="80" w:type="dxa"/>
              <w:right w:w="80" w:type="dxa"/>
            </w:tcMar>
          </w:tcPr>
          <w:p>
            <w:pPr>
              <w:spacing w:line="276" w:lineRule="auto"/>
              <w:jc w:val="left"/>
            </w:pPr>
            <w:r>
              <w:rPr>
                <w:rFonts w:ascii="Times New Roman" w:hAnsi="Times New Roman"/>
                <w:sz w:val="17"/>
              </w:rPr>
              <w:t>FastAPI backend, AST parser &amp; PyGithub engine</w:t>
            </w:r>
          </w:p>
        </w:tc>
      </w:tr>
      <w:tr>
        <w:tc>
          <w:tcPr>
            <w:tcW w:type="dxa" w:w="1728"/>
            <w:shd w:fill="FFFFFF"/>
            <w:tcMar>
              <w:top w:w="70" w:type="dxa"/>
              <w:bottom w:w="70" w:type="dxa"/>
              <w:left w:w="80" w:type="dxa"/>
              <w:right w:w="80" w:type="dxa"/>
            </w:tcMar>
          </w:tcPr>
          <w:p>
            <w:pPr>
              <w:spacing w:line="276" w:lineRule="auto"/>
              <w:jc w:val="center"/>
            </w:pPr>
            <w:r>
              <w:rPr>
                <w:rFonts w:ascii="Times New Roman" w:hAnsi="Times New Roman"/>
                <w:sz w:val="17"/>
              </w:rPr>
              <w:t>Node.js Runtime</w:t>
            </w:r>
          </w:p>
        </w:tc>
        <w:tc>
          <w:tcPr>
            <w:tcW w:type="dxa" w:w="2304"/>
            <w:shd w:fill="FFFFFF"/>
            <w:tcMar>
              <w:top w:w="70" w:type="dxa"/>
              <w:bottom w:w="70" w:type="dxa"/>
              <w:left w:w="80" w:type="dxa"/>
              <w:right w:w="80" w:type="dxa"/>
            </w:tcMar>
          </w:tcPr>
          <w:p>
            <w:pPr>
              <w:spacing w:line="276" w:lineRule="auto"/>
              <w:jc w:val="center"/>
            </w:pPr>
            <w:r>
              <w:rPr>
                <w:rFonts w:ascii="Times New Roman" w:hAnsi="Times New Roman"/>
                <w:sz w:val="17"/>
              </w:rPr>
              <w:t>Node.js v18 LTS</w:t>
            </w:r>
          </w:p>
        </w:tc>
        <w:tc>
          <w:tcPr>
            <w:tcW w:type="dxa" w:w="2736"/>
            <w:shd w:fill="FFFFFF"/>
            <w:tcMar>
              <w:top w:w="70" w:type="dxa"/>
              <w:bottom w:w="70" w:type="dxa"/>
              <w:left w:w="80" w:type="dxa"/>
              <w:right w:w="80" w:type="dxa"/>
            </w:tcMar>
          </w:tcPr>
          <w:p>
            <w:pPr>
              <w:spacing w:line="276" w:lineRule="auto"/>
              <w:jc w:val="left"/>
            </w:pPr>
            <w:r>
              <w:rPr>
                <w:rFonts w:ascii="Times New Roman" w:hAnsi="Times New Roman"/>
                <w:sz w:val="17"/>
              </w:rPr>
              <w:t>Node.js v20 LTS</w:t>
            </w:r>
          </w:p>
        </w:tc>
        <w:tc>
          <w:tcPr>
            <w:tcW w:type="dxa" w:w="2448"/>
            <w:shd w:fill="FFFFFF"/>
            <w:tcMar>
              <w:top w:w="70" w:type="dxa"/>
              <w:bottom w:w="70" w:type="dxa"/>
              <w:left w:w="80" w:type="dxa"/>
              <w:right w:w="80" w:type="dxa"/>
            </w:tcMar>
          </w:tcPr>
          <w:p>
            <w:pPr>
              <w:spacing w:line="276" w:lineRule="auto"/>
              <w:jc w:val="left"/>
            </w:pPr>
            <w:r>
              <w:rPr>
                <w:rFonts w:ascii="Times New Roman" w:hAnsi="Times New Roman"/>
                <w:sz w:val="17"/>
              </w:rPr>
              <w:t>React 18 build environment &amp; Vite bundler</w:t>
            </w:r>
          </w:p>
        </w:tc>
      </w:tr>
      <w:tr>
        <w:tc>
          <w:tcPr>
            <w:tcW w:type="dxa" w:w="1728"/>
            <w:shd w:fill="F8FAFC"/>
            <w:tcMar>
              <w:top w:w="70" w:type="dxa"/>
              <w:bottom w:w="70" w:type="dxa"/>
              <w:left w:w="80" w:type="dxa"/>
              <w:right w:w="80" w:type="dxa"/>
            </w:tcMar>
          </w:tcPr>
          <w:p>
            <w:pPr>
              <w:spacing w:line="276" w:lineRule="auto"/>
              <w:jc w:val="center"/>
            </w:pPr>
            <w:r>
              <w:rPr>
                <w:rFonts w:ascii="Times New Roman" w:hAnsi="Times New Roman"/>
                <w:sz w:val="17"/>
              </w:rPr>
              <w:t>Relational Database</w:t>
            </w:r>
          </w:p>
        </w:tc>
        <w:tc>
          <w:tcPr>
            <w:tcW w:type="dxa" w:w="2304"/>
            <w:shd w:fill="F8FAFC"/>
            <w:tcMar>
              <w:top w:w="70" w:type="dxa"/>
              <w:bottom w:w="70" w:type="dxa"/>
              <w:left w:w="80" w:type="dxa"/>
              <w:right w:w="80" w:type="dxa"/>
            </w:tcMar>
          </w:tcPr>
          <w:p>
            <w:pPr>
              <w:spacing w:line="276" w:lineRule="auto"/>
              <w:jc w:val="center"/>
            </w:pPr>
            <w:r>
              <w:rPr>
                <w:rFonts w:ascii="Times New Roman" w:hAnsi="Times New Roman"/>
                <w:sz w:val="17"/>
              </w:rPr>
              <w:t>PostgreSQL 14</w:t>
            </w:r>
          </w:p>
        </w:tc>
        <w:tc>
          <w:tcPr>
            <w:tcW w:type="dxa" w:w="2736"/>
            <w:shd w:fill="F8FAFC"/>
            <w:tcMar>
              <w:top w:w="70" w:type="dxa"/>
              <w:bottom w:w="70" w:type="dxa"/>
              <w:left w:w="80" w:type="dxa"/>
              <w:right w:w="80" w:type="dxa"/>
            </w:tcMar>
          </w:tcPr>
          <w:p>
            <w:pPr>
              <w:spacing w:line="276" w:lineRule="auto"/>
              <w:jc w:val="left"/>
            </w:pPr>
            <w:r>
              <w:rPr>
                <w:rFonts w:ascii="Times New Roman" w:hAnsi="Times New Roman"/>
                <w:sz w:val="17"/>
              </w:rPr>
              <w:t>PostgreSQL 16.2 with AsyncPG</w:t>
            </w:r>
          </w:p>
        </w:tc>
        <w:tc>
          <w:tcPr>
            <w:tcW w:type="dxa" w:w="2448"/>
            <w:shd w:fill="F8FAFC"/>
            <w:tcMar>
              <w:top w:w="70" w:type="dxa"/>
              <w:bottom w:w="70" w:type="dxa"/>
              <w:left w:w="80" w:type="dxa"/>
              <w:right w:w="80" w:type="dxa"/>
            </w:tcMar>
          </w:tcPr>
          <w:p>
            <w:pPr>
              <w:spacing w:line="276" w:lineRule="auto"/>
              <w:jc w:val="left"/>
            </w:pPr>
            <w:r>
              <w:rPr>
                <w:rFonts w:ascii="Times New Roman" w:hAnsi="Times New Roman"/>
                <w:sz w:val="17"/>
              </w:rPr>
              <w:t>ACID transactional findings &amp; policy persistence</w:t>
            </w:r>
          </w:p>
        </w:tc>
      </w:tr>
      <w:tr>
        <w:tc>
          <w:tcPr>
            <w:tcW w:type="dxa" w:w="1728"/>
            <w:shd w:fill="FFFFFF"/>
            <w:tcMar>
              <w:top w:w="70" w:type="dxa"/>
              <w:bottom w:w="70" w:type="dxa"/>
              <w:left w:w="80" w:type="dxa"/>
              <w:right w:w="80" w:type="dxa"/>
            </w:tcMar>
          </w:tcPr>
          <w:p>
            <w:pPr>
              <w:spacing w:line="276" w:lineRule="auto"/>
              <w:jc w:val="center"/>
            </w:pPr>
            <w:r>
              <w:rPr>
                <w:rFonts w:ascii="Times New Roman" w:hAnsi="Times New Roman"/>
                <w:sz w:val="17"/>
              </w:rPr>
              <w:t>In-Memory Broker</w:t>
            </w:r>
          </w:p>
        </w:tc>
        <w:tc>
          <w:tcPr>
            <w:tcW w:type="dxa" w:w="2304"/>
            <w:shd w:fill="FFFFFF"/>
            <w:tcMar>
              <w:top w:w="70" w:type="dxa"/>
              <w:bottom w:w="70" w:type="dxa"/>
              <w:left w:w="80" w:type="dxa"/>
              <w:right w:w="80" w:type="dxa"/>
            </w:tcMar>
          </w:tcPr>
          <w:p>
            <w:pPr>
              <w:spacing w:line="276" w:lineRule="auto"/>
              <w:jc w:val="center"/>
            </w:pPr>
            <w:r>
              <w:rPr>
                <w:rFonts w:ascii="Times New Roman" w:hAnsi="Times New Roman"/>
                <w:sz w:val="17"/>
              </w:rPr>
              <w:t>Redis 6.0</w:t>
            </w:r>
          </w:p>
        </w:tc>
        <w:tc>
          <w:tcPr>
            <w:tcW w:type="dxa" w:w="2736"/>
            <w:shd w:fill="FFFFFF"/>
            <w:tcMar>
              <w:top w:w="70" w:type="dxa"/>
              <w:bottom w:w="70" w:type="dxa"/>
              <w:left w:w="80" w:type="dxa"/>
              <w:right w:w="80" w:type="dxa"/>
            </w:tcMar>
          </w:tcPr>
          <w:p>
            <w:pPr>
              <w:spacing w:line="276" w:lineRule="auto"/>
              <w:jc w:val="left"/>
            </w:pPr>
            <w:r>
              <w:rPr>
                <w:rFonts w:ascii="Times New Roman" w:hAnsi="Times New Roman"/>
                <w:sz w:val="17"/>
              </w:rPr>
              <w:t>Redis 7.2 (Pub/Sub enabled)</w:t>
            </w:r>
          </w:p>
        </w:tc>
        <w:tc>
          <w:tcPr>
            <w:tcW w:type="dxa" w:w="2448"/>
            <w:shd w:fill="FFFFFF"/>
            <w:tcMar>
              <w:top w:w="70" w:type="dxa"/>
              <w:bottom w:w="70" w:type="dxa"/>
              <w:left w:w="80" w:type="dxa"/>
              <w:right w:w="80" w:type="dxa"/>
            </w:tcMar>
          </w:tcPr>
          <w:p>
            <w:pPr>
              <w:spacing w:line="276" w:lineRule="auto"/>
              <w:jc w:val="left"/>
            </w:pPr>
            <w:r>
              <w:rPr>
                <w:rFonts w:ascii="Times New Roman" w:hAnsi="Times New Roman"/>
                <w:sz w:val="17"/>
              </w:rPr>
              <w:t>Real-time telemetry event streaming to WebSockets</w:t>
            </w:r>
          </w:p>
        </w:tc>
      </w:tr>
      <w:tr>
        <w:tc>
          <w:tcPr>
            <w:tcW w:type="dxa" w:w="1728"/>
            <w:shd w:fill="F8FAFC"/>
            <w:tcMar>
              <w:top w:w="70" w:type="dxa"/>
              <w:bottom w:w="70" w:type="dxa"/>
              <w:left w:w="80" w:type="dxa"/>
              <w:right w:w="80" w:type="dxa"/>
            </w:tcMar>
          </w:tcPr>
          <w:p>
            <w:pPr>
              <w:spacing w:line="276" w:lineRule="auto"/>
              <w:jc w:val="center"/>
            </w:pPr>
            <w:r>
              <w:rPr>
                <w:rFonts w:ascii="Times New Roman" w:hAnsi="Times New Roman"/>
                <w:sz w:val="17"/>
              </w:rPr>
              <w:t>Container Engine</w:t>
            </w:r>
          </w:p>
        </w:tc>
        <w:tc>
          <w:tcPr>
            <w:tcW w:type="dxa" w:w="2304"/>
            <w:shd w:fill="F8FAFC"/>
            <w:tcMar>
              <w:top w:w="70" w:type="dxa"/>
              <w:bottom w:w="70" w:type="dxa"/>
              <w:left w:w="80" w:type="dxa"/>
              <w:right w:w="80" w:type="dxa"/>
            </w:tcMar>
          </w:tcPr>
          <w:p>
            <w:pPr>
              <w:spacing w:line="276" w:lineRule="auto"/>
              <w:jc w:val="center"/>
            </w:pPr>
            <w:r>
              <w:rPr>
                <w:rFonts w:ascii="Times New Roman" w:hAnsi="Times New Roman"/>
                <w:sz w:val="17"/>
              </w:rPr>
              <w:t>Docker 20.10</w:t>
            </w:r>
          </w:p>
        </w:tc>
        <w:tc>
          <w:tcPr>
            <w:tcW w:type="dxa" w:w="2736"/>
            <w:shd w:fill="F8FAFC"/>
            <w:tcMar>
              <w:top w:w="70" w:type="dxa"/>
              <w:bottom w:w="70" w:type="dxa"/>
              <w:left w:w="80" w:type="dxa"/>
              <w:right w:w="80" w:type="dxa"/>
            </w:tcMar>
          </w:tcPr>
          <w:p>
            <w:pPr>
              <w:spacing w:line="276" w:lineRule="auto"/>
              <w:jc w:val="left"/>
            </w:pPr>
            <w:r>
              <w:rPr>
                <w:rFonts w:ascii="Times New Roman" w:hAnsi="Times New Roman"/>
                <w:sz w:val="17"/>
              </w:rPr>
              <w:t>Docker Engine 24.0+ &amp; Compose v2</w:t>
            </w:r>
          </w:p>
        </w:tc>
        <w:tc>
          <w:tcPr>
            <w:tcW w:type="dxa" w:w="2448"/>
            <w:shd w:fill="F8FAFC"/>
            <w:tcMar>
              <w:top w:w="70" w:type="dxa"/>
              <w:bottom w:w="70" w:type="dxa"/>
              <w:left w:w="80" w:type="dxa"/>
              <w:right w:w="80" w:type="dxa"/>
            </w:tcMar>
          </w:tcPr>
          <w:p>
            <w:pPr>
              <w:spacing w:line="276" w:lineRule="auto"/>
              <w:jc w:val="left"/>
            </w:pPr>
            <w:r>
              <w:rPr>
                <w:rFonts w:ascii="Times New Roman" w:hAnsi="Times New Roman"/>
                <w:sz w:val="17"/>
              </w:rPr>
              <w:t>Isolated target sandboxing &amp; exploit containment</w:t>
            </w:r>
          </w:p>
        </w:tc>
      </w:tr>
    </w:tbl>
    <w:p>
      <w:pPr>
        <w:spacing w:after="160"/>
      </w:pPr>
    </w:p>
    <w:p>
      <w:r>
        <w:br w:type="page"/>
      </w:r>
    </w:p>
    <w:p>
      <w:pPr>
        <w:keepNext/>
        <w:spacing w:before="320" w:after="120" w:line="360" w:lineRule="auto"/>
      </w:pPr>
      <w:r>
        <w:rPr>
          <w:rFonts w:ascii="Times New Roman" w:hAnsi="Times New Roman"/>
          <w:b/>
          <w:color w:val="1E3A8A"/>
          <w:sz w:val="28"/>
        </w:rPr>
        <w:t>3.5 Preliminary Product Description</w:t>
      </w:r>
    </w:p>
    <w:p>
      <w:pPr>
        <w:spacing w:line="360" w:lineRule="auto" w:after="120"/>
        <w:jc w:val="both"/>
      </w:pPr>
      <w:r>
        <w:rPr>
          <w:rFonts w:ascii="Times New Roman" w:hAnsi="Times New Roman"/>
          <w:color w:val="000000"/>
          <w:sz w:val="24"/>
        </w:rPr>
        <w:t>SentroniX is an autonomous, full-lifecycle Purple Team Cyberdefense platform engineered to continuously validate web application attack surfaces, inspect in-line defensive interception, synthesize verified source code patches, and automate version control pull requests. It eliminates the traditional multi-week operational chasm separating Red Team penetration testers and Blue Team defensive engineers by uniting both functions into an automated, self-healing closed loop.</w:t>
      </w:r>
    </w:p>
    <w:p>
      <w:pPr>
        <w:keepNext/>
        <w:spacing w:before="240" w:after="80" w:line="360" w:lineRule="auto"/>
      </w:pPr>
      <w:r>
        <w:rPr>
          <w:rFonts w:ascii="Times New Roman" w:hAnsi="Times New Roman"/>
          <w:b/>
          <w:color w:val="111827"/>
          <w:sz w:val="25"/>
        </w:rPr>
        <w:t>3.5.1 Core Subsystems Overview</w:t>
      </w:r>
    </w:p>
    <w:p>
      <w:pPr>
        <w:spacing w:line="360" w:lineRule="auto" w:after="120"/>
        <w:jc w:val="both"/>
      </w:pPr>
      <w:r>
        <w:rPr>
          <w:rFonts w:ascii="Times New Roman" w:hAnsi="Times New Roman"/>
          <w:color w:val="000000"/>
          <w:sz w:val="24"/>
        </w:rPr>
        <w:t>The platform delivers its capabilities through four coordinated subsystems:</w:t>
      </w:r>
    </w:p>
    <w:p>
      <w:pPr>
        <w:pStyle w:val="ListBullet"/>
        <w:spacing w:line="360" w:lineRule="auto" w:after="80"/>
        <w:jc w:val="both"/>
      </w:pPr>
      <w:r>
        <w:rPr>
          <w:rFonts w:ascii="Times New Roman" w:hAnsi="Times New Roman"/>
          <w:b/>
          <w:color w:val="000000"/>
          <w:sz w:val="24"/>
        </w:rPr>
        <w:t xml:space="preserve">1. Purple Team Arena Dashboard: </w:t>
      </w:r>
      <w:r>
        <w:rPr>
          <w:rFonts w:ascii="Times New Roman" w:hAnsi="Times New Roman"/>
          <w:color w:val="000000"/>
          <w:sz w:val="24"/>
        </w:rPr>
        <w:t>A responsive React 18 single-page application providing a live visualizer for packet streams, interactive strike configuration, and real-time WAF rule toggle controls.</w:t>
      </w:r>
    </w:p>
    <w:p>
      <w:pPr>
        <w:pStyle w:val="ListBullet"/>
        <w:spacing w:line="360" w:lineRule="auto" w:after="80"/>
        <w:jc w:val="both"/>
      </w:pPr>
      <w:r>
        <w:rPr>
          <w:rFonts w:ascii="Times New Roman" w:hAnsi="Times New Roman"/>
          <w:b/>
          <w:color w:val="000000"/>
          <w:sz w:val="24"/>
        </w:rPr>
        <w:t xml:space="preserve">2. Offensive Emulation Subsystem: </w:t>
      </w:r>
      <w:r>
        <w:rPr>
          <w:rFonts w:ascii="Times New Roman" w:hAnsi="Times New Roman"/>
          <w:color w:val="000000"/>
          <w:sz w:val="24"/>
        </w:rPr>
        <w:t>An asynchronous attack client orchestrating Atomic Red Team vectors and SecLists fuzzing bursts targeting live application sockets.</w:t>
      </w:r>
    </w:p>
    <w:p>
      <w:pPr>
        <w:pStyle w:val="ListBullet"/>
        <w:spacing w:line="360" w:lineRule="auto" w:after="80"/>
        <w:jc w:val="both"/>
      </w:pPr>
      <w:r>
        <w:rPr>
          <w:rFonts w:ascii="Times New Roman" w:hAnsi="Times New Roman"/>
          <w:b/>
          <w:color w:val="000000"/>
          <w:sz w:val="24"/>
        </w:rPr>
        <w:t xml:space="preserve">3. Telemetry &amp; WAF Ingress Gateway: </w:t>
      </w:r>
      <w:r>
        <w:rPr>
          <w:rFonts w:ascii="Times New Roman" w:hAnsi="Times New Roman"/>
          <w:color w:val="000000"/>
          <w:sz w:val="24"/>
        </w:rPr>
        <w:t>A high-throughput Starlette reverse proxy executing deep packet inspection and sub-15ms deterministic 403 Forbidden enforcement.</w:t>
      </w:r>
    </w:p>
    <w:p>
      <w:pPr>
        <w:pStyle w:val="ListBullet"/>
        <w:spacing w:line="360" w:lineRule="auto" w:after="80"/>
        <w:jc w:val="both"/>
      </w:pPr>
      <w:r>
        <w:rPr>
          <w:rFonts w:ascii="Times New Roman" w:hAnsi="Times New Roman"/>
          <w:b/>
          <w:color w:val="000000"/>
          <w:sz w:val="24"/>
        </w:rPr>
        <w:t xml:space="preserve">4. Generative AI Remediation Subsystem: </w:t>
      </w:r>
      <w:r>
        <w:rPr>
          <w:rFonts w:ascii="Times New Roman" w:hAnsi="Times New Roman"/>
          <w:color w:val="000000"/>
          <w:sz w:val="24"/>
        </w:rPr>
        <w:t>An automated pipeline linking Google Gemini 3.6 Flash code reasoning with native Python ast.parse() syntax certification and GitHub PR dispatch.</w:t>
      </w:r>
    </w:p>
    <w:p>
      <w:pPr>
        <w:keepNext/>
        <w:spacing w:before="240" w:after="80" w:line="360" w:lineRule="auto"/>
      </w:pPr>
      <w:r>
        <w:rPr>
          <w:rFonts w:ascii="Times New Roman" w:hAnsi="Times New Roman"/>
          <w:b/>
          <w:color w:val="111827"/>
          <w:sz w:val="25"/>
        </w:rPr>
        <w:t>3.5.2 User Personas and Operational Profiles</w:t>
      </w:r>
    </w:p>
    <w:p>
      <w:pPr>
        <w:spacing w:line="360" w:lineRule="auto" w:after="120"/>
        <w:jc w:val="both"/>
      </w:pPr>
      <w:r>
        <w:rPr>
          <w:rFonts w:ascii="Times New Roman" w:hAnsi="Times New Roman"/>
          <w:color w:val="000000"/>
          <w:sz w:val="24"/>
        </w:rPr>
        <w:t>SentroniX serves three primary user personas across enterprise software and security teams:</w:t>
      </w:r>
    </w:p>
    <w:p>
      <w:pPr>
        <w:pStyle w:val="ListBullet"/>
        <w:spacing w:line="360" w:lineRule="auto" w:after="80"/>
        <w:jc w:val="both"/>
      </w:pPr>
      <w:r>
        <w:rPr>
          <w:rFonts w:ascii="Times New Roman" w:hAnsi="Times New Roman"/>
          <w:b/>
          <w:color w:val="000000"/>
          <w:sz w:val="24"/>
        </w:rPr>
        <w:t xml:space="preserve">SecOps Defensive Analyst (Blue Team): </w:t>
      </w:r>
      <w:r>
        <w:rPr>
          <w:rFonts w:ascii="Times New Roman" w:hAnsi="Times New Roman"/>
          <w:color w:val="000000"/>
          <w:sz w:val="24"/>
        </w:rPr>
        <w:t>Responsible for perimeter protection and log analysis. Uses the WAF Policy Switchboard to evaluate rule efficacy, inspects raw packet byte streams, and monitors real-time block rates.</w:t>
      </w:r>
    </w:p>
    <w:p>
      <w:pPr>
        <w:pStyle w:val="ListBullet"/>
        <w:spacing w:line="360" w:lineRule="auto" w:after="80"/>
        <w:jc w:val="both"/>
      </w:pPr>
      <w:r>
        <w:rPr>
          <w:rFonts w:ascii="Times New Roman" w:hAnsi="Times New Roman"/>
          <w:b/>
          <w:color w:val="000000"/>
          <w:sz w:val="24"/>
        </w:rPr>
        <w:t xml:space="preserve">Red Team Penetration Tester (Offensive): </w:t>
      </w:r>
      <w:r>
        <w:rPr>
          <w:rFonts w:ascii="Times New Roman" w:hAnsi="Times New Roman"/>
          <w:color w:val="000000"/>
          <w:sz w:val="24"/>
        </w:rPr>
        <w:t>Responsible for attack surface auditing. Selects MITRE ATT&amp;CK adversary profiles, executes targeted dictionary fuzzing, and identifies unmitigated injection bypasses.</w:t>
      </w:r>
    </w:p>
    <w:p>
      <w:pPr>
        <w:pStyle w:val="ListBullet"/>
        <w:spacing w:line="360" w:lineRule="auto" w:after="80"/>
        <w:jc w:val="both"/>
      </w:pPr>
      <w:r>
        <w:rPr>
          <w:rFonts w:ascii="Times New Roman" w:hAnsi="Times New Roman"/>
          <w:b/>
          <w:color w:val="000000"/>
          <w:sz w:val="24"/>
        </w:rPr>
        <w:t xml:space="preserve">DevSecOps Software Engineer (Developer): </w:t>
      </w:r>
      <w:r>
        <w:rPr>
          <w:rFonts w:ascii="Times New Roman" w:hAnsi="Times New Roman"/>
          <w:color w:val="000000"/>
          <w:sz w:val="24"/>
        </w:rPr>
        <w:t>Responsible for code maintenance. Reviews syntax-certified GitHub Pull Requests generated automatically by Gemini 3.6 Flash and merges verified security patches.</w:t>
      </w:r>
    </w:p>
    <w:p>
      <w:pPr>
        <w:keepNext/>
        <w:spacing w:before="240" w:after="80" w:line="360" w:lineRule="auto"/>
      </w:pPr>
      <w:r>
        <w:rPr>
          <w:rFonts w:ascii="Times New Roman" w:hAnsi="Times New Roman"/>
          <w:b/>
          <w:color w:val="111827"/>
          <w:sz w:val="25"/>
        </w:rPr>
        <w:t>3.5.3 End-to-End Operational Lifecycle</w:t>
      </w:r>
    </w:p>
    <w:p>
      <w:pPr>
        <w:spacing w:line="360" w:lineRule="auto" w:after="120"/>
        <w:jc w:val="both"/>
      </w:pPr>
      <w:r>
        <w:rPr>
          <w:rFonts w:ascii="Times New Roman" w:hAnsi="Times New Roman"/>
          <w:color w:val="000000"/>
          <w:sz w:val="24"/>
        </w:rPr>
        <w:t>The operational lifecycle of SentroniX proceeds through six continuous, automated phases:</w:t>
      </w:r>
    </w:p>
    <w:p>
      <w:pPr>
        <w:pStyle w:val="ListBullet"/>
        <w:spacing w:line="360" w:lineRule="auto" w:after="80"/>
        <w:jc w:val="both"/>
      </w:pPr>
      <w:r>
        <w:rPr>
          <w:rFonts w:ascii="Times New Roman" w:hAnsi="Times New Roman"/>
          <w:b/>
          <w:color w:val="000000"/>
          <w:sz w:val="24"/>
        </w:rPr>
        <w:t xml:space="preserve">Phase 1 - Configuration: </w:t>
      </w:r>
      <w:r>
        <w:rPr>
          <w:rFonts w:ascii="Times New Roman" w:hAnsi="Times New Roman"/>
          <w:color w:val="000000"/>
          <w:sz w:val="24"/>
        </w:rPr>
        <w:t>Operator selects target URL and adversary test profiles (e.g., SQLi UNION, CMDi semicolon bypass).</w:t>
      </w:r>
    </w:p>
    <w:p>
      <w:pPr>
        <w:pStyle w:val="ListBullet"/>
        <w:spacing w:line="360" w:lineRule="auto" w:after="80"/>
        <w:jc w:val="both"/>
      </w:pPr>
      <w:r>
        <w:rPr>
          <w:rFonts w:ascii="Times New Roman" w:hAnsi="Times New Roman"/>
          <w:b/>
          <w:color w:val="000000"/>
          <w:sz w:val="24"/>
        </w:rPr>
        <w:t xml:space="preserve">Phase 2 - Offensive Emulation: </w:t>
      </w:r>
      <w:r>
        <w:rPr>
          <w:rFonts w:ascii="Times New Roman" w:hAnsi="Times New Roman"/>
          <w:color w:val="000000"/>
          <w:sz w:val="24"/>
        </w:rPr>
        <w:t>Asynchronous client dispatches high-velocity attack stream against the target endpoint.</w:t>
      </w:r>
    </w:p>
    <w:p>
      <w:pPr>
        <w:pStyle w:val="ListBullet"/>
        <w:spacing w:line="360" w:lineRule="auto" w:after="80"/>
        <w:jc w:val="both"/>
      </w:pPr>
      <w:r>
        <w:rPr>
          <w:rFonts w:ascii="Times New Roman" w:hAnsi="Times New Roman"/>
          <w:b/>
          <w:color w:val="000000"/>
          <w:sz w:val="24"/>
        </w:rPr>
        <w:t xml:space="preserve">Phase 3 - Telemetry Interception: </w:t>
      </w:r>
      <w:r>
        <w:rPr>
          <w:rFonts w:ascii="Times New Roman" w:hAnsi="Times New Roman"/>
          <w:color w:val="000000"/>
          <w:sz w:val="24"/>
        </w:rPr>
        <w:t>In-line WAF middleware intercepts packets, evaluates AST rules, logs payload bytes, and records pass/block status.</w:t>
      </w:r>
    </w:p>
    <w:p>
      <w:pPr>
        <w:pStyle w:val="ListBullet"/>
        <w:spacing w:line="360" w:lineRule="auto" w:after="80"/>
        <w:jc w:val="both"/>
      </w:pPr>
      <w:r>
        <w:rPr>
          <w:rFonts w:ascii="Times New Roman" w:hAnsi="Times New Roman"/>
          <w:b/>
          <w:color w:val="000000"/>
          <w:sz w:val="24"/>
        </w:rPr>
        <w:t xml:space="preserve">Phase 4 - AI Reasoning: </w:t>
      </w:r>
      <w:r>
        <w:rPr>
          <w:rFonts w:ascii="Times New Roman" w:hAnsi="Times New Roman"/>
          <w:color w:val="000000"/>
          <w:sz w:val="24"/>
        </w:rPr>
        <w:t>If an attack payload successfully penetrates the target, exploit evidence is dispatched to Google Gemini 3.6 Flash.</w:t>
      </w:r>
    </w:p>
    <w:p>
      <w:pPr>
        <w:pStyle w:val="ListBullet"/>
        <w:spacing w:line="360" w:lineRule="auto" w:after="80"/>
        <w:jc w:val="both"/>
      </w:pPr>
      <w:r>
        <w:rPr>
          <w:rFonts w:ascii="Times New Roman" w:hAnsi="Times New Roman"/>
          <w:b/>
          <w:color w:val="000000"/>
          <w:sz w:val="24"/>
        </w:rPr>
        <w:t xml:space="preserve">Phase 5 - AST Certification: </w:t>
      </w:r>
      <w:r>
        <w:rPr>
          <w:rFonts w:ascii="Times New Roman" w:hAnsi="Times New Roman"/>
          <w:color w:val="000000"/>
          <w:sz w:val="24"/>
        </w:rPr>
        <w:t>Gemini generates a candidate unified diff patch; native ast.parse() validates 100% grammar compliance.</w:t>
      </w:r>
    </w:p>
    <w:p>
      <w:pPr>
        <w:pStyle w:val="ListBullet"/>
        <w:spacing w:line="360" w:lineRule="auto" w:after="80"/>
        <w:jc w:val="both"/>
      </w:pPr>
      <w:r>
        <w:rPr>
          <w:rFonts w:ascii="Times New Roman" w:hAnsi="Times New Roman"/>
          <w:b/>
          <w:color w:val="000000"/>
          <w:sz w:val="24"/>
        </w:rPr>
        <w:t xml:space="preserve">Phase 6 - PR &amp; Verification: </w:t>
      </w:r>
      <w:r>
        <w:rPr>
          <w:rFonts w:ascii="Times New Roman" w:hAnsi="Times New Roman"/>
          <w:color w:val="000000"/>
          <w:sz w:val="24"/>
        </w:rPr>
        <w:t>Platform checks out a Git branch, pushes the certified patch, publishes a GitHub PR, and triggers re-emulation to confirm mitigation.</w:t>
      </w:r>
    </w:p>
    <w:p>
      <w:r>
        <w:br w:type="page"/>
      </w:r>
    </w:p>
    <w:p>
      <w:pPr>
        <w:keepNext/>
        <w:spacing w:before="320" w:after="120" w:line="360" w:lineRule="auto"/>
      </w:pPr>
      <w:r>
        <w:rPr>
          <w:rFonts w:ascii="Times New Roman" w:hAnsi="Times New Roman"/>
          <w:b/>
          <w:color w:val="1E3A8A"/>
          <w:sz w:val="28"/>
        </w:rPr>
        <w:t>3.6 Conceptual Models</w:t>
      </w:r>
    </w:p>
    <w:p>
      <w:pPr>
        <w:spacing w:line="360" w:lineRule="auto" w:after="120"/>
        <w:jc w:val="both"/>
      </w:pPr>
      <w:r>
        <w:rPr>
          <w:rFonts w:ascii="Times New Roman" w:hAnsi="Times New Roman"/>
          <w:color w:val="000000"/>
          <w:sz w:val="24"/>
        </w:rPr>
        <w:t>Conceptual modeling provides high-level abstract representations of a software system's operational processes, structural relationships, and data flows. This section articulates the process model governing SentroniX's engineering and presents the conceptual architecture connecting users, internal modules, and external cloud services.</w:t>
      </w:r>
    </w:p>
    <w:p>
      <w:pPr>
        <w:keepNext/>
        <w:spacing w:before="240" w:after="80" w:line="360" w:lineRule="auto"/>
      </w:pPr>
      <w:r>
        <w:rPr>
          <w:rFonts w:ascii="Times New Roman" w:hAnsi="Times New Roman"/>
          <w:b/>
          <w:color w:val="111827"/>
          <w:sz w:val="25"/>
        </w:rPr>
        <w:t>3.6.1 Agile Scrum Process Model and In-Depth Justification</w:t>
      </w:r>
    </w:p>
    <w:p>
      <w:pPr>
        <w:spacing w:line="360" w:lineRule="auto" w:after="120"/>
        <w:jc w:val="both"/>
      </w:pPr>
      <w:r>
        <w:rPr>
          <w:rFonts w:ascii="Times New Roman" w:hAnsi="Times New Roman"/>
          <w:color w:val="000000"/>
          <w:sz w:val="24"/>
        </w:rPr>
        <w:t>A critical engineering decision in the SentroniX project was the formal adoption of an Agile Scrum development process model over traditional sequential models (such as Waterfall or V-Model). Figure 3.1 illustrates the tailored Agile Scrum methodology engineered specifically for the SentroniX Purple Team Cyberdefense platform.</w:t>
      </w:r>
    </w:p>
    <w:p>
      <w:pPr>
        <w:spacing w:before="240" w:after="80"/>
        <w:jc w:val="center"/>
      </w:pPr>
      <w:r>
        <w:drawing>
          <wp:inline xmlns:a="http://schemas.openxmlformats.org/drawingml/2006/main" xmlns:pic="http://schemas.openxmlformats.org/drawingml/2006/picture">
            <wp:extent cx="5852160" cy="3698240"/>
            <wp:docPr id="2" name="Picture 2"/>
            <wp:cNvGraphicFramePr>
              <a:graphicFrameLocks noChangeAspect="1"/>
            </wp:cNvGraphicFramePr>
            <a:graphic>
              <a:graphicData uri="http://schemas.openxmlformats.org/drawingml/2006/picture">
                <pic:pic>
                  <pic:nvPicPr>
                    <pic:cNvPr id="0" name="fig_3_1_agile_model.png"/>
                    <pic:cNvPicPr/>
                  </pic:nvPicPr>
                  <pic:blipFill>
                    <a:blip r:embed="rId10"/>
                    <a:stretch>
                      <a:fillRect/>
                    </a:stretch>
                  </pic:blipFill>
                  <pic:spPr>
                    <a:xfrm>
                      <a:off x="0" y="0"/>
                      <a:ext cx="5852160" cy="3698240"/>
                    </a:xfrm>
                    <a:prstGeom prst="rect"/>
                  </pic:spPr>
                </pic:pic>
              </a:graphicData>
            </a:graphic>
          </wp:inline>
        </w:drawing>
      </w:r>
    </w:p>
    <w:p>
      <w:pPr>
        <w:spacing w:after="280"/>
        <w:jc w:val="center"/>
      </w:pPr>
      <w:r>
        <w:rPr>
          <w:rFonts w:ascii="Times New Roman" w:hAnsi="Times New Roman"/>
          <w:i/>
          <w:color w:val="374151"/>
          <w:sz w:val="20"/>
        </w:rPr>
        <w:t>Figure 3.1: Tailored Agile Scrum Development Methodology for SentroniX Cyberdefense Platform</w:t>
      </w:r>
    </w:p>
    <w:p>
      <w:pPr>
        <w:keepNext/>
        <w:spacing w:before="200" w:after="60" w:line="360" w:lineRule="auto"/>
      </w:pPr>
      <w:r>
        <w:rPr>
          <w:rFonts w:ascii="Times New Roman" w:hAnsi="Times New Roman"/>
          <w:b/>
          <w:color w:val="1E3A8A"/>
          <w:sz w:val="24"/>
        </w:rPr>
        <w:t>Technical Justification for the Agile Model in SentroniX Development</w:t>
      </w:r>
    </w:p>
    <w:p>
      <w:pPr>
        <w:spacing w:line="360" w:lineRule="auto" w:after="120"/>
        <w:jc w:val="both"/>
      </w:pPr>
      <w:r>
        <w:rPr>
          <w:rFonts w:ascii="Times New Roman" w:hAnsi="Times New Roman"/>
          <w:color w:val="000000"/>
          <w:sz w:val="24"/>
        </w:rPr>
        <w:t>The selection of the Agile Scrum process model is justified by four compelling technical factors inherent to cybersecurity systems engineering:</w:t>
      </w:r>
    </w:p>
    <w:p>
      <w:pPr>
        <w:pStyle w:val="ListBullet"/>
        <w:spacing w:line="360" w:lineRule="auto" w:after="80"/>
        <w:jc w:val="both"/>
      </w:pPr>
      <w:r>
        <w:rPr>
          <w:rFonts w:ascii="Times New Roman" w:hAnsi="Times New Roman"/>
          <w:b/>
          <w:color w:val="000000"/>
          <w:sz w:val="24"/>
        </w:rPr>
        <w:t xml:space="preserve">1. Adaptation to Rapidly Evolving Threat Vectors: </w:t>
      </w:r>
      <w:r>
        <w:rPr>
          <w:rFonts w:ascii="Times New Roman" w:hAnsi="Times New Roman"/>
          <w:color w:val="000000"/>
          <w:sz w:val="24"/>
        </w:rPr>
        <w:t>Cybersecurity is defined by constant volatility: new Common Vulnerabilities and Exposures (CVEs), zero-day bypass techniques, and obfuscation methods appear daily. A rigid Waterfall approach requires freezing requirements at project inception. Under Agile Scrum, new adversary vectors and evasion patterns can be added to the Product Backlog at any time and scheduled into the very next two-week sprint cycle without disrupting established architecture.</w:t>
      </w:r>
    </w:p>
    <w:p>
      <w:pPr>
        <w:pStyle w:val="ListBullet"/>
        <w:spacing w:line="360" w:lineRule="auto" w:after="80"/>
        <w:jc w:val="both"/>
      </w:pPr>
      <w:r>
        <w:rPr>
          <w:rFonts w:ascii="Times New Roman" w:hAnsi="Times New Roman"/>
          <w:b/>
          <w:color w:val="000000"/>
          <w:sz w:val="24"/>
        </w:rPr>
        <w:t xml:space="preserve">2. Iterative Calibration of Generative AI Reasoning: </w:t>
      </w:r>
      <w:r>
        <w:rPr>
          <w:rFonts w:ascii="Times New Roman" w:hAnsi="Times New Roman"/>
          <w:color w:val="000000"/>
          <w:sz w:val="24"/>
        </w:rPr>
        <w:t>Frontier Large Language Models (such as Google Gemini 3.6 Flash) behave probabilistically. Perfecting system prompts, few-shot demonstration examples, temperature tuning, and JSON schema constraints requires rapid experimental iterations. The Agile sprint cycle allowed the engineering team to deploy prompt variants, measure AST syntax certification rates against hundreds of exploit vectors, and refine system prompts in tight, continuous feedback loops.</w:t>
      </w:r>
    </w:p>
    <w:p>
      <w:pPr>
        <w:pStyle w:val="ListBullet"/>
        <w:spacing w:line="360" w:lineRule="auto" w:after="80"/>
        <w:jc w:val="both"/>
      </w:pPr>
      <w:r>
        <w:rPr>
          <w:rFonts w:ascii="Times New Roman" w:hAnsi="Times New Roman"/>
          <w:b/>
          <w:color w:val="000000"/>
          <w:sz w:val="24"/>
        </w:rPr>
        <w:t xml:space="preserve">3. Continuous Performance Benchmarking and Optimization: </w:t>
      </w:r>
      <w:r>
        <w:rPr>
          <w:rFonts w:ascii="Times New Roman" w:hAnsi="Times New Roman"/>
          <w:color w:val="000000"/>
          <w:sz w:val="24"/>
        </w:rPr>
        <w:t>SentroniX requires achieving sub-15ms network latency in its in-line WAF while maintaining 100% blocking accuracy against complex SQLi payloads. Achieving this balance is impossible in a single design pass. Agile sprints enabled the team to first implement baseline regex matching in Sprint 3, benchmark latency under load, identify ReDoS bottlenecks, and iteratively refactor the engine to use in-memory AST tokenization in subsequent iterations.</w:t>
      </w:r>
    </w:p>
    <w:p>
      <w:pPr>
        <w:pStyle w:val="ListBullet"/>
        <w:spacing w:line="360" w:lineRule="auto" w:after="80"/>
        <w:jc w:val="both"/>
      </w:pPr>
      <w:r>
        <w:rPr>
          <w:rFonts w:ascii="Times New Roman" w:hAnsi="Times New Roman"/>
          <w:b/>
          <w:color w:val="000000"/>
          <w:sz w:val="24"/>
        </w:rPr>
        <w:t xml:space="preserve">4. Seamless Synchronization of Offensive and Defensive Engineering: </w:t>
      </w:r>
      <w:r>
        <w:rPr>
          <w:rFonts w:ascii="Times New Roman" w:hAnsi="Times New Roman"/>
          <w:color w:val="000000"/>
          <w:sz w:val="24"/>
        </w:rPr>
        <w:t>Purple Teaming is fundamentally cross-functional, requiring continuous alignment between offensive red team vectors and defensive blue team detections. The Agile Scrum model, with its two-week Sprint Reviews and Potentially Shippable Increments, guaranteed that offensive dispatchers and defensive filters were developed, tested, and validated in lockstep, preventing architectural drift.</w:t>
      </w:r>
    </w:p>
    <w:p>
      <w:pPr>
        <w:keepNext/>
        <w:spacing w:before="240" w:after="80" w:line="360" w:lineRule="auto"/>
      </w:pPr>
      <w:r>
        <w:rPr>
          <w:rFonts w:ascii="Times New Roman" w:hAnsi="Times New Roman"/>
          <w:b/>
          <w:color w:val="111827"/>
          <w:sz w:val="25"/>
        </w:rPr>
        <w:t>3.6.2 High-Level Conceptual System Architecture Model</w:t>
      </w:r>
    </w:p>
    <w:p>
      <w:pPr>
        <w:spacing w:line="360" w:lineRule="auto" w:after="120"/>
        <w:jc w:val="both"/>
      </w:pPr>
      <w:r>
        <w:rPr>
          <w:rFonts w:ascii="Times New Roman" w:hAnsi="Times New Roman"/>
          <w:color w:val="000000"/>
          <w:sz w:val="24"/>
        </w:rPr>
        <w:t>Figure 3.3 presents the high-level conceptual system architecture model, illustrating the interactive relationships connecting human user personas, the internal autonomous subsystems of SentroniX, and external cloud services.</w:t>
      </w:r>
    </w:p>
    <w:p>
      <w:pPr>
        <w:spacing w:before="240" w:after="80"/>
        <w:jc w:val="center"/>
      </w:pPr>
      <w:r>
        <w:drawing>
          <wp:inline xmlns:a="http://schemas.openxmlformats.org/drawingml/2006/main" xmlns:pic="http://schemas.openxmlformats.org/drawingml/2006/picture">
            <wp:extent cx="5852160" cy="3698240"/>
            <wp:docPr id="3" name="Picture 3"/>
            <wp:cNvGraphicFramePr>
              <a:graphicFrameLocks noChangeAspect="1"/>
            </wp:cNvGraphicFramePr>
            <a:graphic>
              <a:graphicData uri="http://schemas.openxmlformats.org/drawingml/2006/picture">
                <pic:pic>
                  <pic:nvPicPr>
                    <pic:cNvPr id="0" name="fig_3_3_conceptual_model.png"/>
                    <pic:cNvPicPr/>
                  </pic:nvPicPr>
                  <pic:blipFill>
                    <a:blip r:embed="rId11"/>
                    <a:stretch>
                      <a:fillRect/>
                    </a:stretch>
                  </pic:blipFill>
                  <pic:spPr>
                    <a:xfrm>
                      <a:off x="0" y="0"/>
                      <a:ext cx="5852160" cy="3698240"/>
                    </a:xfrm>
                    <a:prstGeom prst="rect"/>
                  </pic:spPr>
                </pic:pic>
              </a:graphicData>
            </a:graphic>
          </wp:inline>
        </w:drawing>
      </w:r>
    </w:p>
    <w:p>
      <w:pPr>
        <w:spacing w:after="280"/>
        <w:jc w:val="center"/>
      </w:pPr>
      <w:r>
        <w:rPr>
          <w:rFonts w:ascii="Times New Roman" w:hAnsi="Times New Roman"/>
          <w:i/>
          <w:color w:val="374151"/>
          <w:sz w:val="20"/>
        </w:rPr>
        <w:t>Figure 3.3: SentroniX High-Level Conceptual System Model &amp; User Persona Interaction</w:t>
      </w:r>
    </w:p>
    <w:p>
      <w:pPr>
        <w:spacing w:line="360" w:lineRule="auto" w:after="120"/>
        <w:jc w:val="both"/>
      </w:pPr>
      <w:r>
        <w:rPr>
          <w:rFonts w:ascii="Times New Roman" w:hAnsi="Times New Roman"/>
          <w:color w:val="000000"/>
          <w:sz w:val="24"/>
        </w:rPr>
        <w:t>As depicted in Figure 3.3, the conceptual architecture cleanly decouples the platform into three primary domains:</w:t>
      </w:r>
    </w:p>
    <w:p>
      <w:pPr>
        <w:pStyle w:val="ListBullet"/>
        <w:spacing w:line="360" w:lineRule="auto" w:after="80"/>
        <w:jc w:val="both"/>
      </w:pPr>
      <w:r>
        <w:rPr>
          <w:rFonts w:ascii="Times New Roman" w:hAnsi="Times New Roman"/>
          <w:b/>
          <w:color w:val="000000"/>
          <w:sz w:val="24"/>
        </w:rPr>
        <w:t xml:space="preserve">User Persona Domain (Left): </w:t>
      </w:r>
      <w:r>
        <w:rPr>
          <w:rFonts w:ascii="Times New Roman" w:hAnsi="Times New Roman"/>
          <w:color w:val="000000"/>
          <w:sz w:val="24"/>
        </w:rPr>
        <w:t>SecOps Analysts, Red Team Operators, and DevSecOps Engineers interact exclusively through the centralized React 18 Purple Team Arena, ensuring unified role-based visibility.</w:t>
      </w:r>
    </w:p>
    <w:p>
      <w:pPr>
        <w:pStyle w:val="ListBullet"/>
        <w:spacing w:line="360" w:lineRule="auto" w:after="80"/>
        <w:jc w:val="both"/>
      </w:pPr>
      <w:r>
        <w:rPr>
          <w:rFonts w:ascii="Times New Roman" w:hAnsi="Times New Roman"/>
          <w:b/>
          <w:color w:val="000000"/>
          <w:sz w:val="24"/>
        </w:rPr>
        <w:t xml:space="preserve">SentroniX Core Platform Boundary (Center): </w:t>
      </w:r>
      <w:r>
        <w:rPr>
          <w:rFonts w:ascii="Times New Roman" w:hAnsi="Times New Roman"/>
          <w:color w:val="000000"/>
          <w:sz w:val="24"/>
        </w:rPr>
        <w:t>Comprises the core autonomous engines—Purple Team Arena UI, Adversary Emulation &amp; Ingress WAF Gateway, Generative AI Patch Synthesizer, and Forensic Compliance Ledger—communicating internally via asynchronous FastAPI routes, Redis Pub/Sub channels, and Celery task queues.</w:t>
      </w:r>
    </w:p>
    <w:p>
      <w:pPr>
        <w:pStyle w:val="ListBullet"/>
        <w:spacing w:line="360" w:lineRule="auto" w:after="80"/>
        <w:jc w:val="both"/>
      </w:pPr>
      <w:r>
        <w:rPr>
          <w:rFonts w:ascii="Times New Roman" w:hAnsi="Times New Roman"/>
          <w:b/>
          <w:color w:val="000000"/>
          <w:sz w:val="24"/>
        </w:rPr>
        <w:t xml:space="preserve">External Services Domain (Right): </w:t>
      </w:r>
      <w:r>
        <w:rPr>
          <w:rFonts w:ascii="Times New Roman" w:hAnsi="Times New Roman"/>
          <w:color w:val="000000"/>
          <w:sz w:val="24"/>
        </w:rPr>
        <w:t>Encompasses external cloud APIs and protected targets: the GitHub REST API (receiving automated pull requests), the Google Gemini API (providing frontier code reasoning), and the customer target applications undergoing active attack simulation.</w:t>
      </w:r>
    </w:p>
    <w:p>
      <w:pPr>
        <w:keepNext/>
        <w:spacing w:before="240" w:after="80" w:line="360" w:lineRule="auto"/>
      </w:pPr>
      <w:r>
        <w:rPr>
          <w:rFonts w:ascii="Times New Roman" w:hAnsi="Times New Roman"/>
          <w:b/>
          <w:color w:val="111827"/>
          <w:sz w:val="25"/>
        </w:rPr>
        <w:t>3.6.3 Conceptual Data Flow and State Transition Model</w:t>
      </w:r>
    </w:p>
    <w:p>
      <w:pPr>
        <w:spacing w:line="360" w:lineRule="auto" w:after="120"/>
        <w:jc w:val="both"/>
      </w:pPr>
      <w:r>
        <w:rPr>
          <w:rFonts w:ascii="Times New Roman" w:hAnsi="Times New Roman"/>
          <w:color w:val="000000"/>
          <w:sz w:val="24"/>
        </w:rPr>
        <w:t>Throughout the execution of an automated adversary simulation campaign, each vulnerability finding transitions through a deterministic, state-machine lifecycle: `PENDING` (queued for execution) -&gt; `EMULATING` (offensive vector launched against target socket) -&gt; `INTERCEPTED` (WAF blocked payload with 403 status) OR `BYPASS_DETECTED` (payload penetrated target application) -&gt; `REMEDIATING` (Gemini 3.6 Flash analyzing AST code context) -&gt; `AST_CERTIFIED` (passed native ast.parse validation) -&gt; `PR_DISPATCHED` (pull request published to GitHub) -&gt; `VERIFIED` (automated re-strike confirms exploit neutralization). This conceptual state lifecycle ensures complete auditability and zero lost telemetry across the enterprise vulnerability lifecycle.</w:t>
      </w:r>
    </w:p>
    <w:sectPr w:rsidR="00FC693F" w:rsidRPr="0006063C" w:rsidSect="00034616">
      <w:pgSz w:w="12240" w:h="15840"/>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