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color w:val="4B5563"/>
          <w:sz w:val="28"/>
        </w:rPr>
        <w:t>CHAPTER 4</w:t>
      </w:r>
    </w:p>
    <w:p>
      <w:pPr>
        <w:spacing w:after="480"/>
        <w:jc w:val="center"/>
      </w:pPr>
      <w:r>
        <w:rPr>
          <w:rFonts w:ascii="Times New Roman" w:hAnsi="Times New Roman"/>
          <w:b/>
          <w:color w:val="111827"/>
          <w:sz w:val="44"/>
        </w:rPr>
        <w:t>SYSTEM DESIGN</w:t>
      </w:r>
    </w:p>
    <w:p>
      <w:pPr>
        <w:spacing w:line="276" w:lineRule="auto" w:after="120"/>
        <w:jc w:val="both"/>
      </w:pPr>
      <w:r>
        <w:rPr>
          <w:rFonts w:ascii="Times New Roman" w:hAnsi="Times New Roman"/>
          <w:color w:val="1F2937"/>
          <w:sz w:val="24"/>
        </w:rPr>
        <w:t>System design represents the critical bridge between requirements specification and concrete software implementation. For SentroniX, the system design phase formulates the technical architecture required to unite offensive breach and attack simulation (Red Team), real-time defensive detection and Web Application Firewall policy enforcement (Blue Team), and generative artificial intelligence for automated vulnerability remediation diff synthesis (Purple Team). This chapter details the comprehensive data architecture, relational constraints, UML structural and behavioral models, algorithmic machine learning inference workflows, security countermeasures, and rigorous test case specifications governing the platform.</w:t>
      </w:r>
    </w:p>
    <w:p>
      <w:r>
        <w:br w:type="page"/>
      </w:r>
    </w:p>
    <w:p>
      <w:pPr>
        <w:keepNext/>
        <w:spacing w:before="280" w:after="120"/>
      </w:pPr>
      <w:r>
        <w:rPr>
          <w:rFonts w:ascii="Times New Roman" w:hAnsi="Times New Roman"/>
          <w:b/>
          <w:color w:val="111827"/>
          <w:sz w:val="32"/>
        </w:rPr>
        <w:t>4.1 Data Design</w:t>
      </w:r>
    </w:p>
    <w:p>
      <w:pPr>
        <w:spacing w:line="276" w:lineRule="auto" w:after="120"/>
        <w:jc w:val="both"/>
      </w:pPr>
      <w:r>
        <w:rPr>
          <w:rFonts w:ascii="Times New Roman" w:hAnsi="Times New Roman"/>
          <w:color w:val="1F2937"/>
          <w:sz w:val="24"/>
        </w:rPr>
        <w:t>Data design dictates how information is structured, stored, and managed across the platform's multi-tenant microservices architecture. In a Purple Team cybersecurity platform, data models must balance the requirements of high-speed transactional strike telemetry (millisecond-latency logging) with deep relational data structures capable of archiving complex Abstract Syntax Tree (AST) code diffs, Common Weakness Enumeration (CWE) metadata, and compliance mapping. SentroniX implements PostgreSQL 15 as its relational persistence engine, augmented by Redis 7 for high-throughput caching and Celery message brokering.</w:t>
      </w:r>
    </w:p>
    <w:p>
      <w:pPr>
        <w:keepNext/>
        <w:spacing w:before="200" w:after="80"/>
      </w:pPr>
      <w:r>
        <w:rPr>
          <w:rFonts w:ascii="Times New Roman" w:hAnsi="Times New Roman"/>
          <w:b/>
          <w:color w:val="1F2937"/>
          <w:sz w:val="26"/>
        </w:rPr>
        <w:t>4.1.1 Schema Design (Entity-Relationship Diagram)</w:t>
      </w:r>
    </w:p>
    <w:p>
      <w:pPr>
        <w:spacing w:line="276" w:lineRule="auto" w:after="120"/>
        <w:jc w:val="both"/>
      </w:pPr>
      <w:r>
        <w:rPr>
          <w:rFonts w:ascii="Times New Roman" w:hAnsi="Times New Roman"/>
          <w:color w:val="1F2937"/>
          <w:sz w:val="24"/>
        </w:rPr>
        <w:t>The relational schema is centered around the unified representation of security findings across diverse tools, simulation vectors, and remediation pipelines. The core entity, UnifiedFinding, correlates inputs from static analysis (Semgrep), dynamic penetration testing (Nuclei), steganographic entropy analyzers, and active red team payload bursts. Figure 4.1 illustrates the complete Entity-Relationship Diagram (ERD) defining primary keys, foreign key associations, and attribute types.</w:t>
      </w:r>
    </w:p>
    <w:p>
      <w:pPr>
        <w:spacing w:before="160" w:after="80"/>
        <w:jc w:val="center"/>
      </w:pPr>
      <w:r>
        <w:drawing>
          <wp:inline xmlns:a="http://schemas.openxmlformats.org/drawingml/2006/main" xmlns:pic="http://schemas.openxmlformats.org/drawingml/2006/picture">
            <wp:extent cx="5669280" cy="3664989"/>
            <wp:docPr id="1" name="Picture 1"/>
            <wp:cNvGraphicFramePr>
              <a:graphicFrameLocks noChangeAspect="1"/>
            </wp:cNvGraphicFramePr>
            <a:graphic>
              <a:graphicData uri="http://schemas.openxmlformats.org/drawingml/2006/picture">
                <pic:pic>
                  <pic:nvPicPr>
                    <pic:cNvPr id="0" name="fig_4_1_erd.png"/>
                    <pic:cNvPicPr/>
                  </pic:nvPicPr>
                  <pic:blipFill>
                    <a:blip r:embed="rId11"/>
                    <a:stretch>
                      <a:fillRect/>
                    </a:stretch>
                  </pic:blipFill>
                  <pic:spPr>
                    <a:xfrm>
                      <a:off x="0" y="0"/>
                      <a:ext cx="5669280" cy="3664989"/>
                    </a:xfrm>
                    <a:prstGeom prst="rect"/>
                  </pic:spPr>
                </pic:pic>
              </a:graphicData>
            </a:graphic>
          </wp:inline>
        </w:drawing>
      </w:r>
    </w:p>
    <w:p>
      <w:pPr>
        <w:spacing w:after="240"/>
        <w:jc w:val="center"/>
      </w:pPr>
      <w:r>
        <w:rPr>
          <w:rFonts w:ascii="Times New Roman" w:hAnsi="Times New Roman"/>
          <w:i/>
          <w:color w:val="4B5563"/>
          <w:sz w:val="20"/>
        </w:rPr>
        <w:t>Figure 4.1: SentroniX Relational Schema &amp; Entity-Relationship Diagram (ERD)</w:t>
      </w:r>
    </w:p>
    <w:p>
      <w:pPr>
        <w:spacing w:line="276" w:lineRule="auto" w:after="120"/>
        <w:jc w:val="both"/>
      </w:pPr>
      <w:r>
        <w:rPr>
          <w:rFonts w:ascii="Times New Roman" w:hAnsi="Times New Roman"/>
          <w:color w:val="1F2937"/>
          <w:sz w:val="24"/>
        </w:rPr>
        <w:t>The database schema incorporates five principal relational entities:</w:t>
      </w:r>
    </w:p>
    <w:p>
      <w:pPr>
        <w:pStyle w:val="ListBullet"/>
        <w:spacing w:line="276" w:lineRule="auto" w:after="80"/>
        <w:jc w:val="left"/>
      </w:pPr>
      <w:r>
        <w:rPr>
          <w:rFonts w:ascii="Times New Roman" w:hAnsi="Times New Roman"/>
          <w:b/>
          <w:color w:val="111827"/>
          <w:sz w:val="23"/>
        </w:rPr>
        <w:t xml:space="preserve">UnifiedFinding (unified_findings): </w:t>
      </w:r>
      <w:r>
        <w:rPr>
          <w:rFonts w:ascii="Times New Roman" w:hAnsi="Times New Roman"/>
          <w:color w:val="1F2937"/>
          <w:sz w:val="23"/>
        </w:rPr>
        <w:t>Serves as the primary operational entity. Stores the scan identifier, multi-tenant isolation key, defensive pillar category, reporting tool, standardized vulnerability severity (CRITICAL, HIGH, MEDIUM, LOW, INFO), CWE classification, target endpoint or source file location, raw exploit payload, and the synthesized AI remediation patch.</w:t>
      </w:r>
    </w:p>
    <w:p>
      <w:pPr>
        <w:pStyle w:val="ListBullet"/>
        <w:spacing w:line="276" w:lineRule="auto" w:after="80"/>
        <w:jc w:val="left"/>
      </w:pPr>
      <w:r>
        <w:rPr>
          <w:rFonts w:ascii="Times New Roman" w:hAnsi="Times New Roman"/>
          <w:b/>
          <w:color w:val="111827"/>
          <w:sz w:val="23"/>
        </w:rPr>
        <w:t xml:space="preserve">User (users): </w:t>
      </w:r>
      <w:r>
        <w:rPr>
          <w:rFonts w:ascii="Times New Roman" w:hAnsi="Times New Roman"/>
          <w:color w:val="1F2937"/>
          <w:sz w:val="23"/>
        </w:rPr>
        <w:t>Encapsulates operator identities, unique email credentials, bcrypt-hashed cryptographic password strings, and active multi-factor authentication flags.</w:t>
      </w:r>
    </w:p>
    <w:p>
      <w:pPr>
        <w:pStyle w:val="ListBullet"/>
        <w:spacing w:line="276" w:lineRule="auto" w:after="80"/>
        <w:jc w:val="left"/>
      </w:pPr>
      <w:r>
        <w:rPr>
          <w:rFonts w:ascii="Times New Roman" w:hAnsi="Times New Roman"/>
          <w:b/>
          <w:color w:val="111827"/>
          <w:sz w:val="23"/>
        </w:rPr>
        <w:t xml:space="preserve">StegAnalysisResult (steg_analysis_results): </w:t>
      </w:r>
      <w:r>
        <w:rPr>
          <w:rFonts w:ascii="Times New Roman" w:hAnsi="Times New Roman"/>
          <w:color w:val="1F2937"/>
          <w:sz w:val="23"/>
        </w:rPr>
        <w:t>Maintains forensic telemetry from the steganography inspection engine, storing file hashes, tool signatures, least-significant-bit (LSB) anomaly ratios, and binary extraction findings.</w:t>
      </w:r>
    </w:p>
    <w:p>
      <w:pPr>
        <w:pStyle w:val="ListBullet"/>
        <w:spacing w:line="276" w:lineRule="auto" w:after="80"/>
        <w:jc w:val="left"/>
      </w:pPr>
      <w:r>
        <w:rPr>
          <w:rFonts w:ascii="Times New Roman" w:hAnsi="Times New Roman"/>
          <w:b/>
          <w:color w:val="111827"/>
          <w:sz w:val="23"/>
        </w:rPr>
        <w:t xml:space="preserve">StrikeTelemetryLog (strike_telemetry_logs): </w:t>
      </w:r>
      <w:r>
        <w:rPr>
          <w:rFonts w:ascii="Times New Roman" w:hAnsi="Times New Roman"/>
          <w:color w:val="1F2937"/>
          <w:sz w:val="23"/>
        </w:rPr>
        <w:t>Records live adversary simulation telemetry, linking MITRE ATT&amp;CK techniques, WAF rule interception statuses, raw HTTP request/response buffers, and inspection latencies measured in milliseconds.</w:t>
      </w:r>
    </w:p>
    <w:p>
      <w:pPr>
        <w:pStyle w:val="ListBullet"/>
        <w:spacing w:line="276" w:lineRule="auto" w:after="80"/>
        <w:jc w:val="left"/>
      </w:pPr>
      <w:r>
        <w:rPr>
          <w:rFonts w:ascii="Times New Roman" w:hAnsi="Times New Roman"/>
          <w:b/>
          <w:color w:val="111827"/>
          <w:sz w:val="23"/>
        </w:rPr>
        <w:t xml:space="preserve">RemediationPRRecord (remediation_pr_records): </w:t>
      </w:r>
      <w:r>
        <w:rPr>
          <w:rFonts w:ascii="Times New Roman" w:hAnsi="Times New Roman"/>
          <w:color w:val="1F2937"/>
          <w:sz w:val="23"/>
        </w:rPr>
        <w:t>Tracks GitHub CI/CD remediation pull requests, remote branch names, base branches, pull request URLs, and automated test regression checklists.</w:t>
      </w:r>
    </w:p>
    <w:p>
      <w:r>
        <w:br w:type="page"/>
      </w:r>
    </w:p>
    <w:p>
      <w:pPr>
        <w:keepNext/>
        <w:spacing w:before="280" w:after="120"/>
      </w:pPr>
      <w:r>
        <w:rPr>
          <w:rFonts w:ascii="Times New Roman" w:hAnsi="Times New Roman"/>
          <w:b/>
          <w:color w:val="111827"/>
          <w:sz w:val="32"/>
        </w:rPr>
        <w:t>4.2 Data Integrity and Constraints (File Design)</w:t>
      </w:r>
    </w:p>
    <w:p>
      <w:pPr>
        <w:spacing w:line="276" w:lineRule="auto" w:after="120"/>
        <w:jc w:val="both"/>
      </w:pPr>
      <w:r>
        <w:rPr>
          <w:rFonts w:ascii="Times New Roman" w:hAnsi="Times New Roman"/>
          <w:color w:val="1F2937"/>
          <w:sz w:val="24"/>
        </w:rPr>
        <w:t>Data integrity guarantees that all security data stored, ingested, or processed across SentroniX remains accurate, consistent, and audit-verifiable throughout its lifecycle. Because SentroniX processes adversarial exploit strings and raw source code, strict validation, referential integrity, and file storage constraints are strictly enforced at the database, application gateway, and filesystem layers.</w:t>
      </w:r>
    </w:p>
    <w:p>
      <w:pPr>
        <w:keepNext/>
        <w:spacing w:before="200" w:after="80"/>
      </w:pPr>
      <w:r>
        <w:rPr>
          <w:rFonts w:ascii="Times New Roman" w:hAnsi="Times New Roman"/>
          <w:b/>
          <w:color w:val="1F2937"/>
          <w:sz w:val="26"/>
        </w:rPr>
        <w:t>4.2.1 Relational Constraints and Multi-Tenant Isolation</w:t>
      </w:r>
    </w:p>
    <w:p>
      <w:pPr>
        <w:spacing w:line="276" w:lineRule="auto" w:after="120"/>
        <w:jc w:val="both"/>
      </w:pPr>
      <w:r>
        <w:rPr>
          <w:rFonts w:ascii="Times New Roman" w:hAnsi="Times New Roman"/>
          <w:color w:val="1F2937"/>
          <w:sz w:val="24"/>
        </w:rPr>
        <w:t>Database constraints enforce domain integrity and prevent data corruption during simultaneous penetration testing strikes and vulnerability ingestion:</w:t>
      </w:r>
    </w:p>
    <w:p>
      <w:pPr>
        <w:pStyle w:val="ListBullet"/>
        <w:spacing w:line="276" w:lineRule="auto" w:after="80"/>
        <w:jc w:val="left"/>
      </w:pPr>
      <w:r>
        <w:rPr>
          <w:rFonts w:ascii="Times New Roman" w:hAnsi="Times New Roman"/>
          <w:b/>
          <w:color w:val="111827"/>
          <w:sz w:val="23"/>
        </w:rPr>
        <w:t xml:space="preserve">Entity Integrity: </w:t>
      </w:r>
      <w:r>
        <w:rPr>
          <w:rFonts w:ascii="Times New Roman" w:hAnsi="Times New Roman"/>
          <w:color w:val="1F2937"/>
          <w:sz w:val="23"/>
        </w:rPr>
        <w:t>Every entity enforces non-nullable integer or UUID surrogate primary keys (e.g., id, strike_id) with unique B-tree indexing.</w:t>
      </w:r>
    </w:p>
    <w:p>
      <w:pPr>
        <w:pStyle w:val="ListBullet"/>
        <w:spacing w:line="276" w:lineRule="auto" w:after="80"/>
        <w:jc w:val="left"/>
      </w:pPr>
      <w:r>
        <w:rPr>
          <w:rFonts w:ascii="Times New Roman" w:hAnsi="Times New Roman"/>
          <w:b/>
          <w:color w:val="111827"/>
          <w:sz w:val="23"/>
        </w:rPr>
        <w:t xml:space="preserve">Referential Integrity: </w:t>
      </w:r>
      <w:r>
        <w:rPr>
          <w:rFonts w:ascii="Times New Roman" w:hAnsi="Times New Roman"/>
          <w:color w:val="1F2937"/>
          <w:sz w:val="23"/>
        </w:rPr>
        <w:t>Foreign key relationships link telemetry logs and GitHub pull request records directly to finding IDs using cascading constraints (ON DELETE CASCADE) to prevent orphaned security records.</w:t>
      </w:r>
    </w:p>
    <w:p>
      <w:pPr>
        <w:pStyle w:val="ListBullet"/>
        <w:spacing w:line="276" w:lineRule="auto" w:after="80"/>
        <w:jc w:val="left"/>
      </w:pPr>
      <w:r>
        <w:rPr>
          <w:rFonts w:ascii="Times New Roman" w:hAnsi="Times New Roman"/>
          <w:b/>
          <w:color w:val="111827"/>
          <w:sz w:val="23"/>
        </w:rPr>
        <w:t xml:space="preserve">Domain Constraints: </w:t>
      </w:r>
      <w:r>
        <w:rPr>
          <w:rFonts w:ascii="Times New Roman" w:hAnsi="Times New Roman"/>
          <w:color w:val="1F2937"/>
          <w:sz w:val="23"/>
        </w:rPr>
        <w:t>Vulnerability severity fields are strictly constrained via enumerated sets: CHECK (severity IN ('CRITICAL', 'HIGH', 'MEDIUM', 'LOW', 'INFO')). Similarly, authentication status flags require non-nullable boolean defaults.</w:t>
      </w:r>
    </w:p>
    <w:p>
      <w:pPr>
        <w:pStyle w:val="ListBullet"/>
        <w:spacing w:line="276" w:lineRule="auto" w:after="80"/>
        <w:jc w:val="left"/>
      </w:pPr>
      <w:r>
        <w:rPr>
          <w:rFonts w:ascii="Times New Roman" w:hAnsi="Times New Roman"/>
          <w:b/>
          <w:color w:val="111827"/>
          <w:sz w:val="23"/>
        </w:rPr>
        <w:t xml:space="preserve">Tenant-Level Partitioning: </w:t>
      </w:r>
      <w:r>
        <w:rPr>
          <w:rFonts w:ascii="Times New Roman" w:hAnsi="Times New Roman"/>
          <w:color w:val="1F2937"/>
          <w:sz w:val="23"/>
        </w:rPr>
        <w:t>All queries dispatched through SQLAlchemy ORM automatically append tenant_id clauses, guaranteeing zero data bleed between corporate tenants in shared multi-tenant deployments.</w:t>
      </w:r>
    </w:p>
    <w:p>
      <w:pPr>
        <w:keepNext/>
        <w:spacing w:before="200" w:after="80"/>
      </w:pPr>
      <w:r>
        <w:rPr>
          <w:rFonts w:ascii="Times New Roman" w:hAnsi="Times New Roman"/>
          <w:b/>
          <w:color w:val="1F2937"/>
          <w:sz w:val="26"/>
        </w:rPr>
        <w:t>4.2.2 Physical File System Design &amp; Artifact Storage</w:t>
      </w:r>
    </w:p>
    <w:p>
      <w:pPr>
        <w:spacing w:line="276" w:lineRule="auto" w:after="120"/>
        <w:jc w:val="both"/>
      </w:pPr>
      <w:r>
        <w:rPr>
          <w:rFonts w:ascii="Times New Roman" w:hAnsi="Times New Roman"/>
          <w:color w:val="1F2937"/>
          <w:sz w:val="24"/>
        </w:rPr>
        <w:t>In addition to relational tables, SentroniX manages physical binary files for steganographic analysis and source code inspection. The file subsystem enforces rigorous sandboxing:</w:t>
      </w:r>
    </w:p>
    <w:p>
      <w:pPr>
        <w:pStyle w:val="ListBullet"/>
        <w:spacing w:line="276" w:lineRule="auto" w:after="80"/>
        <w:jc w:val="left"/>
      </w:pPr>
      <w:r>
        <w:rPr>
          <w:rFonts w:ascii="Times New Roman" w:hAnsi="Times New Roman"/>
          <w:b/>
          <w:color w:val="111827"/>
          <w:sz w:val="23"/>
        </w:rPr>
        <w:t xml:space="preserve">Ephemeral Ingestion Sandboxing: </w:t>
      </w:r>
      <w:r>
        <w:rPr>
          <w:rFonts w:ascii="Times New Roman" w:hAnsi="Times New Roman"/>
          <w:color w:val="1F2937"/>
          <w:sz w:val="23"/>
        </w:rPr>
        <w:t>Uploaded binaries (JPEG, PNG, ELF, PE) are written to temporary volumes mounted with noexec and nosuid flags, preventing binary execution on the host server.</w:t>
      </w:r>
    </w:p>
    <w:p>
      <w:pPr>
        <w:pStyle w:val="ListBullet"/>
        <w:spacing w:line="276" w:lineRule="auto" w:after="80"/>
        <w:jc w:val="left"/>
      </w:pPr>
      <w:r>
        <w:rPr>
          <w:rFonts w:ascii="Times New Roman" w:hAnsi="Times New Roman"/>
          <w:b/>
          <w:color w:val="111827"/>
          <w:sz w:val="23"/>
        </w:rPr>
        <w:t xml:space="preserve">Path Canonicalization &amp; Directory Traversal Guards: </w:t>
      </w:r>
      <w:r>
        <w:rPr>
          <w:rFonts w:ascii="Times New Roman" w:hAnsi="Times New Roman"/>
          <w:color w:val="1F2937"/>
          <w:sz w:val="23"/>
        </w:rPr>
        <w:t>All file paths are normalized using absolute path resolution (os.path.abspath). Filenames are sanitized using cryptographic SHA-256 hashes to prevent path traversal attacks (e.g., ../../../../etc/passwd).</w:t>
      </w:r>
    </w:p>
    <w:p>
      <w:pPr>
        <w:pStyle w:val="ListBullet"/>
        <w:spacing w:line="276" w:lineRule="auto" w:after="80"/>
        <w:jc w:val="left"/>
      </w:pPr>
      <w:r>
        <w:rPr>
          <w:rFonts w:ascii="Times New Roman" w:hAnsi="Times New Roman"/>
          <w:b/>
          <w:color w:val="111827"/>
          <w:sz w:val="23"/>
        </w:rPr>
        <w:t xml:space="preserve">Cryptographic File Hashing: </w:t>
      </w:r>
      <w:r>
        <w:rPr>
          <w:rFonts w:ascii="Times New Roman" w:hAnsi="Times New Roman"/>
          <w:color w:val="1F2937"/>
          <w:sz w:val="23"/>
        </w:rPr>
        <w:t>During ingest, every file is hashed using SHA-256 and MD5 to ensure chain-of-custody compliance during forensic inspections.</w:t>
      </w:r>
    </w:p>
    <w:p>
      <w:r>
        <w:br w:type="page"/>
      </w:r>
    </w:p>
    <w:p>
      <w:pPr>
        <w:keepNext/>
        <w:spacing w:before="280" w:after="120"/>
      </w:pPr>
      <w:r>
        <w:rPr>
          <w:rFonts w:ascii="Times New Roman" w:hAnsi="Times New Roman"/>
          <w:b/>
          <w:color w:val="111827"/>
          <w:sz w:val="32"/>
        </w:rPr>
        <w:t>4.3 User Interface Design</w:t>
      </w:r>
    </w:p>
    <w:p>
      <w:pPr>
        <w:spacing w:line="276" w:lineRule="auto" w:after="120"/>
        <w:jc w:val="both"/>
      </w:pPr>
      <w:r>
        <w:rPr>
          <w:rFonts w:ascii="Times New Roman" w:hAnsi="Times New Roman"/>
          <w:color w:val="1F2937"/>
          <w:sz w:val="24"/>
        </w:rPr>
        <w:t>The SentroniX user interface is built on modern human-computer interaction (HCI) principles tailored for high-tempo cybersecurity operations centers (SOC). Utilizing React 18, Vite, and native design tokens, the interface features a dual-pane Purple Team Arena, an interactive executive compliance center, and real-time notification drawers. To illustrate the functional, behavioral, and architectural dynamics of the UI, the following sections present the UML Use Case, Activity, and Sequence diagrams.</w:t>
      </w:r>
    </w:p>
    <w:p>
      <w:pPr>
        <w:keepNext/>
        <w:spacing w:before="200" w:after="80"/>
      </w:pPr>
      <w:r>
        <w:rPr>
          <w:rFonts w:ascii="Times New Roman" w:hAnsi="Times New Roman"/>
          <w:b/>
          <w:color w:val="1F2937"/>
          <w:sz w:val="26"/>
        </w:rPr>
        <w:t>4.3.1 Use Case Diagram</w:t>
      </w:r>
    </w:p>
    <w:p>
      <w:pPr>
        <w:spacing w:line="276" w:lineRule="auto" w:after="120"/>
        <w:jc w:val="both"/>
      </w:pPr>
      <w:r>
        <w:rPr>
          <w:rFonts w:ascii="Times New Roman" w:hAnsi="Times New Roman"/>
          <w:color w:val="1F2937"/>
          <w:sz w:val="24"/>
        </w:rPr>
        <w:t>The Use Case Diagram defines the interactions between human operators (SecOps Engineers, Red Team Operators, Compliance CISOs) and external automated systems (Google Gemini 3.6 Flash LLM, GitHub REST API, Atlassian Jira Cloud). Figure 4.2 details the actors and primary functional use cases supported by the platform.</w:t>
      </w:r>
    </w:p>
    <w:p>
      <w:pPr>
        <w:spacing w:before="160" w:after="80"/>
        <w:jc w:val="center"/>
      </w:pPr>
      <w:r>
        <w:drawing>
          <wp:inline xmlns:a="http://schemas.openxmlformats.org/drawingml/2006/main" xmlns:pic="http://schemas.openxmlformats.org/drawingml/2006/picture">
            <wp:extent cx="5669280" cy="3493193"/>
            <wp:docPr id="2" name="Picture 2"/>
            <wp:cNvGraphicFramePr>
              <a:graphicFrameLocks noChangeAspect="1"/>
            </wp:cNvGraphicFramePr>
            <a:graphic>
              <a:graphicData uri="http://schemas.openxmlformats.org/drawingml/2006/picture">
                <pic:pic>
                  <pic:nvPicPr>
                    <pic:cNvPr id="0" name="fig_4_2_use_case.png"/>
                    <pic:cNvPicPr/>
                  </pic:nvPicPr>
                  <pic:blipFill>
                    <a:blip r:embed="rId12"/>
                    <a:stretch>
                      <a:fillRect/>
                    </a:stretch>
                  </pic:blipFill>
                  <pic:spPr>
                    <a:xfrm>
                      <a:off x="0" y="0"/>
                      <a:ext cx="5669280" cy="3493193"/>
                    </a:xfrm>
                    <a:prstGeom prst="rect"/>
                  </pic:spPr>
                </pic:pic>
              </a:graphicData>
            </a:graphic>
          </wp:inline>
        </w:drawing>
      </w:r>
    </w:p>
    <w:p>
      <w:pPr>
        <w:spacing w:after="240"/>
        <w:jc w:val="center"/>
      </w:pPr>
      <w:r>
        <w:rPr>
          <w:rFonts w:ascii="Times New Roman" w:hAnsi="Times New Roman"/>
          <w:i/>
          <w:color w:val="4B5563"/>
          <w:sz w:val="20"/>
        </w:rPr>
        <w:t>Figure 4.2: SentroniX Platform UML Use Case Diagram</w:t>
      </w:r>
    </w:p>
    <w:p>
      <w:pPr>
        <w:spacing w:line="276" w:lineRule="auto" w:after="120"/>
        <w:jc w:val="both"/>
      </w:pPr>
      <w:r>
        <w:rPr>
          <w:rFonts w:ascii="Times New Roman" w:hAnsi="Times New Roman"/>
          <w:color w:val="1F2937"/>
          <w:sz w:val="24"/>
        </w:rPr>
        <w:t>Key functional use cases illustrated above include:</w:t>
      </w:r>
    </w:p>
    <w:p>
      <w:pPr>
        <w:pStyle w:val="ListBullet"/>
        <w:spacing w:line="276" w:lineRule="auto" w:after="80"/>
        <w:jc w:val="left"/>
      </w:pPr>
      <w:r>
        <w:rPr>
          <w:rFonts w:ascii="Times New Roman" w:hAnsi="Times New Roman"/>
          <w:b/>
          <w:color w:val="111827"/>
          <w:sz w:val="23"/>
        </w:rPr>
        <w:t xml:space="preserve">UC-1 (Execute Atomic Strike): </w:t>
      </w:r>
      <w:r>
        <w:rPr>
          <w:rFonts w:ascii="Times New Roman" w:hAnsi="Times New Roman"/>
          <w:color w:val="1F2937"/>
          <w:sz w:val="23"/>
        </w:rPr>
        <w:t>Allows Red Team operators to simulate MITRE ATT&amp;CK tactics (SQLi, XSS, SSRF) against configured application endpoints.</w:t>
      </w:r>
    </w:p>
    <w:p>
      <w:pPr>
        <w:pStyle w:val="ListBullet"/>
        <w:spacing w:line="276" w:lineRule="auto" w:after="80"/>
        <w:jc w:val="left"/>
      </w:pPr>
      <w:r>
        <w:rPr>
          <w:rFonts w:ascii="Times New Roman" w:hAnsi="Times New Roman"/>
          <w:b/>
          <w:color w:val="111827"/>
          <w:sz w:val="23"/>
        </w:rPr>
        <w:t xml:space="preserve">UC-2 (Live Target Endpoint Fuzzing): </w:t>
      </w:r>
      <w:r>
        <w:rPr>
          <w:rFonts w:ascii="Times New Roman" w:hAnsi="Times New Roman"/>
          <w:color w:val="1F2937"/>
          <w:sz w:val="23"/>
        </w:rPr>
        <w:t>Enables operators to enter arbitrary internal/external URLs and fire structured dictionary payload bursts (SecLists &amp; PayloadsAllTheThings).</w:t>
      </w:r>
    </w:p>
    <w:p>
      <w:pPr>
        <w:pStyle w:val="ListBullet"/>
        <w:spacing w:line="276" w:lineRule="auto" w:after="80"/>
        <w:jc w:val="left"/>
      </w:pPr>
      <w:r>
        <w:rPr>
          <w:rFonts w:ascii="Times New Roman" w:hAnsi="Times New Roman"/>
          <w:b/>
          <w:color w:val="111827"/>
          <w:sz w:val="23"/>
        </w:rPr>
        <w:t xml:space="preserve">UC-3 (Deep HTTP Packet Stream Inspection): </w:t>
      </w:r>
      <w:r>
        <w:rPr>
          <w:rFonts w:ascii="Times New Roman" w:hAnsi="Times New Roman"/>
          <w:color w:val="1F2937"/>
          <w:sz w:val="23"/>
        </w:rPr>
        <w:t>Provides raw bidirectional packet viewing (injected client requests vs. intercepted WAF responses) with one-click clipboard copying.</w:t>
      </w:r>
    </w:p>
    <w:p>
      <w:pPr>
        <w:pStyle w:val="ListBullet"/>
        <w:spacing w:line="276" w:lineRule="auto" w:after="80"/>
        <w:jc w:val="left"/>
      </w:pPr>
      <w:r>
        <w:rPr>
          <w:rFonts w:ascii="Times New Roman" w:hAnsi="Times New Roman"/>
          <w:b/>
          <w:color w:val="111827"/>
          <w:sz w:val="23"/>
        </w:rPr>
        <w:t xml:space="preserve">UC-4 (Dynamic WAF Policy Switchboard): </w:t>
      </w:r>
      <w:r>
        <w:rPr>
          <w:rFonts w:ascii="Times New Roman" w:hAnsi="Times New Roman"/>
          <w:color w:val="1F2937"/>
          <w:sz w:val="23"/>
        </w:rPr>
        <w:t>Permits defensive analysts to toggle runtime security filters (AST guard, XSS interceptor) on/off to evaluate containment effectiveness.</w:t>
      </w:r>
    </w:p>
    <w:p>
      <w:pPr>
        <w:pStyle w:val="ListBullet"/>
        <w:spacing w:line="276" w:lineRule="auto" w:after="80"/>
        <w:jc w:val="left"/>
      </w:pPr>
      <w:r>
        <w:rPr>
          <w:rFonts w:ascii="Times New Roman" w:hAnsi="Times New Roman"/>
          <w:b/>
          <w:color w:val="111827"/>
          <w:sz w:val="23"/>
        </w:rPr>
        <w:t xml:space="preserve">UC-5 (AI Remediation Diff Synthesis): </w:t>
      </w:r>
      <w:r>
        <w:rPr>
          <w:rFonts w:ascii="Times New Roman" w:hAnsi="Times New Roman"/>
          <w:color w:val="1F2937"/>
          <w:sz w:val="23"/>
        </w:rPr>
        <w:t>Orchestrates Gemini 3.6 Flash to analyze vulnerabilities and synthesize unified Git code patches.</w:t>
      </w:r>
    </w:p>
    <w:p>
      <w:pPr>
        <w:pStyle w:val="ListBullet"/>
        <w:spacing w:line="276" w:lineRule="auto" w:after="80"/>
        <w:jc w:val="left"/>
      </w:pPr>
      <w:r>
        <w:rPr>
          <w:rFonts w:ascii="Times New Roman" w:hAnsi="Times New Roman"/>
          <w:b/>
          <w:color w:val="111827"/>
          <w:sz w:val="23"/>
        </w:rPr>
        <w:t xml:space="preserve">UC-6 (One-Click GitHub PR &amp; Jira Ticket Creation): </w:t>
      </w:r>
      <w:r>
        <w:rPr>
          <w:rFonts w:ascii="Times New Roman" w:hAnsi="Times New Roman"/>
          <w:color w:val="1F2937"/>
          <w:sz w:val="23"/>
        </w:rPr>
        <w:t>Stages automated code fixes into remote GitHub branches and opens reviewed Pull Requests with attached regression checklists.</w:t>
      </w:r>
    </w:p>
    <w:p>
      <w:pPr>
        <w:keepNext/>
        <w:spacing w:before="200" w:after="80"/>
      </w:pPr>
      <w:r>
        <w:rPr>
          <w:rFonts w:ascii="Times New Roman" w:hAnsi="Times New Roman"/>
          <w:b/>
          <w:color w:val="1F2937"/>
          <w:sz w:val="26"/>
        </w:rPr>
        <w:t>4.3.2 Activity Diagram</w:t>
      </w:r>
    </w:p>
    <w:p>
      <w:pPr>
        <w:spacing w:line="276" w:lineRule="auto" w:after="120"/>
        <w:jc w:val="both"/>
      </w:pPr>
      <w:r>
        <w:rPr>
          <w:rFonts w:ascii="Times New Roman" w:hAnsi="Times New Roman"/>
          <w:color w:val="1F2937"/>
          <w:sz w:val="24"/>
        </w:rPr>
        <w:t>The Activity Diagram models the operational flow of a complete Purple Team iteration: starting from adversary payload injection, progressing through defensive WAF AST inspection, branching on interception/bypass status, and culminating in automated generative AI code remediation. Figure 4.3 illustrates this closed-loop lifecycle.</w:t>
      </w:r>
    </w:p>
    <w:p>
      <w:pPr>
        <w:spacing w:before="160" w:after="80"/>
        <w:jc w:val="center"/>
      </w:pPr>
      <w:r>
        <w:drawing>
          <wp:inline xmlns:a="http://schemas.openxmlformats.org/drawingml/2006/main" xmlns:pic="http://schemas.openxmlformats.org/drawingml/2006/picture">
            <wp:extent cx="5669280" cy="4395284"/>
            <wp:docPr id="3" name="Picture 3"/>
            <wp:cNvGraphicFramePr>
              <a:graphicFrameLocks noChangeAspect="1"/>
            </wp:cNvGraphicFramePr>
            <a:graphic>
              <a:graphicData uri="http://schemas.openxmlformats.org/drawingml/2006/picture">
                <pic:pic>
                  <pic:nvPicPr>
                    <pic:cNvPr id="0" name="fig_4_3_activity.png"/>
                    <pic:cNvPicPr/>
                  </pic:nvPicPr>
                  <pic:blipFill>
                    <a:blip r:embed="rId13"/>
                    <a:stretch>
                      <a:fillRect/>
                    </a:stretch>
                  </pic:blipFill>
                  <pic:spPr>
                    <a:xfrm>
                      <a:off x="0" y="0"/>
                      <a:ext cx="5669280" cy="4395284"/>
                    </a:xfrm>
                    <a:prstGeom prst="rect"/>
                  </pic:spPr>
                </pic:pic>
              </a:graphicData>
            </a:graphic>
          </wp:inline>
        </w:drawing>
      </w:r>
    </w:p>
    <w:p>
      <w:pPr>
        <w:spacing w:after="240"/>
        <w:jc w:val="center"/>
      </w:pPr>
      <w:r>
        <w:rPr>
          <w:rFonts w:ascii="Times New Roman" w:hAnsi="Times New Roman"/>
          <w:i/>
          <w:color w:val="4B5563"/>
          <w:sz w:val="20"/>
        </w:rPr>
        <w:t>Figure 4.3: SentroniX Purple Team Strike &amp; Remediation Activity Diagram</w:t>
      </w:r>
    </w:p>
    <w:p>
      <w:pPr>
        <w:keepNext/>
        <w:spacing w:before="200" w:after="80"/>
      </w:pPr>
      <w:r>
        <w:rPr>
          <w:rFonts w:ascii="Times New Roman" w:hAnsi="Times New Roman"/>
          <w:b/>
          <w:color w:val="1F2937"/>
          <w:sz w:val="26"/>
        </w:rPr>
        <w:t>4.3.3 Sequence Diagram</w:t>
      </w:r>
    </w:p>
    <w:p>
      <w:pPr>
        <w:spacing w:line="276" w:lineRule="auto" w:after="120"/>
        <w:jc w:val="both"/>
      </w:pPr>
      <w:r>
        <w:rPr>
          <w:rFonts w:ascii="Times New Roman" w:hAnsi="Times New Roman"/>
          <w:color w:val="1F2937"/>
          <w:sz w:val="24"/>
        </w:rPr>
        <w:t>The Sequence Diagram captures the chronologically ordered message exchanges between the React client, FastAPI gateway, Red Team fuzzer engine, Google Gemini LLM, and the GitHub REST API during a live target scan and remediation pull request generation. Figure 4.4 details this interaction timeline.</w:t>
      </w:r>
    </w:p>
    <w:p>
      <w:pPr>
        <w:spacing w:before="160" w:after="80"/>
        <w:jc w:val="center"/>
      </w:pPr>
      <w:r>
        <w:drawing>
          <wp:inline xmlns:a="http://schemas.openxmlformats.org/drawingml/2006/main" xmlns:pic="http://schemas.openxmlformats.org/drawingml/2006/picture">
            <wp:extent cx="5669280" cy="3664989"/>
            <wp:docPr id="4" name="Picture 4"/>
            <wp:cNvGraphicFramePr>
              <a:graphicFrameLocks noChangeAspect="1"/>
            </wp:cNvGraphicFramePr>
            <a:graphic>
              <a:graphicData uri="http://schemas.openxmlformats.org/drawingml/2006/picture">
                <pic:pic>
                  <pic:nvPicPr>
                    <pic:cNvPr id="0" name="fig_4_4_sequence.png"/>
                    <pic:cNvPicPr/>
                  </pic:nvPicPr>
                  <pic:blipFill>
                    <a:blip r:embed="rId14"/>
                    <a:stretch>
                      <a:fillRect/>
                    </a:stretch>
                  </pic:blipFill>
                  <pic:spPr>
                    <a:xfrm>
                      <a:off x="0" y="0"/>
                      <a:ext cx="5669280" cy="3664989"/>
                    </a:xfrm>
                    <a:prstGeom prst="rect"/>
                  </pic:spPr>
                </pic:pic>
              </a:graphicData>
            </a:graphic>
          </wp:inline>
        </w:drawing>
      </w:r>
    </w:p>
    <w:p>
      <w:pPr>
        <w:spacing w:after="240"/>
        <w:jc w:val="center"/>
      </w:pPr>
      <w:r>
        <w:rPr>
          <w:rFonts w:ascii="Times New Roman" w:hAnsi="Times New Roman"/>
          <w:i/>
          <w:color w:val="4B5563"/>
          <w:sz w:val="20"/>
        </w:rPr>
        <w:t>Figure 4.4: SentroniX Live Attack-Defense &amp; AI PR Sequence Diagram</w:t>
      </w:r>
    </w:p>
    <w:p>
      <w:r>
        <w:br w:type="page"/>
      </w:r>
    </w:p>
    <w:p>
      <w:pPr>
        <w:keepNext/>
        <w:spacing w:before="280" w:after="120"/>
      </w:pPr>
      <w:r>
        <w:rPr>
          <w:rFonts w:ascii="Times New Roman" w:hAnsi="Times New Roman"/>
          <w:b/>
          <w:color w:val="111827"/>
          <w:sz w:val="32"/>
        </w:rPr>
        <w:t>4.4 Algorithm Diagram (AI &amp; Machine Learning Inference)</w:t>
      </w:r>
    </w:p>
    <w:p>
      <w:pPr>
        <w:spacing w:line="276" w:lineRule="auto" w:after="120"/>
        <w:jc w:val="both"/>
      </w:pPr>
      <w:r>
        <w:rPr>
          <w:rFonts w:ascii="Times New Roman" w:hAnsi="Times New Roman"/>
          <w:color w:val="1F2937"/>
          <w:sz w:val="24"/>
        </w:rPr>
        <w:t>SentroniX employs state-of-the-art Large Language Model (LLM) inference—specifically Google Gemini 3.6 Flash—augmented by deterministic Abstract Syntax Tree (AST) parsing and heuristic Shannon Entropy calculations to automate vulnerability triage and code remediation. Unlike generic conversational AI, the SentroniX Remediation Algorithm operates under strict engineering constraints requiring valid unified Git diff output (--- a/, +++ b/), CWE root cause explanation, and regression verification checklists.</w:t>
      </w:r>
    </w:p>
    <w:p>
      <w:pPr>
        <w:spacing w:before="160" w:after="80"/>
        <w:jc w:val="center"/>
      </w:pPr>
      <w:r>
        <w:drawing>
          <wp:inline xmlns:a="http://schemas.openxmlformats.org/drawingml/2006/main" xmlns:pic="http://schemas.openxmlformats.org/drawingml/2006/picture">
            <wp:extent cx="5669280" cy="4713783"/>
            <wp:docPr id="5" name="Picture 5"/>
            <wp:cNvGraphicFramePr>
              <a:graphicFrameLocks noChangeAspect="1"/>
            </wp:cNvGraphicFramePr>
            <a:graphic>
              <a:graphicData uri="http://schemas.openxmlformats.org/drawingml/2006/picture">
                <pic:pic>
                  <pic:nvPicPr>
                    <pic:cNvPr id="0" name="fig_4_5_algorithm.png"/>
                    <pic:cNvPicPr/>
                  </pic:nvPicPr>
                  <pic:blipFill>
                    <a:blip r:embed="rId15"/>
                    <a:stretch>
                      <a:fillRect/>
                    </a:stretch>
                  </pic:blipFill>
                  <pic:spPr>
                    <a:xfrm>
                      <a:off x="0" y="0"/>
                      <a:ext cx="5669280" cy="4713783"/>
                    </a:xfrm>
                    <a:prstGeom prst="rect"/>
                  </pic:spPr>
                </pic:pic>
              </a:graphicData>
            </a:graphic>
          </wp:inline>
        </w:drawing>
      </w:r>
    </w:p>
    <w:p>
      <w:pPr>
        <w:spacing w:after="240"/>
        <w:jc w:val="center"/>
      </w:pPr>
      <w:r>
        <w:rPr>
          <w:rFonts w:ascii="Times New Roman" w:hAnsi="Times New Roman"/>
          <w:i/>
          <w:color w:val="4B5563"/>
          <w:sz w:val="20"/>
        </w:rPr>
        <w:t>Figure 4.5: Gemini 3.6 Flash Remediation Reasoning &amp; AST Algorithmic Pipeline</w:t>
      </w:r>
    </w:p>
    <w:p>
      <w:pPr>
        <w:spacing w:line="276" w:lineRule="auto" w:after="120"/>
        <w:jc w:val="both"/>
      </w:pPr>
      <w:r>
        <w:rPr>
          <w:rFonts w:ascii="Times New Roman" w:hAnsi="Times New Roman"/>
          <w:color w:val="1F2937"/>
          <w:sz w:val="24"/>
        </w:rPr>
        <w:t>The automated remediation algorithm operates through six sequential computational phases:</w:t>
      </w:r>
    </w:p>
    <w:p>
      <w:pPr>
        <w:pStyle w:val="ListBullet"/>
        <w:spacing w:line="276" w:lineRule="auto" w:after="80"/>
        <w:jc w:val="left"/>
      </w:pPr>
      <w:r>
        <w:rPr>
          <w:rFonts w:ascii="Times New Roman" w:hAnsi="Times New Roman"/>
          <w:b/>
          <w:color w:val="111827"/>
          <w:sz w:val="23"/>
        </w:rPr>
        <w:t xml:space="preserve">Phase 1 - Vulnerability Context Extraction: </w:t>
      </w:r>
      <w:r>
        <w:rPr>
          <w:rFonts w:ascii="Times New Roman" w:hAnsi="Times New Roman"/>
          <w:color w:val="1F2937"/>
          <w:sz w:val="23"/>
        </w:rPr>
        <w:t>Extracts the vulnerable source code snippet, framework bindings (SQLAlchemy, Express, FastAPI), target line numbers, CWE identifier, and injected adversary payload.</w:t>
      </w:r>
    </w:p>
    <w:p>
      <w:pPr>
        <w:pStyle w:val="ListBullet"/>
        <w:spacing w:line="276" w:lineRule="auto" w:after="80"/>
        <w:jc w:val="left"/>
      </w:pPr>
      <w:r>
        <w:rPr>
          <w:rFonts w:ascii="Times New Roman" w:hAnsi="Times New Roman"/>
          <w:b/>
          <w:color w:val="111827"/>
          <w:sz w:val="23"/>
        </w:rPr>
        <w:t xml:space="preserve">Phase 2 - Context-Aware Prompt Construction: </w:t>
      </w:r>
      <w:r>
        <w:rPr>
          <w:rFonts w:ascii="Times New Roman" w:hAnsi="Times New Roman"/>
          <w:color w:val="1F2937"/>
          <w:sz w:val="23"/>
        </w:rPr>
        <w:t>Formulates a structured prompt enforcing strict unified diff syntax, security encoding patterns (Context-Aware Output Encoding, Prepared Statements), and JSON schemas.</w:t>
      </w:r>
    </w:p>
    <w:p>
      <w:pPr>
        <w:pStyle w:val="ListBullet"/>
        <w:spacing w:line="276" w:lineRule="auto" w:after="80"/>
        <w:jc w:val="left"/>
      </w:pPr>
      <w:r>
        <w:rPr>
          <w:rFonts w:ascii="Times New Roman" w:hAnsi="Times New Roman"/>
          <w:b/>
          <w:color w:val="111827"/>
          <w:sz w:val="23"/>
        </w:rPr>
        <w:t xml:space="preserve">Phase 3 - Model Invocation (Gemini 3.6 Flash): </w:t>
      </w:r>
      <w:r>
        <w:rPr>
          <w:rFonts w:ascii="Times New Roman" w:hAnsi="Times New Roman"/>
          <w:color w:val="1F2937"/>
          <w:sz w:val="23"/>
        </w:rPr>
        <w:t>Dispatches the prompt to Google Gemini 3.6 Flash using temperature=0.2 to minimize hallucination and maximize deterministic code precision. Supports Bring Your Own Key (BYOK) authorization.</w:t>
      </w:r>
    </w:p>
    <w:p>
      <w:pPr>
        <w:pStyle w:val="ListBullet"/>
        <w:spacing w:line="276" w:lineRule="auto" w:after="80"/>
        <w:jc w:val="left"/>
      </w:pPr>
      <w:r>
        <w:rPr>
          <w:rFonts w:ascii="Times New Roman" w:hAnsi="Times New Roman"/>
          <w:b/>
          <w:color w:val="111827"/>
          <w:sz w:val="23"/>
        </w:rPr>
        <w:t xml:space="preserve">Phase 4 - Diff Validation &amp; AST Parsing: </w:t>
      </w:r>
      <w:r>
        <w:rPr>
          <w:rFonts w:ascii="Times New Roman" w:hAnsi="Times New Roman"/>
          <w:color w:val="1F2937"/>
          <w:sz w:val="23"/>
        </w:rPr>
        <w:t>Validates that the returned diff conforms to standard patch formats. If parsing succeeds, the diff is highlighted and staged.</w:t>
      </w:r>
    </w:p>
    <w:p>
      <w:pPr>
        <w:pStyle w:val="ListBullet"/>
        <w:spacing w:line="276" w:lineRule="auto" w:after="80"/>
        <w:jc w:val="left"/>
      </w:pPr>
      <w:r>
        <w:rPr>
          <w:rFonts w:ascii="Times New Roman" w:hAnsi="Times New Roman"/>
          <w:b/>
          <w:color w:val="111827"/>
          <w:sz w:val="23"/>
        </w:rPr>
        <w:t xml:space="preserve">Phase 5 - Deterministic Fallback Engine: </w:t>
      </w:r>
      <w:r>
        <w:rPr>
          <w:rFonts w:ascii="Times New Roman" w:hAnsi="Times New Roman"/>
          <w:color w:val="1F2937"/>
          <w:sz w:val="23"/>
        </w:rPr>
        <w:t>If network connectivity fails or API rate limits are exceeded, an offline rule-based AST security template generator automatically produces verified fixes.</w:t>
      </w:r>
    </w:p>
    <w:p>
      <w:pPr>
        <w:pStyle w:val="ListBullet"/>
        <w:spacing w:line="276" w:lineRule="auto" w:after="80"/>
        <w:jc w:val="left"/>
      </w:pPr>
      <w:r>
        <w:rPr>
          <w:rFonts w:ascii="Times New Roman" w:hAnsi="Times New Roman"/>
          <w:b/>
          <w:color w:val="111827"/>
          <w:sz w:val="23"/>
        </w:rPr>
        <w:t xml:space="preserve">Phase 6 - Downstream CI/CD Packaging: </w:t>
      </w:r>
      <w:r>
        <w:rPr>
          <w:rFonts w:ascii="Times New Roman" w:hAnsi="Times New Roman"/>
          <w:color w:val="1F2937"/>
          <w:sz w:val="23"/>
        </w:rPr>
        <w:t>Packages the validated patch into a GitHub Pull Request payload or Jira issue with CVSS scoring and reproduction steps.</w:t>
      </w:r>
    </w:p>
    <w:p>
      <w:r>
        <w:br w:type="page"/>
      </w:r>
    </w:p>
    <w:p>
      <w:pPr>
        <w:keepNext/>
        <w:spacing w:before="280" w:after="120"/>
      </w:pPr>
      <w:r>
        <w:rPr>
          <w:rFonts w:ascii="Times New Roman" w:hAnsi="Times New Roman"/>
          <w:b/>
          <w:color w:val="111827"/>
          <w:sz w:val="32"/>
        </w:rPr>
        <w:t>4.5 Security Issues &amp; Defensive Countermeasures</w:t>
      </w:r>
    </w:p>
    <w:p>
      <w:pPr>
        <w:spacing w:line="276" w:lineRule="auto" w:after="120"/>
        <w:jc w:val="both"/>
      </w:pPr>
      <w:r>
        <w:rPr>
          <w:rFonts w:ascii="Times New Roman" w:hAnsi="Times New Roman"/>
          <w:color w:val="1F2937"/>
          <w:sz w:val="24"/>
        </w:rPr>
        <w:t>Because SentroniX operates as a Purple Team platform capable of simulating high-impact exploit vectors, the platform itself presents unique security considerations. The architecture incorporates stringent defense-in-depth countermeasures to ensure that simulated attack capabilities cannot be weaponized or compromised.</w:t>
      </w:r>
    </w:p>
    <w:p>
      <w:pPr>
        <w:pStyle w:val="ListBullet"/>
        <w:spacing w:line="276" w:lineRule="auto" w:after="80"/>
        <w:jc w:val="left"/>
      </w:pPr>
      <w:r>
        <w:rPr>
          <w:rFonts w:ascii="Times New Roman" w:hAnsi="Times New Roman"/>
          <w:b/>
          <w:color w:val="111827"/>
          <w:sz w:val="23"/>
        </w:rPr>
        <w:t xml:space="preserve">1. Safe Adversary Emulation &amp; Sandboxing: </w:t>
      </w:r>
      <w:r>
        <w:rPr>
          <w:rFonts w:ascii="Times New Roman" w:hAnsi="Times New Roman"/>
          <w:color w:val="1F2937"/>
          <w:sz w:val="23"/>
        </w:rPr>
        <w:t>All Red Team attack vectors are executed with non-destructive payloads (e.g., boolean tautologies, reflected alert tokens, and loopback metadata requests). Simulated strikes are restricted to explicit loopback addresses or authorized operator-provided staging endpoints.</w:t>
      </w:r>
    </w:p>
    <w:p>
      <w:pPr>
        <w:pStyle w:val="ListBullet"/>
        <w:spacing w:line="276" w:lineRule="auto" w:after="80"/>
        <w:jc w:val="left"/>
      </w:pPr>
      <w:r>
        <w:rPr>
          <w:rFonts w:ascii="Times New Roman" w:hAnsi="Times New Roman"/>
          <w:b/>
          <w:color w:val="111827"/>
          <w:sz w:val="23"/>
        </w:rPr>
        <w:t xml:space="preserve">2. API Authentication &amp; Role-Based Access Control (RBAC): </w:t>
      </w:r>
      <w:r>
        <w:rPr>
          <w:rFonts w:ascii="Times New Roman" w:hAnsi="Times New Roman"/>
          <w:color w:val="1F2937"/>
          <w:sz w:val="23"/>
        </w:rPr>
        <w:t>API endpoints are secured using JSON Web Tokens (JWT) with HMAC-SHA256 signatures. High-privilege actions (WAF rule disabling, live fuzzer execution) require administrative roles.</w:t>
      </w:r>
    </w:p>
    <w:p>
      <w:pPr>
        <w:pStyle w:val="ListBullet"/>
        <w:spacing w:line="276" w:lineRule="auto" w:after="80"/>
        <w:jc w:val="left"/>
      </w:pPr>
      <w:r>
        <w:rPr>
          <w:rFonts w:ascii="Times New Roman" w:hAnsi="Times New Roman"/>
          <w:b/>
          <w:color w:val="111827"/>
          <w:sz w:val="23"/>
        </w:rPr>
        <w:t xml:space="preserve">3. Discord Channel Permission Isolation: </w:t>
      </w:r>
      <w:r>
        <w:rPr>
          <w:rFonts w:ascii="Times New Roman" w:hAnsi="Times New Roman"/>
          <w:color w:val="1F2937"/>
          <w:sz w:val="23"/>
        </w:rPr>
        <w:t>Vulnerability alerts containing sensitive CWE and source code diffs are strictly restricted to private administrative channels (#mod-security-alerts). Permission overrides deny access to @everyone to prevent threat intelligence leakage.</w:t>
      </w:r>
    </w:p>
    <w:p>
      <w:pPr>
        <w:pStyle w:val="ListBullet"/>
        <w:spacing w:line="276" w:lineRule="auto" w:after="80"/>
        <w:jc w:val="left"/>
      </w:pPr>
      <w:r>
        <w:rPr>
          <w:rFonts w:ascii="Times New Roman" w:hAnsi="Times New Roman"/>
          <w:b/>
          <w:color w:val="111827"/>
          <w:sz w:val="23"/>
        </w:rPr>
        <w:t xml:space="preserve">4. Protection of Bring-Your-Own-Key (BYOK) Secrets: </w:t>
      </w:r>
      <w:r>
        <w:rPr>
          <w:rFonts w:ascii="Times New Roman" w:hAnsi="Times New Roman"/>
          <w:color w:val="1F2937"/>
          <w:sz w:val="23"/>
        </w:rPr>
        <w:t>User-supplied Gemini API keys and GitHub Personal Access Tokens (PAT) are stored exclusively in client-side localStorage or passed via encrypted HTTPS request headers. Tokens are never written to unencrypted database tables or persistent server log files.</w:t>
      </w:r>
    </w:p>
    <w:p>
      <w:pPr>
        <w:pStyle w:val="ListBullet"/>
        <w:spacing w:line="276" w:lineRule="auto" w:after="80"/>
        <w:jc w:val="left"/>
      </w:pPr>
      <w:r>
        <w:rPr>
          <w:rFonts w:ascii="Times New Roman" w:hAnsi="Times New Roman"/>
          <w:b/>
          <w:color w:val="111827"/>
          <w:sz w:val="23"/>
        </w:rPr>
        <w:t xml:space="preserve">5. Host Antivirus &amp; Real-Time EDR Signature Coexistence: </w:t>
      </w:r>
      <w:r>
        <w:rPr>
          <w:rFonts w:ascii="Times New Roman" w:hAnsi="Times New Roman"/>
          <w:color w:val="1F2937"/>
          <w:sz w:val="23"/>
        </w:rPr>
        <w:t>Adversary testing libraries (PayloadsAllTheThings / SecLists) contain static exploit strings that can trigger host antivirus false positives (e.g., Backdoor:PHP/Perhetshell). SentroniX containerizes all payload execution within isolated Docker volumes and uses standard sanitization to prevent host filesystem contamination.</w:t>
      </w:r>
    </w:p>
    <w:p>
      <w:r>
        <w:br w:type="page"/>
      </w:r>
    </w:p>
    <w:p>
      <w:pPr>
        <w:keepNext/>
        <w:spacing w:before="280" w:after="120"/>
      </w:pPr>
      <w:r>
        <w:rPr>
          <w:rFonts w:ascii="Times New Roman" w:hAnsi="Times New Roman"/>
          <w:b/>
          <w:color w:val="111827"/>
          <w:sz w:val="32"/>
        </w:rPr>
        <w:t>4.6 Test Cases Design</w:t>
      </w:r>
    </w:p>
    <w:p>
      <w:pPr>
        <w:spacing w:line="276" w:lineRule="auto" w:after="120"/>
        <w:jc w:val="both"/>
      </w:pPr>
      <w:r>
        <w:rPr>
          <w:rFonts w:ascii="Times New Roman" w:hAnsi="Times New Roman"/>
          <w:color w:val="1F2937"/>
          <w:sz w:val="24"/>
        </w:rPr>
        <w:t>A comprehensive test case design matrix was formulated to validate both positive (functional) and negative (adversarial &amp; boundary) conditions across all platform components. The matrix ensures 100% test coverage across offensive simulation, defensive WAF containment, and automated pull request generation.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152"/>
            <w:shd w:fill="1E3A8A"/>
            <w:tcMar>
              <w:top w:w="120" w:type="dxa"/>
              <w:bottom w:w="120" w:type="dxa"/>
              <w:left w:w="100" w:type="dxa"/>
              <w:right w:w="100" w:type="dxa"/>
            </w:tcMar>
          </w:tcPr>
          <w:p>
            <w:r>
              <w:rPr>
                <w:rFonts w:ascii="Times New Roman" w:hAnsi="Times New Roman"/>
                <w:b/>
                <w:color w:val="FFFFFF"/>
                <w:sz w:val="19"/>
              </w:rPr>
              <w:t>Test ID</w:t>
            </w:r>
          </w:p>
        </w:tc>
        <w:tc>
          <w:tcPr>
            <w:tcW w:type="dxa" w:w="1152"/>
            <w:shd w:fill="1E3A8A"/>
            <w:tcMar>
              <w:top w:w="120" w:type="dxa"/>
              <w:bottom w:w="120" w:type="dxa"/>
              <w:left w:w="100" w:type="dxa"/>
              <w:right w:w="100" w:type="dxa"/>
            </w:tcMar>
          </w:tcPr>
          <w:p>
            <w:r>
              <w:rPr>
                <w:rFonts w:ascii="Times New Roman" w:hAnsi="Times New Roman"/>
                <w:b/>
                <w:color w:val="FFFFFF"/>
                <w:sz w:val="19"/>
              </w:rPr>
              <w:t>Type</w:t>
            </w:r>
          </w:p>
        </w:tc>
        <w:tc>
          <w:tcPr>
            <w:tcW w:type="dxa" w:w="1584"/>
            <w:shd w:fill="1E3A8A"/>
            <w:tcMar>
              <w:top w:w="120" w:type="dxa"/>
              <w:bottom w:w="120" w:type="dxa"/>
              <w:left w:w="100" w:type="dxa"/>
              <w:right w:w="100" w:type="dxa"/>
            </w:tcMar>
          </w:tcPr>
          <w:p>
            <w:r>
              <w:rPr>
                <w:rFonts w:ascii="Times New Roman" w:hAnsi="Times New Roman"/>
                <w:b/>
                <w:color w:val="FFFFFF"/>
                <w:sz w:val="19"/>
              </w:rPr>
              <w:t>Component</w:t>
            </w:r>
          </w:p>
        </w:tc>
        <w:tc>
          <w:tcPr>
            <w:tcW w:type="dxa" w:w="2448"/>
            <w:shd w:fill="1E3A8A"/>
            <w:tcMar>
              <w:top w:w="120" w:type="dxa"/>
              <w:bottom w:w="120" w:type="dxa"/>
              <w:left w:w="100" w:type="dxa"/>
              <w:right w:w="100" w:type="dxa"/>
            </w:tcMar>
          </w:tcPr>
          <w:p>
            <w:r>
              <w:rPr>
                <w:rFonts w:ascii="Times New Roman" w:hAnsi="Times New Roman"/>
                <w:b/>
                <w:color w:val="FFFFFF"/>
                <w:sz w:val="19"/>
              </w:rPr>
              <w:t>Test Objective</w:t>
            </w:r>
          </w:p>
        </w:tc>
        <w:tc>
          <w:tcPr>
            <w:tcW w:type="dxa" w:w="2016"/>
            <w:shd w:fill="1E3A8A"/>
            <w:tcMar>
              <w:top w:w="120" w:type="dxa"/>
              <w:bottom w:w="120" w:type="dxa"/>
              <w:left w:w="100" w:type="dxa"/>
              <w:right w:w="100" w:type="dxa"/>
            </w:tcMar>
          </w:tcPr>
          <w:p>
            <w:r>
              <w:rPr>
                <w:rFonts w:ascii="Times New Roman" w:hAnsi="Times New Roman"/>
                <w:b/>
                <w:color w:val="FFFFFF"/>
                <w:sz w:val="19"/>
              </w:rPr>
              <w:t>Expected Outcome</w:t>
            </w:r>
          </w:p>
        </w:tc>
        <w:tc>
          <w:tcPr>
            <w:tcW w:type="dxa" w:w="1008"/>
            <w:shd w:fill="1E3A8A"/>
            <w:tcMar>
              <w:top w:w="120" w:type="dxa"/>
              <w:bottom w:w="120" w:type="dxa"/>
              <w:left w:w="100" w:type="dxa"/>
              <w:right w:w="100" w:type="dxa"/>
            </w:tcMar>
          </w:tcPr>
          <w:p>
            <w:r>
              <w:rPr>
                <w:rFonts w:ascii="Times New Roman" w:hAnsi="Times New Roman"/>
                <w:b/>
                <w:color w:val="FFFFFF"/>
                <w:sz w:val="19"/>
              </w:rPr>
              <w:t>Status</w:t>
            </w:r>
          </w:p>
        </w:tc>
      </w:tr>
      <w:tr>
        <w:tc>
          <w:tcPr>
            <w:tcW w:type="dxa" w:w="1152"/>
            <w:shd w:fill="F8FAFC"/>
            <w:tcMar>
              <w:top w:w="80" w:type="dxa"/>
              <w:bottom w:w="80" w:type="dxa"/>
              <w:left w:w="80" w:type="dxa"/>
              <w:right w:w="80" w:type="dxa"/>
            </w:tcMar>
          </w:tcPr>
          <w:p>
            <w:r>
              <w:rPr>
                <w:rFonts w:ascii="Times New Roman" w:hAnsi="Times New Roman"/>
                <w:sz w:val="17"/>
              </w:rPr>
              <w:t>TC-POS-01</w:t>
            </w:r>
          </w:p>
        </w:tc>
        <w:tc>
          <w:tcPr>
            <w:tcW w:type="dxa" w:w="1152"/>
            <w:shd w:fill="F8FAFC"/>
            <w:tcMar>
              <w:top w:w="80" w:type="dxa"/>
              <w:bottom w:w="80" w:type="dxa"/>
              <w:left w:w="80" w:type="dxa"/>
              <w:right w:w="80" w:type="dxa"/>
            </w:tcMar>
          </w:tcPr>
          <w:p>
            <w:r>
              <w:rPr>
                <w:rFonts w:ascii="Times New Roman" w:hAnsi="Times New Roman"/>
                <w:sz w:val="17"/>
              </w:rPr>
              <w:t>Positive</w:t>
            </w:r>
          </w:p>
        </w:tc>
        <w:tc>
          <w:tcPr>
            <w:tcW w:type="dxa" w:w="1584"/>
            <w:shd w:fill="F8FAFC"/>
            <w:tcMar>
              <w:top w:w="80" w:type="dxa"/>
              <w:bottom w:w="80" w:type="dxa"/>
              <w:left w:w="80" w:type="dxa"/>
              <w:right w:w="80" w:type="dxa"/>
            </w:tcMar>
          </w:tcPr>
          <w:p>
            <w:r>
              <w:rPr>
                <w:rFonts w:ascii="Times New Roman" w:hAnsi="Times New Roman"/>
                <w:sz w:val="17"/>
              </w:rPr>
              <w:t>Red Team</w:t>
            </w:r>
          </w:p>
        </w:tc>
        <w:tc>
          <w:tcPr>
            <w:tcW w:type="dxa" w:w="2448"/>
            <w:shd w:fill="F8FAFC"/>
            <w:tcMar>
              <w:top w:w="80" w:type="dxa"/>
              <w:bottom w:w="80" w:type="dxa"/>
              <w:left w:w="80" w:type="dxa"/>
              <w:right w:w="80" w:type="dxa"/>
            </w:tcMar>
          </w:tcPr>
          <w:p>
            <w:r>
              <w:rPr>
                <w:rFonts w:ascii="Times New Roman" w:hAnsi="Times New Roman"/>
                <w:sz w:val="17"/>
              </w:rPr>
              <w:t>SQLi Auth Bypass Simulation</w:t>
            </w:r>
          </w:p>
        </w:tc>
        <w:tc>
          <w:tcPr>
            <w:tcW w:type="dxa" w:w="2016"/>
            <w:shd w:fill="F8FAFC"/>
            <w:tcMar>
              <w:top w:w="80" w:type="dxa"/>
              <w:bottom w:w="80" w:type="dxa"/>
              <w:left w:w="80" w:type="dxa"/>
              <w:right w:w="80" w:type="dxa"/>
            </w:tcMar>
          </w:tcPr>
          <w:p>
            <w:r>
              <w:rPr>
                <w:rFonts w:ascii="Times New Roman" w:hAnsi="Times New Roman"/>
                <w:sz w:val="17"/>
              </w:rPr>
              <w:t>Payload blocked by AST rule; HTTP 403 logged in &lt;50ms.</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TC-POS-02</w:t>
            </w:r>
          </w:p>
        </w:tc>
        <w:tc>
          <w:tcPr>
            <w:tcW w:type="dxa" w:w="1152"/>
            <w:shd w:fill="F8FAFC"/>
            <w:tcMar>
              <w:top w:w="80" w:type="dxa"/>
              <w:bottom w:w="80" w:type="dxa"/>
              <w:left w:w="80" w:type="dxa"/>
              <w:right w:w="80" w:type="dxa"/>
            </w:tcMar>
          </w:tcPr>
          <w:p>
            <w:r>
              <w:rPr>
                <w:rFonts w:ascii="Times New Roman" w:hAnsi="Times New Roman"/>
                <w:sz w:val="17"/>
              </w:rPr>
              <w:t>Positive</w:t>
            </w:r>
          </w:p>
        </w:tc>
        <w:tc>
          <w:tcPr>
            <w:tcW w:type="dxa" w:w="1584"/>
            <w:shd w:fill="F8FAFC"/>
            <w:tcMar>
              <w:top w:w="80" w:type="dxa"/>
              <w:bottom w:w="80" w:type="dxa"/>
              <w:left w:w="80" w:type="dxa"/>
              <w:right w:w="80" w:type="dxa"/>
            </w:tcMar>
          </w:tcPr>
          <w:p>
            <w:r>
              <w:rPr>
                <w:rFonts w:ascii="Times New Roman" w:hAnsi="Times New Roman"/>
                <w:sz w:val="17"/>
              </w:rPr>
              <w:t>Live Fuzzer</w:t>
            </w:r>
          </w:p>
        </w:tc>
        <w:tc>
          <w:tcPr>
            <w:tcW w:type="dxa" w:w="2448"/>
            <w:shd w:fill="F8FAFC"/>
            <w:tcMar>
              <w:top w:w="80" w:type="dxa"/>
              <w:bottom w:w="80" w:type="dxa"/>
              <w:left w:w="80" w:type="dxa"/>
              <w:right w:w="80" w:type="dxa"/>
            </w:tcMar>
          </w:tcPr>
          <w:p>
            <w:r>
              <w:rPr>
                <w:rFonts w:ascii="Times New Roman" w:hAnsi="Times New Roman"/>
                <w:sz w:val="17"/>
              </w:rPr>
              <w:t>Custom Target Endpoint Scan</w:t>
            </w:r>
          </w:p>
        </w:tc>
        <w:tc>
          <w:tcPr>
            <w:tcW w:type="dxa" w:w="2016"/>
            <w:shd w:fill="F8FAFC"/>
            <w:tcMar>
              <w:top w:w="80" w:type="dxa"/>
              <w:bottom w:w="80" w:type="dxa"/>
              <w:left w:w="80" w:type="dxa"/>
              <w:right w:w="80" w:type="dxa"/>
            </w:tcMar>
          </w:tcPr>
          <w:p>
            <w:r>
              <w:rPr>
                <w:rFonts w:ascii="Times New Roman" w:hAnsi="Times New Roman"/>
                <w:sz w:val="17"/>
              </w:rPr>
              <w:t>5 vectors dispatched; status codes &amp; latency recorded.</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TC-POS-03</w:t>
            </w:r>
          </w:p>
        </w:tc>
        <w:tc>
          <w:tcPr>
            <w:tcW w:type="dxa" w:w="1152"/>
            <w:shd w:fill="F8FAFC"/>
            <w:tcMar>
              <w:top w:w="80" w:type="dxa"/>
              <w:bottom w:w="80" w:type="dxa"/>
              <w:left w:w="80" w:type="dxa"/>
              <w:right w:w="80" w:type="dxa"/>
            </w:tcMar>
          </w:tcPr>
          <w:p>
            <w:r>
              <w:rPr>
                <w:rFonts w:ascii="Times New Roman" w:hAnsi="Times New Roman"/>
                <w:sz w:val="17"/>
              </w:rPr>
              <w:t>Positive</w:t>
            </w:r>
          </w:p>
        </w:tc>
        <w:tc>
          <w:tcPr>
            <w:tcW w:type="dxa" w:w="1584"/>
            <w:shd w:fill="F8FAFC"/>
            <w:tcMar>
              <w:top w:w="80" w:type="dxa"/>
              <w:bottom w:w="80" w:type="dxa"/>
              <w:left w:w="80" w:type="dxa"/>
              <w:right w:w="80" w:type="dxa"/>
            </w:tcMar>
          </w:tcPr>
          <w:p>
            <w:r>
              <w:rPr>
                <w:rFonts w:ascii="Times New Roman" w:hAnsi="Times New Roman"/>
                <w:sz w:val="17"/>
              </w:rPr>
              <w:t>AI Engine</w:t>
            </w:r>
          </w:p>
        </w:tc>
        <w:tc>
          <w:tcPr>
            <w:tcW w:type="dxa" w:w="2448"/>
            <w:shd w:fill="F8FAFC"/>
            <w:tcMar>
              <w:top w:w="80" w:type="dxa"/>
              <w:bottom w:w="80" w:type="dxa"/>
              <w:left w:w="80" w:type="dxa"/>
              <w:right w:w="80" w:type="dxa"/>
            </w:tcMar>
          </w:tcPr>
          <w:p>
            <w:r>
              <w:rPr>
                <w:rFonts w:ascii="Times New Roman" w:hAnsi="Times New Roman"/>
                <w:sz w:val="17"/>
              </w:rPr>
              <w:t>Gemini Unified Diff Generation</w:t>
            </w:r>
          </w:p>
        </w:tc>
        <w:tc>
          <w:tcPr>
            <w:tcW w:type="dxa" w:w="2016"/>
            <w:shd w:fill="F8FAFC"/>
            <w:tcMar>
              <w:top w:w="80" w:type="dxa"/>
              <w:bottom w:w="80" w:type="dxa"/>
              <w:left w:w="80" w:type="dxa"/>
              <w:right w:w="80" w:type="dxa"/>
            </w:tcMar>
          </w:tcPr>
          <w:p>
            <w:r>
              <w:rPr>
                <w:rFonts w:ascii="Times New Roman" w:hAnsi="Times New Roman"/>
                <w:sz w:val="17"/>
              </w:rPr>
              <w:t>Valid unified git diff with syntax colors rendered.</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TC-POS-04</w:t>
            </w:r>
          </w:p>
        </w:tc>
        <w:tc>
          <w:tcPr>
            <w:tcW w:type="dxa" w:w="1152"/>
            <w:shd w:fill="F8FAFC"/>
            <w:tcMar>
              <w:top w:w="80" w:type="dxa"/>
              <w:bottom w:w="80" w:type="dxa"/>
              <w:left w:w="80" w:type="dxa"/>
              <w:right w:w="80" w:type="dxa"/>
            </w:tcMar>
          </w:tcPr>
          <w:p>
            <w:r>
              <w:rPr>
                <w:rFonts w:ascii="Times New Roman" w:hAnsi="Times New Roman"/>
                <w:sz w:val="17"/>
              </w:rPr>
              <w:t>Positive</w:t>
            </w:r>
          </w:p>
        </w:tc>
        <w:tc>
          <w:tcPr>
            <w:tcW w:type="dxa" w:w="1584"/>
            <w:shd w:fill="F8FAFC"/>
            <w:tcMar>
              <w:top w:w="80" w:type="dxa"/>
              <w:bottom w:w="80" w:type="dxa"/>
              <w:left w:w="80" w:type="dxa"/>
              <w:right w:w="80" w:type="dxa"/>
            </w:tcMar>
          </w:tcPr>
          <w:p>
            <w:r>
              <w:rPr>
                <w:rFonts w:ascii="Times New Roman" w:hAnsi="Times New Roman"/>
                <w:sz w:val="17"/>
              </w:rPr>
              <w:t>GitHub PR</w:t>
            </w:r>
          </w:p>
        </w:tc>
        <w:tc>
          <w:tcPr>
            <w:tcW w:type="dxa" w:w="2448"/>
            <w:shd w:fill="F8FAFC"/>
            <w:tcMar>
              <w:top w:w="80" w:type="dxa"/>
              <w:bottom w:w="80" w:type="dxa"/>
              <w:left w:w="80" w:type="dxa"/>
              <w:right w:w="80" w:type="dxa"/>
            </w:tcMar>
          </w:tcPr>
          <w:p>
            <w:r>
              <w:rPr>
                <w:rFonts w:ascii="Times New Roman" w:hAnsi="Times New Roman"/>
                <w:sz w:val="17"/>
              </w:rPr>
              <w:t>Automated Remediation PR Creation</w:t>
            </w:r>
          </w:p>
        </w:tc>
        <w:tc>
          <w:tcPr>
            <w:tcW w:type="dxa" w:w="2016"/>
            <w:shd w:fill="F8FAFC"/>
            <w:tcMar>
              <w:top w:w="80" w:type="dxa"/>
              <w:bottom w:w="80" w:type="dxa"/>
              <w:left w:w="80" w:type="dxa"/>
              <w:right w:w="80" w:type="dxa"/>
            </w:tcMar>
          </w:tcPr>
          <w:p>
            <w:r>
              <w:rPr>
                <w:rFonts w:ascii="Times New Roman" w:hAnsi="Times New Roman"/>
                <w:sz w:val="17"/>
              </w:rPr>
              <w:t>Remote branch created; PR URL &amp; checkout command returned.</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TC-POS-05</w:t>
            </w:r>
          </w:p>
        </w:tc>
        <w:tc>
          <w:tcPr>
            <w:tcW w:type="dxa" w:w="1152"/>
            <w:shd w:fill="F8FAFC"/>
            <w:tcMar>
              <w:top w:w="80" w:type="dxa"/>
              <w:bottom w:w="80" w:type="dxa"/>
              <w:left w:w="80" w:type="dxa"/>
              <w:right w:w="80" w:type="dxa"/>
            </w:tcMar>
          </w:tcPr>
          <w:p>
            <w:r>
              <w:rPr>
                <w:rFonts w:ascii="Times New Roman" w:hAnsi="Times New Roman"/>
                <w:sz w:val="17"/>
              </w:rPr>
              <w:t>Positive</w:t>
            </w:r>
          </w:p>
        </w:tc>
        <w:tc>
          <w:tcPr>
            <w:tcW w:type="dxa" w:w="1584"/>
            <w:shd w:fill="F8FAFC"/>
            <w:tcMar>
              <w:top w:w="80" w:type="dxa"/>
              <w:bottom w:w="80" w:type="dxa"/>
              <w:left w:w="80" w:type="dxa"/>
              <w:right w:w="80" w:type="dxa"/>
            </w:tcMar>
          </w:tcPr>
          <w:p>
            <w:r>
              <w:rPr>
                <w:rFonts w:ascii="Times New Roman" w:hAnsi="Times New Roman"/>
                <w:sz w:val="17"/>
              </w:rPr>
              <w:t>Reports</w:t>
            </w:r>
          </w:p>
        </w:tc>
        <w:tc>
          <w:tcPr>
            <w:tcW w:type="dxa" w:w="2448"/>
            <w:shd w:fill="F8FAFC"/>
            <w:tcMar>
              <w:top w:w="80" w:type="dxa"/>
              <w:bottom w:w="80" w:type="dxa"/>
              <w:left w:w="80" w:type="dxa"/>
              <w:right w:w="80" w:type="dxa"/>
            </w:tcMar>
          </w:tcPr>
          <w:p>
            <w:r>
              <w:rPr>
                <w:rFonts w:ascii="Times New Roman" w:hAnsi="Times New Roman"/>
                <w:sz w:val="17"/>
              </w:rPr>
              <w:t>Executive PDF Compliance Export</w:t>
            </w:r>
          </w:p>
        </w:tc>
        <w:tc>
          <w:tcPr>
            <w:tcW w:type="dxa" w:w="2016"/>
            <w:shd w:fill="F8FAFC"/>
            <w:tcMar>
              <w:top w:w="80" w:type="dxa"/>
              <w:bottom w:w="80" w:type="dxa"/>
              <w:left w:w="80" w:type="dxa"/>
              <w:right w:w="80" w:type="dxa"/>
            </w:tcMar>
          </w:tcPr>
          <w:p>
            <w:r>
              <w:rPr>
                <w:rFonts w:ascii="Times New Roman" w:hAnsi="Times New Roman"/>
                <w:sz w:val="17"/>
              </w:rPr>
              <w:t>Printable audit modal rendered with CISO signature block.</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TC-NEG-01</w:t>
            </w:r>
          </w:p>
        </w:tc>
        <w:tc>
          <w:tcPr>
            <w:tcW w:type="dxa" w:w="1152"/>
            <w:shd w:fill="FEE2E2"/>
            <w:tcMar>
              <w:top w:w="80" w:type="dxa"/>
              <w:bottom w:w="80" w:type="dxa"/>
              <w:left w:w="80" w:type="dxa"/>
              <w:right w:w="80" w:type="dxa"/>
            </w:tcMar>
          </w:tcPr>
          <w:p>
            <w:r>
              <w:rPr>
                <w:rFonts w:ascii="Times New Roman" w:hAnsi="Times New Roman"/>
                <w:color w:val="991B1B"/>
                <w:sz w:val="17"/>
              </w:rPr>
              <w:t>Negative</w:t>
            </w:r>
          </w:p>
        </w:tc>
        <w:tc>
          <w:tcPr>
            <w:tcW w:type="dxa" w:w="1584"/>
            <w:shd w:fill="F8FAFC"/>
            <w:tcMar>
              <w:top w:w="80" w:type="dxa"/>
              <w:bottom w:w="80" w:type="dxa"/>
              <w:left w:w="80" w:type="dxa"/>
              <w:right w:w="80" w:type="dxa"/>
            </w:tcMar>
          </w:tcPr>
          <w:p>
            <w:r>
              <w:rPr>
                <w:rFonts w:ascii="Times New Roman" w:hAnsi="Times New Roman"/>
                <w:sz w:val="17"/>
              </w:rPr>
              <w:t>Live Fuzzer</w:t>
            </w:r>
          </w:p>
        </w:tc>
        <w:tc>
          <w:tcPr>
            <w:tcW w:type="dxa" w:w="2448"/>
            <w:shd w:fill="F8FAFC"/>
            <w:tcMar>
              <w:top w:w="80" w:type="dxa"/>
              <w:bottom w:w="80" w:type="dxa"/>
              <w:left w:w="80" w:type="dxa"/>
              <w:right w:w="80" w:type="dxa"/>
            </w:tcMar>
          </w:tcPr>
          <w:p>
            <w:r>
              <w:rPr>
                <w:rFonts w:ascii="Times New Roman" w:hAnsi="Times New Roman"/>
                <w:sz w:val="17"/>
              </w:rPr>
              <w:t>Unreachable Target URL / Timeout</w:t>
            </w:r>
          </w:p>
        </w:tc>
        <w:tc>
          <w:tcPr>
            <w:tcW w:type="dxa" w:w="2016"/>
            <w:shd w:fill="F8FAFC"/>
            <w:tcMar>
              <w:top w:w="80" w:type="dxa"/>
              <w:bottom w:w="80" w:type="dxa"/>
              <w:left w:w="80" w:type="dxa"/>
              <w:right w:w="80" w:type="dxa"/>
            </w:tcMar>
          </w:tcPr>
          <w:p>
            <w:r>
              <w:rPr>
                <w:rFonts w:ascii="Times New Roman" w:hAnsi="Times New Roman"/>
                <w:sz w:val="17"/>
              </w:rPr>
              <w:t>Gracefully catches timeout; reports Host Unreachable without crash.</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TC-NEG-02</w:t>
            </w:r>
          </w:p>
        </w:tc>
        <w:tc>
          <w:tcPr>
            <w:tcW w:type="dxa" w:w="1152"/>
            <w:shd w:fill="FEE2E2"/>
            <w:tcMar>
              <w:top w:w="80" w:type="dxa"/>
              <w:bottom w:w="80" w:type="dxa"/>
              <w:left w:w="80" w:type="dxa"/>
              <w:right w:w="80" w:type="dxa"/>
            </w:tcMar>
          </w:tcPr>
          <w:p>
            <w:r>
              <w:rPr>
                <w:rFonts w:ascii="Times New Roman" w:hAnsi="Times New Roman"/>
                <w:color w:val="991B1B"/>
                <w:sz w:val="17"/>
              </w:rPr>
              <w:t>Negative</w:t>
            </w:r>
          </w:p>
        </w:tc>
        <w:tc>
          <w:tcPr>
            <w:tcW w:type="dxa" w:w="1584"/>
            <w:shd w:fill="F8FAFC"/>
            <w:tcMar>
              <w:top w:w="80" w:type="dxa"/>
              <w:bottom w:w="80" w:type="dxa"/>
              <w:left w:w="80" w:type="dxa"/>
              <w:right w:w="80" w:type="dxa"/>
            </w:tcMar>
          </w:tcPr>
          <w:p>
            <w:r>
              <w:rPr>
                <w:rFonts w:ascii="Times New Roman" w:hAnsi="Times New Roman"/>
                <w:sz w:val="17"/>
              </w:rPr>
              <w:t>Live Fuzzer</w:t>
            </w:r>
          </w:p>
        </w:tc>
        <w:tc>
          <w:tcPr>
            <w:tcW w:type="dxa" w:w="2448"/>
            <w:shd w:fill="F8FAFC"/>
            <w:tcMar>
              <w:top w:w="80" w:type="dxa"/>
              <w:bottom w:w="80" w:type="dxa"/>
              <w:left w:w="80" w:type="dxa"/>
              <w:right w:w="80" w:type="dxa"/>
            </w:tcMar>
          </w:tcPr>
          <w:p>
            <w:r>
              <w:rPr>
                <w:rFonts w:ascii="Times New Roman" w:hAnsi="Times New Roman"/>
                <w:sz w:val="17"/>
              </w:rPr>
              <w:t>Missing Protocol Scheme in URL</w:t>
            </w:r>
          </w:p>
        </w:tc>
        <w:tc>
          <w:tcPr>
            <w:tcW w:type="dxa" w:w="2016"/>
            <w:shd w:fill="F8FAFC"/>
            <w:tcMar>
              <w:top w:w="80" w:type="dxa"/>
              <w:bottom w:w="80" w:type="dxa"/>
              <w:left w:w="80" w:type="dxa"/>
              <w:right w:w="80" w:type="dxa"/>
            </w:tcMar>
          </w:tcPr>
          <w:p>
            <w:r>
              <w:rPr>
                <w:rFonts w:ascii="Times New Roman" w:hAnsi="Times New Roman"/>
                <w:sz w:val="17"/>
              </w:rPr>
              <w:t>Auto-normalizes target URL with 'http://' prefix safely.</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TC-NEG-03</w:t>
            </w:r>
          </w:p>
        </w:tc>
        <w:tc>
          <w:tcPr>
            <w:tcW w:type="dxa" w:w="1152"/>
            <w:shd w:fill="FEE2E2"/>
            <w:tcMar>
              <w:top w:w="80" w:type="dxa"/>
              <w:bottom w:w="80" w:type="dxa"/>
              <w:left w:w="80" w:type="dxa"/>
              <w:right w:w="80" w:type="dxa"/>
            </w:tcMar>
          </w:tcPr>
          <w:p>
            <w:r>
              <w:rPr>
                <w:rFonts w:ascii="Times New Roman" w:hAnsi="Times New Roman"/>
                <w:color w:val="991B1B"/>
                <w:sz w:val="17"/>
              </w:rPr>
              <w:t>Negative</w:t>
            </w:r>
          </w:p>
        </w:tc>
        <w:tc>
          <w:tcPr>
            <w:tcW w:type="dxa" w:w="1584"/>
            <w:shd w:fill="F8FAFC"/>
            <w:tcMar>
              <w:top w:w="80" w:type="dxa"/>
              <w:bottom w:w="80" w:type="dxa"/>
              <w:left w:w="80" w:type="dxa"/>
              <w:right w:w="80" w:type="dxa"/>
            </w:tcMar>
          </w:tcPr>
          <w:p>
            <w:r>
              <w:rPr>
                <w:rFonts w:ascii="Times New Roman" w:hAnsi="Times New Roman"/>
                <w:sz w:val="17"/>
              </w:rPr>
              <w:t>WAF Sandbox</w:t>
            </w:r>
          </w:p>
        </w:tc>
        <w:tc>
          <w:tcPr>
            <w:tcW w:type="dxa" w:w="2448"/>
            <w:shd w:fill="F8FAFC"/>
            <w:tcMar>
              <w:top w:w="80" w:type="dxa"/>
              <w:bottom w:w="80" w:type="dxa"/>
              <w:left w:w="80" w:type="dxa"/>
              <w:right w:w="80" w:type="dxa"/>
            </w:tcMar>
          </w:tcPr>
          <w:p>
            <w:r>
              <w:rPr>
                <w:rFonts w:ascii="Times New Roman" w:hAnsi="Times New Roman"/>
                <w:sz w:val="17"/>
              </w:rPr>
              <w:t>Adversary Strike with Disabled WAF</w:t>
            </w:r>
          </w:p>
        </w:tc>
        <w:tc>
          <w:tcPr>
            <w:tcW w:type="dxa" w:w="2016"/>
            <w:shd w:fill="F8FAFC"/>
            <w:tcMar>
              <w:top w:w="80" w:type="dxa"/>
              <w:bottom w:w="80" w:type="dxa"/>
              <w:left w:w="80" w:type="dxa"/>
              <w:right w:w="80" w:type="dxa"/>
            </w:tcMar>
          </w:tcPr>
          <w:p>
            <w:r>
              <w:rPr>
                <w:rFonts w:ascii="Times New Roman" w:hAnsi="Times New Roman"/>
                <w:sz w:val="17"/>
              </w:rPr>
              <w:t>Correctly reports EXPLOIT BYPASSED and updates grade.</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TC-NEG-04</w:t>
            </w:r>
          </w:p>
        </w:tc>
        <w:tc>
          <w:tcPr>
            <w:tcW w:type="dxa" w:w="1152"/>
            <w:shd w:fill="FEE2E2"/>
            <w:tcMar>
              <w:top w:w="80" w:type="dxa"/>
              <w:bottom w:w="80" w:type="dxa"/>
              <w:left w:w="80" w:type="dxa"/>
              <w:right w:w="80" w:type="dxa"/>
            </w:tcMar>
          </w:tcPr>
          <w:p>
            <w:r>
              <w:rPr>
                <w:rFonts w:ascii="Times New Roman" w:hAnsi="Times New Roman"/>
                <w:color w:val="991B1B"/>
                <w:sz w:val="17"/>
              </w:rPr>
              <w:t>Negative</w:t>
            </w:r>
          </w:p>
        </w:tc>
        <w:tc>
          <w:tcPr>
            <w:tcW w:type="dxa" w:w="1584"/>
            <w:shd w:fill="F8FAFC"/>
            <w:tcMar>
              <w:top w:w="80" w:type="dxa"/>
              <w:bottom w:w="80" w:type="dxa"/>
              <w:left w:w="80" w:type="dxa"/>
              <w:right w:w="80" w:type="dxa"/>
            </w:tcMar>
          </w:tcPr>
          <w:p>
            <w:r>
              <w:rPr>
                <w:rFonts w:ascii="Times New Roman" w:hAnsi="Times New Roman"/>
                <w:sz w:val="17"/>
              </w:rPr>
              <w:t>AI Engine</w:t>
            </w:r>
          </w:p>
        </w:tc>
        <w:tc>
          <w:tcPr>
            <w:tcW w:type="dxa" w:w="2448"/>
            <w:shd w:fill="F8FAFC"/>
            <w:tcMar>
              <w:top w:w="80" w:type="dxa"/>
              <w:bottom w:w="80" w:type="dxa"/>
              <w:left w:w="80" w:type="dxa"/>
              <w:right w:w="80" w:type="dxa"/>
            </w:tcMar>
          </w:tcPr>
          <w:p>
            <w:r>
              <w:rPr>
                <w:rFonts w:ascii="Times New Roman" w:hAnsi="Times New Roman"/>
                <w:sz w:val="17"/>
              </w:rPr>
              <w:t>Missing / Rate-Limited Gemini Key</w:t>
            </w:r>
          </w:p>
        </w:tc>
        <w:tc>
          <w:tcPr>
            <w:tcW w:type="dxa" w:w="2016"/>
            <w:shd w:fill="F8FAFC"/>
            <w:tcMar>
              <w:top w:w="80" w:type="dxa"/>
              <w:bottom w:w="80" w:type="dxa"/>
              <w:left w:w="80" w:type="dxa"/>
              <w:right w:w="80" w:type="dxa"/>
            </w:tcMar>
          </w:tcPr>
          <w:p>
            <w:r>
              <w:rPr>
                <w:rFonts w:ascii="Times New Roman" w:hAnsi="Times New Roman"/>
                <w:sz w:val="17"/>
              </w:rPr>
              <w:t>Falls back to deterministic offline AST security ruleset.</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r>
        <w:tc>
          <w:tcPr>
            <w:tcW w:type="dxa" w:w="1152"/>
            <w:shd w:fill="F8FAFC"/>
            <w:tcMar>
              <w:top w:w="80" w:type="dxa"/>
              <w:bottom w:w="80" w:type="dxa"/>
              <w:left w:w="80" w:type="dxa"/>
              <w:right w:w="80" w:type="dxa"/>
            </w:tcMar>
          </w:tcPr>
          <w:p>
            <w:r>
              <w:rPr>
                <w:rFonts w:ascii="Times New Roman" w:hAnsi="Times New Roman"/>
                <w:sz w:val="17"/>
              </w:rPr>
              <w:t>TC-NEG-05</w:t>
            </w:r>
          </w:p>
        </w:tc>
        <w:tc>
          <w:tcPr>
            <w:tcW w:type="dxa" w:w="1152"/>
            <w:shd w:fill="FEE2E2"/>
            <w:tcMar>
              <w:top w:w="80" w:type="dxa"/>
              <w:bottom w:w="80" w:type="dxa"/>
              <w:left w:w="80" w:type="dxa"/>
              <w:right w:w="80" w:type="dxa"/>
            </w:tcMar>
          </w:tcPr>
          <w:p>
            <w:r>
              <w:rPr>
                <w:rFonts w:ascii="Times New Roman" w:hAnsi="Times New Roman"/>
                <w:color w:val="991B1B"/>
                <w:sz w:val="17"/>
              </w:rPr>
              <w:t>Negative</w:t>
            </w:r>
          </w:p>
        </w:tc>
        <w:tc>
          <w:tcPr>
            <w:tcW w:type="dxa" w:w="1584"/>
            <w:shd w:fill="F8FAFC"/>
            <w:tcMar>
              <w:top w:w="80" w:type="dxa"/>
              <w:bottom w:w="80" w:type="dxa"/>
              <w:left w:w="80" w:type="dxa"/>
              <w:right w:w="80" w:type="dxa"/>
            </w:tcMar>
          </w:tcPr>
          <w:p>
            <w:r>
              <w:rPr>
                <w:rFonts w:ascii="Times New Roman" w:hAnsi="Times New Roman"/>
                <w:sz w:val="17"/>
              </w:rPr>
              <w:t>UI / Modal</w:t>
            </w:r>
          </w:p>
        </w:tc>
        <w:tc>
          <w:tcPr>
            <w:tcW w:type="dxa" w:w="2448"/>
            <w:shd w:fill="F8FAFC"/>
            <w:tcMar>
              <w:top w:w="80" w:type="dxa"/>
              <w:bottom w:w="80" w:type="dxa"/>
              <w:left w:w="80" w:type="dxa"/>
              <w:right w:w="80" w:type="dxa"/>
            </w:tcMar>
          </w:tcPr>
          <w:p>
            <w:r>
              <w:rPr>
                <w:rFonts w:ascii="Times New Roman" w:hAnsi="Times New Roman"/>
                <w:sz w:val="17"/>
              </w:rPr>
              <w:t>Modal Triggered Inside Sticky Header</w:t>
            </w:r>
          </w:p>
        </w:tc>
        <w:tc>
          <w:tcPr>
            <w:tcW w:type="dxa" w:w="2016"/>
            <w:shd w:fill="F8FAFC"/>
            <w:tcMar>
              <w:top w:w="80" w:type="dxa"/>
              <w:bottom w:w="80" w:type="dxa"/>
              <w:left w:w="80" w:type="dxa"/>
              <w:right w:w="80" w:type="dxa"/>
            </w:tcMar>
          </w:tcPr>
          <w:p>
            <w:r>
              <w:rPr>
                <w:rFonts w:ascii="Times New Roman" w:hAnsi="Times New Roman"/>
                <w:sz w:val="17"/>
              </w:rPr>
              <w:t>React Portal breaks out of backdrop-blur; centers on body.</w:t>
            </w:r>
          </w:p>
        </w:tc>
        <w:tc>
          <w:tcPr>
            <w:tcW w:type="dxa" w:w="1008"/>
            <w:shd w:fill="DCFCE7"/>
            <w:tcMar>
              <w:top w:w="80" w:type="dxa"/>
              <w:bottom w:w="80" w:type="dxa"/>
              <w:left w:w="80" w:type="dxa"/>
              <w:right w:w="80" w:type="dxa"/>
            </w:tcMar>
          </w:tcPr>
          <w:p>
            <w:r>
              <w:rPr>
                <w:rFonts w:ascii="Times New Roman" w:hAnsi="Times New Roman"/>
                <w:b/>
                <w:color w:val="166534"/>
                <w:sz w:val="17"/>
              </w:rPr>
              <w:t>Passed</w:t>
            </w:r>
          </w:p>
        </w:tc>
      </w:tr>
    </w:tbl>
    <w:p>
      <w:r>
        <w:br w:type="page"/>
      </w:r>
    </w:p>
    <w:p>
      <w:pPr>
        <w:keepNext/>
        <w:spacing w:before="280" w:after="120"/>
      </w:pPr>
      <w:r>
        <w:rPr>
          <w:rFonts w:ascii="Times New Roman" w:hAnsi="Times New Roman"/>
          <w:b/>
          <w:color w:val="111827"/>
          <w:sz w:val="32"/>
        </w:rPr>
        <w:t>4.7 Conclusion</w:t>
      </w:r>
    </w:p>
    <w:p>
      <w:pPr>
        <w:spacing w:line="276" w:lineRule="auto" w:after="120"/>
        <w:jc w:val="both"/>
      </w:pPr>
      <w:r>
        <w:rPr>
          <w:rFonts w:ascii="Times New Roman" w:hAnsi="Times New Roman"/>
          <w:color w:val="1F2937"/>
          <w:sz w:val="24"/>
        </w:rPr>
        <w:t>Chapter 4 has articulated the complete system design for the SentroniX Purple Team AI Platform. By integrating a high-performance relational schema, robust data constraints, UML structural and behavioral representations, and an AI-augmented remediation pipeline, SentroniX successfully bridges the historical divide between offensive red team operations and defensive blue team engineering. The implementation achieves sub-50ms adversary interception, dynamic WAF rule adaptation, and automated one-click GitHub Pull Request generation, proving the viability of autonomous Purple Teaming for modern enterprise DevSecOps.</w:t>
      </w:r>
    </w:p>
    <w:p>
      <w:r>
        <w:br w:type="page"/>
      </w:r>
    </w:p>
    <w:p>
      <w:pPr>
        <w:keepNext/>
        <w:spacing w:before="280" w:after="120"/>
      </w:pPr>
      <w:r>
        <w:rPr>
          <w:rFonts w:ascii="Times New Roman" w:hAnsi="Times New Roman"/>
          <w:b/>
          <w:color w:val="111827"/>
          <w:sz w:val="32"/>
        </w:rPr>
        <w:t>4.8 Limitations</w:t>
      </w:r>
    </w:p>
    <w:p>
      <w:pPr>
        <w:spacing w:line="276" w:lineRule="auto" w:after="120"/>
        <w:jc w:val="both"/>
      </w:pPr>
      <w:r>
        <w:rPr>
          <w:rFonts w:ascii="Times New Roman" w:hAnsi="Times New Roman"/>
          <w:color w:val="1F2937"/>
          <w:sz w:val="24"/>
        </w:rPr>
        <w:t>While SentroniX provides an advanced, production-grade security architecture, the following engineering limitations are acknowledged:</w:t>
      </w:r>
    </w:p>
    <w:p>
      <w:pPr>
        <w:pStyle w:val="ListBullet"/>
        <w:spacing w:line="276" w:lineRule="auto" w:after="80"/>
        <w:jc w:val="left"/>
      </w:pPr>
      <w:r>
        <w:rPr>
          <w:rFonts w:ascii="Times New Roman" w:hAnsi="Times New Roman"/>
          <w:b/>
          <w:color w:val="111827"/>
          <w:sz w:val="23"/>
        </w:rPr>
        <w:t xml:space="preserve">1. Target Network Reachability: </w:t>
      </w:r>
      <w:r>
        <w:rPr>
          <w:rFonts w:ascii="Times New Roman" w:hAnsi="Times New Roman"/>
          <w:color w:val="1F2937"/>
          <w:sz w:val="23"/>
        </w:rPr>
        <w:t>The Live Target Endpoint Fuzzer requires direct TCP/IP socket connectivity. Targets protected behind strict corporate perimeter firewalls, mTLS client certificate requirements, or CAPTCHA challenges cannot be probed without custom tunnel configurations.</w:t>
      </w:r>
    </w:p>
    <w:p>
      <w:pPr>
        <w:pStyle w:val="ListBullet"/>
        <w:spacing w:line="276" w:lineRule="auto" w:after="80"/>
        <w:jc w:val="left"/>
      </w:pPr>
      <w:r>
        <w:rPr>
          <w:rFonts w:ascii="Times New Roman" w:hAnsi="Times New Roman"/>
          <w:b/>
          <w:color w:val="111827"/>
          <w:sz w:val="23"/>
        </w:rPr>
        <w:t xml:space="preserve">2. Third-Party LLM Token Quotas: </w:t>
      </w:r>
      <w:r>
        <w:rPr>
          <w:rFonts w:ascii="Times New Roman" w:hAnsi="Times New Roman"/>
          <w:color w:val="1F2937"/>
          <w:sz w:val="23"/>
        </w:rPr>
        <w:t>When utilizing live Gemini 3.6 Flash API endpoints without BYOK enterprise tier keys, external quota rate limits (15 RPM on free tiers) can cause fallback to deterministic AST templates during massive scan batches.</w:t>
      </w:r>
    </w:p>
    <w:p>
      <w:pPr>
        <w:pStyle w:val="ListBullet"/>
        <w:spacing w:line="276" w:lineRule="auto" w:after="80"/>
        <w:jc w:val="left"/>
      </w:pPr>
      <w:r>
        <w:rPr>
          <w:rFonts w:ascii="Times New Roman" w:hAnsi="Times New Roman"/>
          <w:b/>
          <w:color w:val="111827"/>
          <w:sz w:val="23"/>
        </w:rPr>
        <w:t xml:space="preserve">3. Complex Multi-File Patch Interdependencies: </w:t>
      </w:r>
      <w:r>
        <w:rPr>
          <w:rFonts w:ascii="Times New Roman" w:hAnsi="Times New Roman"/>
          <w:color w:val="1F2937"/>
          <w:sz w:val="23"/>
        </w:rPr>
        <w:t>The automated AI remediation engine specializes in single-file to multi-file localized code patches. Large architectural refactors spanning distributed microservices repositories currently require human architectural oversight.</w:t>
      </w:r>
    </w:p>
    <w:p>
      <w:r>
        <w:br w:type="page"/>
      </w:r>
    </w:p>
    <w:p>
      <w:pPr>
        <w:keepNext/>
        <w:spacing w:before="280" w:after="120"/>
      </w:pPr>
      <w:r>
        <w:rPr>
          <w:rFonts w:ascii="Times New Roman" w:hAnsi="Times New Roman"/>
          <w:b/>
          <w:color w:val="111827"/>
          <w:sz w:val="32"/>
        </w:rPr>
        <w:t>4.9 Future Scope</w:t>
      </w:r>
    </w:p>
    <w:p>
      <w:pPr>
        <w:spacing w:line="276" w:lineRule="auto" w:after="120"/>
        <w:jc w:val="both"/>
      </w:pPr>
      <w:r>
        <w:rPr>
          <w:rFonts w:ascii="Times New Roman" w:hAnsi="Times New Roman"/>
          <w:color w:val="1F2937"/>
          <w:sz w:val="24"/>
        </w:rPr>
        <w:t>To further expand SentroniX into an autonomous, self-healing cyber defense platform, future development will target the following milestones:</w:t>
      </w:r>
    </w:p>
    <w:p>
      <w:pPr>
        <w:pStyle w:val="ListBullet"/>
        <w:spacing w:line="276" w:lineRule="auto" w:after="80"/>
        <w:jc w:val="left"/>
      </w:pPr>
      <w:r>
        <w:rPr>
          <w:rFonts w:ascii="Times New Roman" w:hAnsi="Times New Roman"/>
          <w:b/>
          <w:color w:val="111827"/>
          <w:sz w:val="23"/>
        </w:rPr>
        <w:t xml:space="preserve">1. Autonomous Agentic Patch Testing &amp; Ephemeral Staging Deployment: </w:t>
      </w:r>
      <w:r>
        <w:rPr>
          <w:rFonts w:ascii="Times New Roman" w:hAnsi="Times New Roman"/>
          <w:color w:val="1F2937"/>
          <w:sz w:val="23"/>
        </w:rPr>
        <w:t>Integrate ephemeral Docker test containers that automatically apply synthesized AI diffs, execute end-to-end regression suites, and re-fire the original red team strike to mathematically certify that the vulnerability is neutralized before human review.</w:t>
      </w:r>
    </w:p>
    <w:p>
      <w:pPr>
        <w:pStyle w:val="ListBullet"/>
        <w:spacing w:line="276" w:lineRule="auto" w:after="80"/>
        <w:jc w:val="left"/>
      </w:pPr>
      <w:r>
        <w:rPr>
          <w:rFonts w:ascii="Times New Roman" w:hAnsi="Times New Roman"/>
          <w:b/>
          <w:color w:val="111827"/>
          <w:sz w:val="23"/>
        </w:rPr>
        <w:t xml:space="preserve">2. eBPF Kernel-Level Defensive Probing: </w:t>
      </w:r>
      <w:r>
        <w:rPr>
          <w:rFonts w:ascii="Times New Roman" w:hAnsi="Times New Roman"/>
          <w:color w:val="1F2937"/>
          <w:sz w:val="23"/>
        </w:rPr>
        <w:t>Extend Blue Team telemetry from user-space application WAFs into Linux kernel-level extended Berkeley Packet Filters (eBPF) for real-time syscall monitoring, zero-day rootkit detection, and instant socket termination.</w:t>
      </w:r>
    </w:p>
    <w:p>
      <w:pPr>
        <w:pStyle w:val="ListBullet"/>
        <w:spacing w:line="276" w:lineRule="auto" w:after="80"/>
        <w:jc w:val="left"/>
      </w:pPr>
      <w:r>
        <w:rPr>
          <w:rFonts w:ascii="Times New Roman" w:hAnsi="Times New Roman"/>
          <w:b/>
          <w:color w:val="111827"/>
          <w:sz w:val="23"/>
        </w:rPr>
        <w:t xml:space="preserve">3. Multi-Cloud IaC (Terraform / Kubernetes) Remediation: </w:t>
      </w:r>
      <w:r>
        <w:rPr>
          <w:rFonts w:ascii="Times New Roman" w:hAnsi="Times New Roman"/>
          <w:color w:val="1F2937"/>
          <w:sz w:val="23"/>
        </w:rPr>
        <w:t>Expand remediation diff generation beyond application source code into Infrastructure-as-Code (IaC) manifests, automatically patching over-privileged AWS IAM roles, vulnerable Kubernetes Pod Security Policies, and misconfigured CloudFront distributions.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