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Healthcare / Biosignals Machine Learning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IEEE-published</w:t>
      </w:r>
      <w:r>
        <w:t xml:space="preserve"> </w:t>
      </w:r>
      <w:r>
        <w:t xml:space="preserve">ML engineer for healthcare/biosignals — built an interpretable</w:t>
      </w:r>
      <w:r>
        <w:t xml:space="preserve"> </w:t>
      </w:r>
      <w:r>
        <w:rPr>
          <w:b/>
          <w:bCs/>
        </w:rPr>
        <w:t xml:space="preserve">ECG/PPG</w:t>
      </w:r>
      <w:r>
        <w:t xml:space="preserve"> </w:t>
      </w:r>
      <w:r>
        <w:t xml:space="preserve">model for stroke prediction &amp; arrhythmia classification (</w:t>
      </w:r>
      <w:r>
        <w:rPr>
          <w:b/>
          <w:bCs/>
        </w:rPr>
        <w:t xml:space="preserve">MIMIC-III, ROC-AUC 0.757</w:t>
      </w:r>
      <w:r>
        <w:t xml:space="preserve">) with clinician-facing explainability. Fluent with HIPAA-grade medical data. CS graduate, Jul 2026.</w:t>
      </w:r>
    </w:p>
    <w:bookmarkEnd w:id="11"/>
    <w:bookmarkStart w:id="12" w:name="publication"/>
    <w:p>
      <w:pPr>
        <w:pStyle w:val="Heading2"/>
      </w:pPr>
      <w:r>
        <w:t xml:space="preserve">Publication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Aaryan S. Maralihalli et al.</w:t>
      </w:r>
      <w:r>
        <w:t xml:space="preserve">,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PPG,”</w:t>
      </w:r>
      <w:r>
        <w:t xml:space="preserve"> </w:t>
      </w:r>
      <w:r>
        <w:rPr>
          <w:b/>
          <w:bCs/>
        </w:rPr>
        <w:t xml:space="preserve">IEEE ICASI 2026</w:t>
      </w:r>
      <w:r>
        <w:t xml:space="preserve">, Kyoto —</w:t>
      </w:r>
      <w:r>
        <w:t xml:space="preserve"> </w:t>
      </w:r>
      <w:r>
        <w:rPr>
          <w:b/>
          <w:bCs/>
        </w:rPr>
        <w:t xml:space="preserve">Oral Presentation</w:t>
      </w:r>
      <w:r>
        <w:t xml:space="preserve"> </w:t>
      </w:r>
      <w:r>
        <w:t xml:space="preserve">(Paper J260481).</w:t>
      </w:r>
    </w:p>
    <w:bookmarkEnd w:id="12"/>
    <w:bookmarkStart w:id="13" w:name="healthcare-ml-work"/>
    <w:p>
      <w:pPr>
        <w:pStyle w:val="Heading2"/>
      </w:pPr>
      <w:r>
        <w:t xml:space="preserve">Healthcare ML 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Self-Supervised Cardiac Risk System (capstone / published):</w:t>
      </w:r>
      <w:r>
        <w:t xml:space="preserve"> </w:t>
      </w:r>
      <w:r>
        <w:rPr>
          <w:b/>
          <w:bCs/>
        </w:rPr>
        <w:t xml:space="preserve">contrastive learning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MIMIC-III</w:t>
      </w:r>
      <w:r>
        <w:t xml:space="preserve"> </w:t>
      </w:r>
      <w:r>
        <w:t xml:space="preserve">ECG/PPG (133K segments, 8 channels, 288 patients); 1D-CNN</w:t>
      </w:r>
      <w:r>
        <w:t xml:space="preserve"> </w:t>
      </w:r>
      <w:r>
        <w:rPr>
          <w:b/>
          <w:bCs/>
        </w:rPr>
        <w:t xml:space="preserve">WaveformEncoder</w:t>
      </w:r>
      <w:r>
        <w:t xml:space="preserve"> </w:t>
      </w:r>
      <w:r>
        <w:t xml:space="preserve">+ Random Forest clinical model over 14 features;</w:t>
      </w:r>
      <w:r>
        <w:t xml:space="preserve"> </w:t>
      </w:r>
      <w:r>
        <w:rPr>
          <w:b/>
          <w:bCs/>
        </w:rPr>
        <w:t xml:space="preserve">ROC-AUC 0.757</w:t>
      </w:r>
      <w:r>
        <w:t xml:space="preserve">, recall 0.57 on the rare (~5%) stroke class; benchmarked against the</w:t>
      </w:r>
      <w:r>
        <w:t xml:space="preserve"> </w:t>
      </w:r>
      <w:r>
        <w:rPr>
          <w:b/>
          <w:bCs/>
        </w:rPr>
        <w:t xml:space="preserve">CHA₂DS₂-VASc</w:t>
      </w:r>
      <w:r>
        <w:t xml:space="preserve"> </w:t>
      </w:r>
      <w:r>
        <w:t xml:space="preserve">clinical score.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Explainability for clinicians:</w:t>
      </w:r>
      <w:r>
        <w:t xml:space="preserve"> </w:t>
      </w:r>
      <w:r>
        <w:t xml:space="preserve">temporal saliency maps, channel importance, and integrated gradients;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inference + Streamlit dashboard generating clinician-facing risk reports.</w:t>
      </w:r>
    </w:p>
    <w:p>
      <w:pPr>
        <w:pStyle w:val="Compact"/>
        <w:numPr>
          <w:ilvl w:val="0"/>
          <w:numId w:val="1002"/>
        </w:numPr>
      </w:pPr>
      <w:r>
        <w:t xml:space="preserve">Arrhythmia classification (N/S/V/F/U) with SHAP-based interpretability.</w:t>
      </w:r>
    </w:p>
    <w:bookmarkEnd w:id="13"/>
    <w:bookmarkStart w:id="1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Medical AI · Jun – Aug 2024 · Bangalore</w:t>
      </w:r>
      <w:r>
        <w:t xml:space="preserve"> </w:t>
      </w:r>
      <w:r>
        <w:t xml:space="preserve">- Worked on</w:t>
      </w:r>
      <w:r>
        <w:t xml:space="preserve"> </w:t>
      </w:r>
      <w:r>
        <w:rPr>
          <w:b/>
          <w:bCs/>
        </w:rPr>
        <w:t xml:space="preserve">HIPAA-compliant medical-AI</w:t>
      </w:r>
      <w:r>
        <w:t xml:space="preserve"> </w:t>
      </w:r>
      <w:r>
        <w:t xml:space="preserve">workflows extracting lab values from blood reports across major labs (Quest, LabCorp, BioReference); supported the dashboard migration handling</w:t>
      </w:r>
      <w:r>
        <w:t xml:space="preserve"> </w:t>
      </w:r>
      <w:r>
        <w:rPr>
          <w:b/>
          <w:bCs/>
        </w:rPr>
        <w:t xml:space="preserve">5M+ lab values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t xml:space="preserve">- Applied production AI/ML models (face match, liveness) for regulated fintech clients.</w:t>
      </w:r>
    </w:p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Biosignals/Clinical:</w:t>
      </w:r>
      <w:r>
        <w:t xml:space="preserve"> </w:t>
      </w:r>
      <w:r>
        <w:t xml:space="preserve">ECG/PPG signal processing, MIMIC-III, arrhythmia &amp; stroke modeling, clinical validation (CHA₂DS₂-VASc), HIPAA-aware handling</w:t>
      </w:r>
      <w:r>
        <w:t xml:space="preserve"> </w:t>
      </w:r>
      <w:r>
        <w:rPr>
          <w:b/>
          <w:bCs/>
        </w:rPr>
        <w:t xml:space="preserve">ML/DL:</w:t>
      </w:r>
      <w:r>
        <w:t xml:space="preserve"> </w:t>
      </w:r>
      <w:r>
        <w:t xml:space="preserve">PyTorch, contrastive/self-supervised learning, CNNs, Random Forest, XAI (saliency, integrated gradients, SHAP), scikit-learn</w:t>
      </w:r>
      <w:r>
        <w:t xml:space="preserve"> </w:t>
      </w:r>
      <w:r>
        <w:rPr>
          <w:b/>
          <w:bCs/>
        </w:rPr>
        <w:t xml:space="preserve">Engineering:</w:t>
      </w:r>
      <w:r>
        <w:t xml:space="preserve"> </w:t>
      </w:r>
      <w:r>
        <w:t xml:space="preserve">Python, FastAPI, NumPy/Pandas, HDF5, Docker</w:t>
      </w:r>
    </w:p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Certifications:</w:t>
      </w:r>
      <w:r>
        <w:t xml:space="preserve"> </w:t>
      </w:r>
      <w:r>
        <w:t xml:space="preserve">CITI Program (Conflicts of Interest; Data/Specimens Only Research)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2026-06-12T10:46:35Z</dcterms:created>
  <dcterms:modified xsi:type="dcterms:W3CDTF">2026-06-12T10:46:35Z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