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6"/>
          <w:szCs w:val="56"/>
        </w:rPr>
        <w:t xml:space="preserve">RIMS CODEBASE</w:t>
      </w:r>
    </w:p>
    <w:p>
      <w:pPr>
        <w:spacing w:after="120" w:before="0"/>
        <w:jc w:val="center"/>
      </w:pPr>
      <w:r>
        <w:rPr>
          <w:rFonts w:ascii="Arial" w:cs="Arial" w:eastAsia="Arial" w:hAnsi="Arial"/>
          <w:b w:val="false"/>
          <w:bCs w:val="false"/>
          <w:color w:val="444444"/>
          <w:sz w:val="36"/>
          <w:szCs w:val="36"/>
        </w:rPr>
        <w:t xml:space="preserve">Comprehensive Audit Report</w:t>
      </w:r>
    </w:p>
    <w:p>
      <w:pPr>
        <w:pBdr>
          <w:bottom w:val="single" w:color="2E75B6" w:sz="6" w:space="1"/>
        </w:pBdr>
        <w:spacing w:after="80" w:before="80"/>
        <w:jc w:val="center"/>
      </w:pPr>
      <w:r>
        <w:rPr>
          <w:rFonts w:ascii="Arial" w:cs="Arial" w:eastAsia="Arial" w:hAnsi="Arial"/>
          <w:color w:val="2E75B6"/>
          <w:sz w:val="22"/>
          <w:szCs w:val="22"/>
        </w:rPr>
        <w:t xml:space="preserve">Security  •  Production Readiness  •  Code Quality  •  Architecture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RIMS (Recruitment Intelligence Management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 Python 3 (backend)  +  Next.js 14 / TypeScript (frontend)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9, 2026</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codebase  —  security, prod readiness, code quality, architecture (345 files)</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1. Executive Summary</w:t>
      </w:r>
    </w:p>
    <w:p>
      <w:pPr>
        <w:spacing w:after="80" w:before="60"/>
      </w:pPr>
      <w:r>
        <w:rPr>
          <w:rFonts w:ascii="Arial" w:cs="Arial" w:eastAsia="Arial" w:hAnsi="Arial"/>
          <w:sz w:val="20"/>
          <w:szCs w:val="20"/>
        </w:rPr>
        <w:t xml:space="preserve">This audit covers the complete RIMS codebase submitted on June 9, 2026 (345 source files, rims-main.zip). The review spans four dimensions: Security, Production Readiness, Code Quality, and Architecture.</w:t>
      </w:r>
    </w:p>
    <w:p>
      <w:pPr>
        <w:spacing w:after="60" w:before="60"/>
      </w:pPr>
      <w:r>
        <w:t xml:space="preserve"/>
      </w:r>
    </w:p>
    <w:p>
      <w:pPr>
        <w:spacing w:after="80" w:before="60"/>
      </w:pPr>
      <w:r>
        <w:rPr>
          <w:rFonts w:ascii="Arial" w:cs="Arial" w:eastAsia="Arial" w:hAnsi="Arial"/>
          <w:sz w:val="20"/>
          <w:szCs w:val="20"/>
        </w:rPr>
        <w:t xml:space="preserve">Overall maturity is HIGH. Prior audit cycles have addressed most critical and high-severity vulnerabilities. Security architecture is demonstrably improved: Jinja2 SandboxedEnvironment is in place for offer letters, SSRF protection exists for resume URL fetching, CSP headers are hardened, JWT revocation via Redis blocklist is implemented, and cron endpoints are admin-gated. Several new findings are identified below, none of which are critical in the current state.</w:t>
      </w:r>
    </w:p>
    <w:p>
      <w:pPr>
        <w:spacing w:after="60" w:before="60"/>
      </w:pPr>
      <w:r>
        <w:t xml:space="preserve"/>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3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0</w:t>
            </w:r>
          </w:p>
        </w:tc>
      </w:tr>
      <w:tr>
        <w:tc>
          <w:tcPr>
            <w:tcW w:type="dxa" w:w="30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04000"/>
                <w:sz w:val="20"/>
                <w:szCs w:val="20"/>
              </w:rPr>
              <w:t xml:space="preserve">High</w:t>
            </w:r>
          </w:p>
        </w:tc>
        <w:tc>
          <w:tcPr>
            <w:tcW w:type="dxa" w:w="180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pPr>
              <w:jc w:val="center"/>
            </w:pPr>
            <w:r>
              <w:rPr>
                <w:rFonts w:ascii="Arial" w:cs="Arial" w:eastAsia="Arial" w:hAnsi="Arial"/>
                <w:b/>
                <w:bCs/>
                <w:color w:val="E04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rFonts w:ascii="Arial" w:cs="Arial" w:eastAsia="Arial" w:hAnsi="Arial"/>
                <w:b/>
                <w:bCs/>
                <w:color w:val="E07800"/>
                <w:sz w:val="20"/>
                <w:szCs w:val="20"/>
              </w:rPr>
              <w:t xml:space="preserve">Medium</w:t>
            </w:r>
          </w:p>
        </w:tc>
        <w:tc>
          <w:tcPr>
            <w:tcW w:type="dxa" w:w="180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pPr>
              <w:jc w:val="center"/>
            </w:pPr>
            <w:r>
              <w:rPr>
                <w:rFonts w:ascii="Arial" w:cs="Arial" w:eastAsia="Arial" w:hAnsi="Arial"/>
                <w:b/>
                <w:bCs/>
                <w:color w:val="E07800"/>
                <w:sz w:val="20"/>
                <w:szCs w:val="20"/>
              </w:rPr>
              <w:t xml:space="preserve">4</w:t>
            </w:r>
          </w:p>
        </w:tc>
      </w:tr>
      <w:tr>
        <w:tc>
          <w:tcPr>
            <w:tcW w:type="dxa" w:w="3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rFonts w:ascii="Arial" w:cs="Arial" w:eastAsia="Arial" w:hAnsi="Arial"/>
                <w:b/>
                <w:bCs/>
                <w:color w:val="1F6AA5"/>
                <w:sz w:val="20"/>
                <w:szCs w:val="20"/>
              </w:rPr>
              <w:t xml:space="preserve">Low / Info</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pPr>
              <w:jc w:val="center"/>
            </w:pPr>
            <w:r>
              <w:rPr>
                <w:rFonts w:ascii="Arial" w:cs="Arial" w:eastAsia="Arial" w:hAnsi="Arial"/>
                <w:b/>
                <w:bCs/>
                <w:color w:val="1F6AA5"/>
                <w:sz w:val="20"/>
                <w:szCs w:val="20"/>
              </w:rPr>
              <w:t xml:space="preserve">5</w:t>
            </w:r>
          </w:p>
        </w:tc>
      </w:tr>
      <w:tr>
        <w:tc>
          <w:tcPr>
            <w:tcW w:type="dxa" w:w="3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r>
              <w:rPr>
                <w:rFonts w:ascii="Arial" w:cs="Arial" w:eastAsia="Arial" w:hAnsi="Arial"/>
                <w:b/>
                <w:bCs/>
                <w:color w:val="1A7A1A"/>
                <w:sz w:val="20"/>
                <w:szCs w:val="20"/>
              </w:rPr>
              <w:t xml:space="preserve">Pass (verified fixed)</w:t>
            </w:r>
          </w:p>
        </w:tc>
        <w:tc>
          <w:tcPr>
            <w:tcW w:type="dxa" w:w="18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center"/>
            </w:pPr>
            <w:r>
              <w:rPr>
                <w:rFonts w:ascii="Arial" w:cs="Arial" w:eastAsia="Arial" w:hAnsi="Arial"/>
                <w:b/>
                <w:bCs/>
                <w:color w:val="1A7A1A"/>
                <w:sz w:val="20"/>
                <w:szCs w:val="20"/>
              </w:rPr>
              <w:t xml:space="preserve">12</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2. Security Audit</w:t>
      </w:r>
    </w:p>
    <w:p>
      <w:pPr>
        <w:spacing w:after="80" w:before="60"/>
      </w:pPr>
      <w:r>
        <w:rPr>
          <w:rFonts w:ascii="Arial" w:cs="Arial" w:eastAsia="Arial" w:hAnsi="Arial"/>
          <w:sz w:val="20"/>
          <w:szCs w:val="20"/>
        </w:rPr>
        <w:t xml:space="preserve">All prior critical findings have been remediated. This pass identified 2 High, 4 Medium, and 2 Low security findings.</w:t>
      </w:r>
    </w:p>
    <w:p>
      <w:pPr>
        <w:spacing w:after="60" w:before="60"/>
      </w:pPr>
      <w:r>
        <w:t xml:space="preserve"/>
      </w:r>
    </w:p>
    <w:p>
      <w:pPr>
        <w:pBdr>
          <w:bottom w:val="single" w:color="E04000" w:sz="6" w:space="1"/>
        </w:pBdr>
        <w:spacing w:after="60" w:before="300"/>
      </w:pPr>
      <w:r>
        <w:rPr>
          <w:rFonts w:ascii="Arial" w:cs="Arial" w:eastAsia="Arial" w:hAnsi="Arial"/>
          <w:b/>
          <w:bCs/>
          <w:color w:val="E04000"/>
          <w:sz w:val="28"/>
          <w:szCs w:val="28"/>
        </w:rPr>
        <w:t xml:space="preserve">2.1  HIGH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0E6" w:val="clear"/>
            <w:tcMar>
              <w:top w:type="dxa" w:w="100"/>
              <w:left w:type="dxa" w:w="160"/>
              <w:bottom w:type="dxa" w:w="100"/>
              <w:right w:type="dxa" w:w="160"/>
            </w:tcMar>
          </w:tcPr>
          <w:p>
            <w:r>
              <w:rPr>
                <w:rFonts w:ascii="Arial" w:cs="Arial" w:eastAsia="Arial" w:hAnsi="Arial"/>
                <w:b/>
                <w:bCs/>
                <w:color w:val="E04000"/>
                <w:sz w:val="21"/>
                <w:szCs w:val="21"/>
              </w:rPr>
              <w:t xml:space="preserve">SEC-H01: </w:t>
            </w:r>
            <w:r>
              <w:rPr>
                <w:rFonts w:ascii="Arial" w:cs="Arial" w:eastAsia="Arial" w:hAnsi="Arial"/>
                <w:b/>
                <w:bCs/>
                <w:color w:val="1A1A1A"/>
                <w:sz w:val="21"/>
                <w:szCs w:val="21"/>
              </w:rPr>
              <w:t xml:space="preserve">CSS Injection via Unvalidated theme_color in Layout</w:t>
            </w:r>
            <w:r>
              <w:rPr>
                <w:rFonts w:ascii="Arial" w:cs="Arial" w:eastAsia="Arial" w:hAnsi="Arial"/>
                <w:b/>
                <w:bCs/>
                <w:color w:val="E04000"/>
                <w:sz w:val="19"/>
                <w:szCs w:val="19"/>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frontend/app/layout.tsx:60  |  backend/app/domain/schemas.py:996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theme_color branding value is fetched from the backend and interpolated directly into a dangerouslySetInnerHTML &lt;style&gt; block in layout.tsx without any validation or sanitization on either the backend schema or the frontend. An admin who controls branding settings can inject arbitrary CSS (or in certain browser contexts, CSS-based data exfiltration payloads) into every page load.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Payload path: Admin UI -&gt; POST /api/settings -&gt; GlobalSettings.theme_color -&gt; getBrandingServer() -&gt; layout.tsx line 60: `--primary: ${branding.themeColor} !important`. No regex or allowlist exists at any stage.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Backend: add a @field_validator for theme_color in GlobalSettingsUpdate that enforces the pattern r'^#[0-9A-Fa-f]{3,8}$'. Frontend: additionally validate before interpolation using a CSS color regex. Reject any value that does not match.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EF0E6" w:val="clear"/>
            <w:tcMar>
              <w:top w:type="dxa" w:w="100"/>
              <w:left w:type="dxa" w:w="160"/>
              <w:bottom w:type="dxa" w:w="100"/>
              <w:right w:type="dxa" w:w="160"/>
            </w:tcMar>
          </w:tcPr>
          <w:p>
            <w:r>
              <w:rPr>
                <w:rFonts w:ascii="Arial" w:cs="Arial" w:eastAsia="Arial" w:hAnsi="Arial"/>
                <w:b/>
                <w:bCs/>
                <w:color w:val="E04000"/>
                <w:sz w:val="21"/>
                <w:szCs w:val="21"/>
              </w:rPr>
              <w:t xml:space="preserve">SEC-H02: </w:t>
            </w:r>
            <w:r>
              <w:rPr>
                <w:rFonts w:ascii="Arial" w:cs="Arial" w:eastAsia="Arial" w:hAnsi="Arial"/>
                <w:b/>
                <w:bCs/>
                <w:color w:val="1A1A1A"/>
                <w:sz w:val="21"/>
                <w:szCs w:val="21"/>
              </w:rPr>
              <w:t xml:space="preserve">/api/analytics/config/skills Endpoint Unauthenticated</w:t>
            </w:r>
            <w:r>
              <w:rPr>
                <w:rFonts w:ascii="Arial" w:cs="Arial" w:eastAsia="Arial" w:hAnsi="Arial"/>
                <w:b/>
                <w:bCs/>
                <w:color w:val="E04000"/>
                <w:sz w:val="19"/>
                <w:szCs w:val="19"/>
              </w:rPr>
              <w:t xml:space="preserve">   [HIGH]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backend/app/api/analytics.py:177</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GET /api/analytics/config/skills endpoint has no authentication dependency. It is publicly accessible without a valid JWT. While the data returned (skill category names) is low-sensitivity on its own, the endpoint confirms the system is live, its interview engine configuration, and serves as a reconnaissance vector. It is also an inconsistency with all other analytics endpoints which require get_current_hr.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Depends(get_current_hr) or Depends(get_current_user) is present. Rate limited at 60/minute but that only slows mass enumeration.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current_user: User = Depends(get_current_hr) as a parameter, consistent with the adjacent /dashboard and /reports endpoints.</w:t>
            </w:r>
          </w:p>
        </w:tc>
      </w:tr>
    </w:tbl>
    <w:p>
      <w:pPr>
        <w:spacing w:after="60" w:before="60"/>
      </w:pPr>
      <w:r>
        <w:t xml:space="preserve"/>
      </w:r>
    </w:p>
    <w:p>
      <w:pPr>
        <w:pBdr>
          <w:bottom w:val="single" w:color="E07800" w:sz="6" w:space="1"/>
        </w:pBdr>
        <w:spacing w:after="60" w:before="300"/>
      </w:pPr>
      <w:r>
        <w:rPr>
          <w:rFonts w:ascii="Arial" w:cs="Arial" w:eastAsia="Arial" w:hAnsi="Arial"/>
          <w:b/>
          <w:bCs/>
          <w:color w:val="E07800"/>
          <w:sz w:val="28"/>
          <w:szCs w:val="28"/>
        </w:rPr>
        <w:t xml:space="preserve">2.2  MEDIUM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SEC-M01: </w:t>
            </w:r>
            <w:r>
              <w:rPr>
                <w:rFonts w:ascii="Arial" w:cs="Arial" w:eastAsia="Arial" w:hAnsi="Arial"/>
                <w:b/>
                <w:bCs/>
                <w:color w:val="1A1A1A"/>
                <w:sz w:val="21"/>
                <w:szCs w:val="21"/>
              </w:rPr>
              <w:t xml:space="preserve">SSRF via Unvalidated URL in applications.py (Manual Assignment Path)</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backend/app/api/applications.py:2054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manual resume assignment path contains a fallback HTTP fetch: `if not content and resume.file_url.startswith("http"): resp = requests.get(resume.file_url, timeout=10)`. This fetch is performed with no domain allowlist, no scheme enforcement, and no internal IP block. An attacker with access to the repo-assign API could supply a file_url pointing to 169.254.169.254 (cloud metadata), internal services, or any arbitrary host.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email_ingestion_service.py path at line 852 has proper SSRF protection (HTTPS-only, supabase-only domain check). The applications.py manual assignment path at line 2054 does not replicate this protection.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Extract the SSRF validation logic from email_ingestion_service.py into a shared utility (e.g. core/url_validation.py: def validate_storage_url(url)) and call it from both locations. The validation must enforce HTTPS scheme and restrict to known Supabase storage domains.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SEC-M02: </w:t>
            </w:r>
            <w:r>
              <w:rPr>
                <w:rFonts w:ascii="Arial" w:cs="Arial" w:eastAsia="Arial" w:hAnsi="Arial"/>
                <w:b/>
                <w:bCs/>
                <w:color w:val="1A1A1A"/>
                <w:sz w:val="21"/>
                <w:szCs w:val="21"/>
              </w:rPr>
              <w:t xml:space="preserve">Internal Exception Detail Leaked in Several 400/500 Responses</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backend/app/api/auth.py:60  |  jobs.py:822  |  applications.py:318  |  onboarding.py:927,1049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exception handlers pass `str(e)` or `str(exc)` directly as the HTTP response detail. This can expose internal stack details, database schema hints, or third-party service error messages to any API caller regardless of authentication state.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auth.py:60 raises HTTPException(status_code=400, detail=str(e)) from a ValueError in email validation. jobs.py:822 sends detail=f"Failed to delete job: {str(e)}". The global unhandled exception handler in main.py correctly gates on settings.debug, but these per-route handlers do not.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 raw str(e) in HTTP response details with static safe messages. Log the full exception server-side with logger.exception(). Pattern: `except Exception as e: logger.exception("Job delete failed"); raise HTTPException(status_code=500, detail="Failed to delete job. Please try again.")`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SEC-M03: </w:t>
            </w:r>
            <w:r>
              <w:rPr>
                <w:rFonts w:ascii="Arial" w:cs="Arial" w:eastAsia="Arial" w:hAnsi="Arial"/>
                <w:b/>
                <w:bCs/>
                <w:color w:val="1A1A1A"/>
                <w:sz w:val="21"/>
                <w:szCs w:val="21"/>
              </w:rPr>
              <w:t xml:space="preserve">JWT Algorithm Not Pinned to Symmetric-Only; python-jose Known Confusion Risk</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backend/app/core/auth.py:84  |  requirements.txt (python-jose==3.5.0)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jwt.decode() is called with algorithms=[settings.jwt_algorithm] where jwt_algorithm defaults to "HS256". If a misconfigured or tampered token presents algorithm "none" or an asymmetric algorithm, python-jose 3.x is known to have had algorithm confusion vulnerabilities (CVE-2024-33663). While the current code passes a list with one algorithm, passing options={"verify_alg": True} is not explicit, and the library version is the last available (3.5.0), which carries known security advisories.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python-jose 3.5.0 has CVE-2024-33663 (algorithm confusion). The project has no migration to PyJWT or authlib, which have better maintenance status.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Short term: add options={"verify_alg": True, "require_exp": True} to the jwt.decode() call. Long term: migrate from python-jose to PyJWT (pip install PyJWT[crypto]) which is actively maintained and has explicit algorithm allowlisting via algorithms=["HS256"] with no confusion vector.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SEC-M04: </w:t>
            </w:r>
            <w:r>
              <w:rPr>
                <w:rFonts w:ascii="Arial" w:cs="Arial" w:eastAsia="Arial" w:hAnsi="Arial"/>
                <w:b/>
                <w:bCs/>
                <w:color w:val="1A1A1A"/>
                <w:sz w:val="21"/>
                <w:szCs w:val="21"/>
              </w:rPr>
              <w:t xml:space="preserve">No CSP / Security Headers on Next.js Frontend</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frontend/next.config.mjs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backend applies a Content-Security-Policy header via SecurityHeadersMiddleware. However, the Next.js frontend does not define any security headers in next.config.mjs (no async headers() export). Responses served directly by Next.js (SSR pages, API routes like /api/generate-pdf, /api/health) carry no CSP, X-Frame-Options, X-Content-Type-Options, or HSTS headers.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nginx proxy does not inject response headers for frontend routes. The backend CSP does not apply to frontend-originated responses. next.config.mjs has no headers() block.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a headers() export to next.config.mjs that sets Content-Security-Policy, X-Frame-Options: DENY, X-Content-Type-Options: nosniff, Referrer-Policy: strict-origin-when-cross-origin, and Strict-Transport-Security for all routes. This mirrors what the backend already does.</w:t>
            </w:r>
          </w:p>
        </w:tc>
      </w:tr>
    </w:tbl>
    <w:p>
      <w:pPr>
        <w:spacing w:after="60" w:before="60"/>
      </w:pPr>
      <w:r>
        <w:t xml:space="preserve"/>
      </w:r>
    </w:p>
    <w:p>
      <w:pPr>
        <w:pBdr>
          <w:bottom w:val="single" w:color="1F6AA5" w:sz="6" w:space="1"/>
        </w:pBdr>
        <w:spacing w:after="60" w:before="300"/>
      </w:pPr>
      <w:r>
        <w:rPr>
          <w:rFonts w:ascii="Arial" w:cs="Arial" w:eastAsia="Arial" w:hAnsi="Arial"/>
          <w:b/>
          <w:bCs/>
          <w:color w:val="1F6AA5"/>
          <w:sz w:val="28"/>
          <w:szCs w:val="28"/>
        </w:rPr>
        <w:t xml:space="preserve">2.3  LOW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SEC-L01: </w:t>
            </w:r>
            <w:r>
              <w:rPr>
                <w:rFonts w:ascii="Arial" w:cs="Arial" w:eastAsia="Arial" w:hAnsi="Arial"/>
                <w:b/>
                <w:bCs/>
                <w:color w:val="1A1A1A"/>
                <w:sz w:val="21"/>
                <w:szCs w:val="21"/>
              </w:rPr>
              <w:t xml:space="preserve">Cookie secure Flag Disabled in Non-Production Environments</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backend/app/api/auth.py:321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 (Accepted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access_token and hr_token cookies are set with secure=settings.env == "production". In staging or any environment where ENV is not exactly "production", the Secure flag is absent, meaning cookies may be transmitted over unencrypted HTTP. The risk is low if staging is behind HTTPS, but it creates a gap between staging and production behavior.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secure=settings.env == "production" — no intermediate value like "staging" sets Secure=True.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Change to secure=settings.env in ("production", "staging") or secure=True unconditionally and rely on the backend's HSTS header to enforce HTTPS. Alternatively accept this as a dev convenience and document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SEC-L02: </w:t>
            </w:r>
            <w:r>
              <w:rPr>
                <w:rFonts w:ascii="Arial" w:cs="Arial" w:eastAsia="Arial" w:hAnsi="Arial"/>
                <w:b/>
                <w:bCs/>
                <w:color w:val="1A1A1A"/>
                <w:sz w:val="21"/>
                <w:szCs w:val="21"/>
              </w:rPr>
              <w:t xml:space="preserve">TEST_ADMIN_SECRET Exposed in CORS allow_headers</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backend/app/main.py:461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 (Low Impact)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header name TEST_ADMIN_SECRET is listed in the CORS allow_headers list. This publicly discloses that such a header mechanism exists and is accepted by the backend, guiding attackers toward the test token generation endpoint. The endpoint itself is blocked in production (settings.env == "production" check), but the header name being in CORS responses is unnecessary information disclosure.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allow_headers=[..., "TEST_ADMIN_SECRET", ...] is sent in CORS preflight responses to any origin.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Remove TEST_ADMIN_SECRET from the allow_headers list. The endpoint validates the header independently via request.headers.get(); it does not require CORS pre-authorization of the header name.</w:t>
            </w:r>
          </w:p>
        </w:tc>
      </w:tr>
    </w:tbl>
    <w:p>
      <w:pPr>
        <w:spacing w:after="60" w:before="60"/>
      </w:pPr>
      <w:r>
        <w:t xml:space="preserve"/>
      </w:r>
    </w:p>
    <w:p>
      <w:pPr>
        <w:pBdr>
          <w:bottom w:val="single" w:color="1A7A1A" w:sz="6" w:space="1"/>
        </w:pBdr>
        <w:spacing w:after="60" w:before="300"/>
      </w:pPr>
      <w:r>
        <w:rPr>
          <w:rFonts w:ascii="Arial" w:cs="Arial" w:eastAsia="Arial" w:hAnsi="Arial"/>
          <w:b/>
          <w:bCs/>
          <w:color w:val="1A7A1A"/>
          <w:sz w:val="28"/>
          <w:szCs w:val="28"/>
        </w:rPr>
        <w:t xml:space="preserve">2.4  Verified Fixed (Prior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160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Original Sev</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BUG-010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JWT token not blocklisted on logout — reuse possible after session 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00000"/>
                <w:sz w:val="18"/>
                <w:szCs w:val="18"/>
              </w:rPr>
              <w:t xml:space="preserve">Critical</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BUG-016</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Race condition in super_admin bootstrap — arbitrary account promotion</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C00000"/>
                <w:sz w:val="18"/>
                <w:szCs w:val="18"/>
              </w:rPr>
              <w:t xml:space="preserve">Critical</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BUG-026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unsafe-inline in script-src CSP — inline script execution bypass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00000"/>
                <w:sz w:val="18"/>
                <w:szCs w:val="18"/>
              </w:rPr>
              <w:t xml:space="preserve">Critical</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BUG-029</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SameSite=Lax on auth cookies — CSRF viable on cross-site navigation</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E04000"/>
                <w:sz w:val="18"/>
                <w:szCs w:val="18"/>
              </w:rPr>
              <w:t xml:space="preserve">High</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BUG-038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Base.metadata.create_all() in production — schema mutation on restart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04000"/>
                <w:sz w:val="18"/>
                <w:szCs w:val="18"/>
              </w:rPr>
              <w:t xml:space="preserve">High</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BUG-040</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Video upload limit 160 MB — bandwidth starvation / DoS vector</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E04000"/>
                <w:sz w:val="18"/>
                <w:szCs w:val="18"/>
              </w:rPr>
              <w:t xml:space="preserve">High</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C-22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SSTI in offer letter — Jinja2 standard env allowed template code execution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C00000"/>
                <w:sz w:val="18"/>
                <w:szCs w:val="18"/>
              </w:rPr>
              <w:t xml:space="preserve">Critical</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P2-H05</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SSRF in email ingestion resume fetch — no URL allowlist</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E04000"/>
                <w:sz w:val="18"/>
                <w:szCs w:val="18"/>
              </w:rPr>
              <w:t xml:space="preserve">High</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P2-L06</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Unauthenticated cron endpoints (/cron/check-reminders, /cron/check-arrivals)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04000"/>
                <w:sz w:val="18"/>
                <w:szCs w:val="18"/>
              </w:rPr>
              <w:t xml:space="preserve">High</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A007</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Wildcard or localhost in CORS allowed_origins in production</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E07800"/>
                <w:sz w:val="18"/>
                <w:szCs w:val="18"/>
              </w:rPr>
              <w:t xml:space="preserve">Medium</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75B6"/>
                <w:sz w:val="18"/>
                <w:szCs w:val="18"/>
              </w:rPr>
              <w:t xml:space="preserve">C-01/C-02</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Email enumeration and no OTP brute-force lockout on password reset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E07800"/>
                <w:sz w:val="18"/>
                <w:szCs w:val="18"/>
              </w:rPr>
              <w:t xml:space="preserve">Medium</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r>
        <w:tc>
          <w:tcPr>
            <w:tcW w:type="dxa" w:w="1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b/>
                <w:bCs/>
                <w:color w:val="2E75B6"/>
                <w:sz w:val="18"/>
                <w:szCs w:val="18"/>
              </w:rPr>
              <w:t xml:space="preserve">M-08</w:t>
            </w:r>
          </w:p>
        </w:tc>
        <w:tc>
          <w:tcPr>
            <w:tcW w:type="dxa" w:w="476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18"/>
                <w:szCs w:val="18"/>
              </w:rPr>
              <w:t xml:space="preserve">No HR domain allowlist — any email could register as HR</w:t>
            </w:r>
          </w:p>
        </w:tc>
        <w:tc>
          <w:tcPr>
            <w:tcW w:type="dxa" w:w="1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color w:val="E07800"/>
                <w:sz w:val="18"/>
                <w:szCs w:val="18"/>
              </w:rPr>
              <w:t xml:space="preserve">Medium</w:t>
            </w:r>
          </w:p>
        </w:tc>
        <w:tc>
          <w:tcPr>
            <w:tcW w:type="dxa" w:w="1600"/>
            <w:tcBorders>
              <w:top w:val="single" w:color="CCCCCC" w:sz="1"/>
              <w:left w:val="single" w:color="CCCCCC" w:sz="1"/>
              <w:bottom w:val="single" w:color="CCCCCC" w:sz="1"/>
              <w:right w:val="single" w:color="CCCCCC" w:sz="1"/>
            </w:tcBorders>
            <w:shd w:fill="E8F5E8" w:val="clear"/>
            <w:tcMar>
              <w:top w:type="dxa" w:w="60"/>
              <w:left w:type="dxa" w:w="120"/>
              <w:bottom w:type="dxa" w:w="60"/>
              <w:right w:type="dxa" w:w="120"/>
            </w:tcMar>
          </w:tcPr>
          <w:p>
            <w:r>
              <w:rPr>
                <w:rFonts w:ascii="Arial" w:cs="Arial" w:eastAsia="Arial" w:hAnsi="Arial"/>
                <w:b/>
                <w:bCs/>
                <w:color w:val="1A7A1A"/>
                <w:sz w:val="18"/>
                <w:szCs w:val="18"/>
              </w:rPr>
              <w:t xml:space="preserve">Fixed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3. Production Readiness</w:t>
      </w:r>
    </w:p>
    <w:p>
      <w:pPr>
        <w:spacing w:after="60" w:before="60"/>
      </w:pPr>
      <w:r>
        <w:t xml:space="preserve"/>
      </w:r>
    </w:p>
    <w:p>
      <w:pPr>
        <w:pBdr>
          <w:bottom w:val="single" w:color="2E75B6" w:sz="6" w:space="1"/>
        </w:pBdr>
        <w:spacing w:after="60" w:before="300"/>
      </w:pPr>
      <w:r>
        <w:rPr>
          <w:rFonts w:ascii="Arial" w:cs="Arial" w:eastAsia="Arial" w:hAnsi="Arial"/>
          <w:b/>
          <w:bCs/>
          <w:color w:val="2E75B6"/>
          <w:sz w:val="28"/>
          <w:szCs w:val="28"/>
        </w:rPr>
        <w:t xml:space="preserve">3.1  Deployment &amp; Infrastructure</w:t>
      </w:r>
    </w:p>
    <w:p>
      <w:pPr>
        <w:spacing w:after="60" w:before="60"/>
      </w:pPr>
      <w:r>
        <w:t xml:space="preserve"/>
      </w:r>
    </w:p>
    <w:p>
      <w:pPr>
        <w:spacing w:after="80" w:before="200"/>
      </w:pPr>
      <w:r>
        <w:rPr>
          <w:rFonts w:ascii="Arial" w:cs="Arial" w:eastAsia="Arial" w:hAnsi="Arial"/>
          <w:b/>
          <w:bCs/>
          <w:color w:val="333333"/>
          <w:sz w:val="22"/>
          <w:szCs w:val="22"/>
        </w:rPr>
        <w:t xml:space="preserve">Blue/Green Zero-Downtime Deployment</w:t>
      </w:r>
    </w:p>
    <w:p>
      <w:pPr>
        <w:spacing w:after="80" w:before="60"/>
      </w:pPr>
      <w:r>
        <w:rPr>
          <w:rFonts w:ascii="Arial" w:cs="Arial" w:eastAsia="Arial" w:hAnsi="Arial"/>
          <w:color w:val="1A7A1A"/>
          <w:sz w:val="20"/>
          <w:szCs w:val="20"/>
        </w:rPr>
        <w:t xml:space="preserve">The docker-compose.prod.yml correctly implements a blue/green container strategy with frontend_blue, backend_blue, frontend_green, backend_green services. Healthchecks are defined on all four services. The deploy-zero-downtime.sh script and GitHub Actions workflow (deploy.yml) integrate cleanly. Deployment correctly gates on service_healthy before nginx routing.</w:t>
      </w:r>
    </w:p>
    <w:p>
      <w:pPr>
        <w:spacing w:after="60" w:before="60"/>
      </w:pPr>
      <w:r>
        <w:t xml:space="preserve"/>
      </w:r>
    </w:p>
    <w:p>
      <w:pPr>
        <w:spacing w:after="80" w:before="200"/>
      </w:pPr>
      <w:r>
        <w:rPr>
          <w:rFonts w:ascii="Arial" w:cs="Arial" w:eastAsia="Arial" w:hAnsi="Arial"/>
          <w:b/>
          <w:bCs/>
          <w:color w:val="333333"/>
          <w:sz w:val="22"/>
          <w:szCs w:val="22"/>
        </w:rPr>
        <w:t xml:space="preserve">nginx Configuration</w:t>
      </w:r>
    </w:p>
    <w:p>
      <w:pPr>
        <w:pStyle w:val="ListParagraph"/>
        <w:numPr>
          <w:ilvl w:val="0"/>
          <w:numId w:val="2"/>
        </w:numPr>
        <w:spacing w:after="40" w:before="40"/>
      </w:pPr>
      <w:r>
        <w:rPr>
          <w:rFonts w:ascii="Arial" w:cs="Arial" w:eastAsia="Arial" w:hAnsi="Arial"/>
          <w:sz w:val="20"/>
          <w:szCs w:val="20"/>
        </w:rPr>
        <w:t xml:space="preserve">Rate limiting zones defined: auth (5r/m), api (60r/m, burst=100).</w:t>
      </w:r>
    </w:p>
    <w:p>
      <w:pPr>
        <w:pStyle w:val="ListParagraph"/>
        <w:numPr>
          <w:ilvl w:val="0"/>
          <w:numId w:val="2"/>
        </w:numPr>
        <w:spacing w:after="40" w:before="40"/>
      </w:pPr>
      <w:r>
        <w:rPr>
          <w:rFonts w:ascii="Arial" w:cs="Arial" w:eastAsia="Arial" w:hAnsi="Arial"/>
          <w:sz w:val="20"/>
          <w:szCs w:val="20"/>
        </w:rPr>
        <w:t xml:space="preserve">Upload limits properly tiered: interviews/video 50 MB, applications 10 MB, default implicit.</w:t>
      </w:r>
    </w:p>
    <w:p>
      <w:pPr>
        <w:pStyle w:val="ListParagraph"/>
        <w:numPr>
          <w:ilvl w:val="0"/>
          <w:numId w:val="2"/>
        </w:numPr>
        <w:spacing w:after="40" w:before="40"/>
      </w:pPr>
      <w:r>
        <w:rPr>
          <w:rFonts w:ascii="Arial" w:cs="Arial" w:eastAsia="Arial" w:hAnsi="Arial"/>
          <w:sz w:val="20"/>
          <w:szCs w:val="20"/>
        </w:rPr>
        <w:t xml:space="preserve">BUG-040 fix confirmed: video/transcribe endpoint capped at 50 MB with limit_rate_after 10 MB + limit_rate 2 MB/s.</w:t>
      </w:r>
    </w:p>
    <w:p>
      <w:pPr>
        <w:pStyle w:val="ListParagraph"/>
        <w:numPr>
          <w:ilvl w:val="0"/>
          <w:numId w:val="2"/>
        </w:numPr>
        <w:spacing w:after="40" w:before="40"/>
      </w:pPr>
      <w:r>
        <w:rPr>
          <w:rFonts w:ascii="Arial" w:cs="Arial" w:eastAsia="Arial" w:hAnsi="Arial"/>
          <w:sz w:val="20"/>
          <w:szCs w:val="20"/>
        </w:rPr>
        <w:t xml:space="preserve">WebSocket upgrade path (/calrims/ws/) correctly sets Upgrade and Connection headers.</w:t>
      </w:r>
    </w:p>
    <w:p>
      <w:pPr>
        <w:pStyle w:val="ListParagraph"/>
        <w:numPr>
          <w:ilvl w:val="0"/>
          <w:numId w:val="2"/>
        </w:numPr>
        <w:spacing w:after="40" w:before="40"/>
      </w:pPr>
      <w:r>
        <w:rPr>
          <w:rFonts w:ascii="Arial" w:cs="Arial" w:eastAsia="Arial" w:hAnsi="Arial"/>
          <w:sz w:val="20"/>
          <w:szCs w:val="20"/>
        </w:rPr>
        <w:t xml:space="preserve">FINDING PR-M01 (see below): nginx does not set X-Frame-Options, X-Content-Type-Options, or CSP on frontend responses.</w:t>
      </w:r>
    </w:p>
    <w:p>
      <w:pPr>
        <w:spacing w:after="60" w:before="60"/>
      </w:pPr>
      <w:r>
        <w:t xml:space="preserve"/>
      </w:r>
    </w:p>
    <w:p>
      <w:pPr>
        <w:spacing w:after="80" w:before="200"/>
      </w:pPr>
      <w:r>
        <w:rPr>
          <w:rFonts w:ascii="Arial" w:cs="Arial" w:eastAsia="Arial" w:hAnsi="Arial"/>
          <w:b/>
          <w:bCs/>
          <w:color w:val="333333"/>
          <w:sz w:val="22"/>
          <w:szCs w:val="22"/>
        </w:rPr>
        <w:t xml:space="preserve">Docker Hardening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PR-M01: </w:t>
            </w:r>
            <w:r>
              <w:rPr>
                <w:rFonts w:ascii="Arial" w:cs="Arial" w:eastAsia="Arial" w:hAnsi="Arial"/>
                <w:b/>
                <w:bCs/>
                <w:color w:val="1A1A1A"/>
                <w:sz w:val="21"/>
                <w:szCs w:val="21"/>
              </w:rPr>
              <w:t xml:space="preserve">No Resource Limits on Docker Containers</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docker-compose.prod.yml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Neither the frontend nor backend services define mem_limit, cpus, or ulimits in docker-compose.prod.yml. A memory leak or traffic spike in one container can exhaust host resources and take down the entire deployment.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four service definitions (frontend_blue/green, backend_blue/green) have no deploy.resources.limits or top-level mem_limit/cpus fields.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resource constraints to each service, e.g.: deploy: { resources: { limits: { cpus: "1.0", memory: "1G" } } }. Tune values based on observed baseline usage in production.</w:t>
            </w:r>
          </w:p>
        </w:tc>
      </w:tr>
    </w:tbl>
    <w:p>
      <w:pPr>
        <w:spacing w:after="60" w:before="60"/>
      </w:pPr>
      <w:r>
        <w:t xml:space="preserve"/>
      </w:r>
    </w:p>
    <w:p>
      <w:pPr>
        <w:pBdr>
          <w:bottom w:val="single" w:color="2E75B6" w:sz="6" w:space="1"/>
        </w:pBdr>
        <w:spacing w:after="60" w:before="300"/>
      </w:pPr>
      <w:r>
        <w:rPr>
          <w:rFonts w:ascii="Arial" w:cs="Arial" w:eastAsia="Arial" w:hAnsi="Arial"/>
          <w:b/>
          <w:bCs/>
          <w:color w:val="2E75B6"/>
          <w:sz w:val="28"/>
          <w:szCs w:val="28"/>
        </w:rPr>
        <w:t xml:space="preserve">3.2  Configuration &amp; Secrets</w:t>
      </w:r>
    </w:p>
    <w:p>
      <w:pPr>
        <w:spacing w:after="60" w:before="60"/>
      </w:pPr>
      <w:r>
        <w:t xml:space="preserve"/>
      </w:r>
    </w:p>
    <w:p>
      <w:pPr>
        <w:spacing w:after="80" w:before="200"/>
      </w:pPr>
      <w:r>
        <w:rPr>
          <w:rFonts w:ascii="Arial" w:cs="Arial" w:eastAsia="Arial" w:hAnsi="Arial"/>
          <w:b/>
          <w:bCs/>
          <w:color w:val="333333"/>
          <w:sz w:val="22"/>
          <w:szCs w:val="22"/>
        </w:rPr>
        <w:t xml:space="preserve">Startup Validation</w:t>
      </w:r>
    </w:p>
    <w:p>
      <w:pPr>
        <w:spacing w:after="80" w:before="60"/>
      </w:pPr>
      <w:r>
        <w:rPr>
          <w:rFonts w:ascii="Arial" w:cs="Arial" w:eastAsia="Arial" w:hAnsi="Arial"/>
          <w:sz w:val="20"/>
          <w:szCs w:val="20"/>
        </w:rPr>
        <w:t xml:space="preserve">validate_config() in config.py correctly gates on DATABASE_URL and JWT_SECRET at startup, raises ValueError for missing values, and warns on short JWT secrets (&lt; 32 chars). INTERVIEW_JWT_SECRET is required in production. The super_admin bootstrap uses pg_advisory_xact_lock for race-free initialization.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PR-L01: </w:t>
            </w:r>
            <w:r>
              <w:rPr>
                <w:rFonts w:ascii="Arial" w:cs="Arial" w:eastAsia="Arial" w:hAnsi="Arial"/>
                <w:b/>
                <w:bCs/>
                <w:color w:val="1A1A1A"/>
                <w:sz w:val="21"/>
                <w:szCs w:val="21"/>
              </w:rPr>
              <w:t xml:space="preserve">SENTRY_DSN Defined in Config but Never Initialized</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backend/app/core/config.py:104  |  backend/app/main.py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Settings model declares a sentry_dsn field and it is validated/warned about in config.py. However, sentry_sdk.init() is never called anywhere in main.py or any startup path. Unhandled exceptions and performance data are therefore not sent to Sentry despite the infrastructure being wired for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grep of entire backend: no sentry_sdk import found outside of config.py field declaration.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sentry_sdk initialization in main.py before middleware registration: `if settings.sentry_dsn: import sentry_sdk; sentry_sdk.init(dsn=settings.sentry_dsn, environment=settings.env, traces_sample_rate=0.1)`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PR-L02: </w:t>
            </w:r>
            <w:r>
              <w:rPr>
                <w:rFonts w:ascii="Arial" w:cs="Arial" w:eastAsia="Arial" w:hAnsi="Arial"/>
                <w:b/>
                <w:bCs/>
                <w:color w:val="1A1A1A"/>
                <w:sz w:val="21"/>
                <w:szCs w:val="21"/>
              </w:rPr>
              <w:t xml:space="preserve">In-Memory Idempotency Cache Silently Falls Back on Redis Absence</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backend/app/core/idempotency.py  |  backend/app/core/redis_store.py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 (Accepted Risk)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When REDIS_URL is not configured, idempotency replay falls back to a local in-process dict. In a multi-worker Gunicorn deployment (gunicorn_conf.py uses multiple workers by default), idempotency is not shared across workers. Duplicate requests routed to different workers will both execute. A warning is logged, but the behavior is silent to API callers.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config.py validate_config() logs "REDIS_URL is missing. Idempotency replay cache will fall back to local in-process memory." This is a warning, not an error, even in production.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Enforce REDIS_URL as a fatal requirement in production environments: add it to the fatal_required dict when self.env == "production".</w:t>
            </w:r>
          </w:p>
        </w:tc>
      </w:tr>
    </w:tbl>
    <w:p>
      <w:pPr>
        <w:spacing w:after="60" w:before="60"/>
      </w:pPr>
      <w:r>
        <w:t xml:space="preserve"/>
      </w:r>
    </w:p>
    <w:p>
      <w:pPr>
        <w:pBdr>
          <w:bottom w:val="single" w:color="2E75B6" w:sz="6" w:space="1"/>
        </w:pBdr>
        <w:spacing w:after="60" w:before="300"/>
      </w:pPr>
      <w:r>
        <w:rPr>
          <w:rFonts w:ascii="Arial" w:cs="Arial" w:eastAsia="Arial" w:hAnsi="Arial"/>
          <w:b/>
          <w:bCs/>
          <w:color w:val="2E75B6"/>
          <w:sz w:val="28"/>
          <w:szCs w:val="28"/>
        </w:rPr>
        <w:t xml:space="preserve">3.3  Observability &amp; Monitoring</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Structured JSON logging via observability.py with PII scrubbing (email, phone masking). Well-implemented.</w:t>
      </w:r>
    </w:p>
    <w:p>
      <w:pPr>
        <w:pStyle w:val="ListParagraph"/>
        <w:numPr>
          <w:ilvl w:val="0"/>
          <w:numId w:val="2"/>
        </w:numPr>
        <w:spacing w:after="40" w:before="40"/>
      </w:pPr>
      <w:r>
        <w:rPr>
          <w:rFonts w:ascii="Arial" w:cs="Arial" w:eastAsia="Arial" w:hAnsi="Arial"/>
          <w:sz w:val="20"/>
          <w:szCs w:val="20"/>
        </w:rPr>
        <w:t xml:space="preserve">PerformanceLoggingMiddleware logs slow routes &gt; 500 ms. Appropriate threshold.</w:t>
      </w:r>
    </w:p>
    <w:p>
      <w:pPr>
        <w:pStyle w:val="ListParagraph"/>
        <w:numPr>
          <w:ilvl w:val="0"/>
          <w:numId w:val="2"/>
        </w:numPr>
        <w:spacing w:after="40" w:before="40"/>
      </w:pPr>
      <w:r>
        <w:rPr>
          <w:rFonts w:ascii="Arial" w:cs="Arial" w:eastAsia="Arial" w:hAnsi="Arial"/>
          <w:sz w:val="20"/>
          <w:szCs w:val="20"/>
        </w:rPr>
        <w:t xml:space="preserve">AI score deviation alerting via log_ai_score_deviation (&lt; 2.0 or &gt; 9.0). Good signal.</w:t>
      </w:r>
    </w:p>
    <w:p>
      <w:pPr>
        <w:pStyle w:val="ListParagraph"/>
        <w:numPr>
          <w:ilvl w:val="0"/>
          <w:numId w:val="2"/>
        </w:numPr>
        <w:spacing w:after="40" w:before="40"/>
      </w:pPr>
      <w:r>
        <w:rPr>
          <w:rFonts w:ascii="Arial" w:cs="Arial" w:eastAsia="Arial" w:hAnsi="Arial"/>
          <w:sz w:val="20"/>
          <w:szCs w:val="20"/>
        </w:rPr>
        <w:t xml:space="preserve">IMAP health status exposed in /health endpoint with stuck/delayed detection. Production-ready.</w:t>
      </w:r>
    </w:p>
    <w:p>
      <w:pPr>
        <w:pStyle w:val="ListParagraph"/>
        <w:numPr>
          <w:ilvl w:val="0"/>
          <w:numId w:val="2"/>
        </w:numPr>
        <w:spacing w:after="40" w:before="40"/>
      </w:pPr>
      <w:r>
        <w:rPr>
          <w:rFonts w:ascii="Arial" w:cs="Arial" w:eastAsia="Arial" w:hAnsi="Arial"/>
          <w:sz w:val="20"/>
          <w:szCs w:val="20"/>
        </w:rPr>
        <w:t xml:space="preserve">FINDING PR-L01: Sentry DSN configured but never initialized (see above).</w:t>
      </w:r>
    </w:p>
    <w:p>
      <w:pPr>
        <w:pStyle w:val="ListParagraph"/>
        <w:numPr>
          <w:ilvl w:val="0"/>
          <w:numId w:val="2"/>
        </w:numPr>
        <w:spacing w:after="40" w:before="40"/>
      </w:pPr>
      <w:r>
        <w:rPr>
          <w:rFonts w:ascii="Arial" w:cs="Arial" w:eastAsia="Arial" w:hAnsi="Arial"/>
          <w:sz w:val="20"/>
          <w:szCs w:val="20"/>
        </w:rPr>
        <w:t xml:space="preserve">No distributed tracing (OpenTelemetry) — acceptable for current scale.</w:t>
      </w:r>
    </w:p>
    <w:p>
      <w:pPr>
        <w:spacing w:after="60" w:before="60"/>
      </w:pPr>
      <w:r>
        <w:t xml:space="preserve"/>
      </w:r>
    </w:p>
    <w:p>
      <w:pPr>
        <w:pBdr>
          <w:bottom w:val="single" w:color="2E75B6" w:sz="6" w:space="1"/>
        </w:pBdr>
        <w:spacing w:after="60" w:before="300"/>
      </w:pPr>
      <w:r>
        <w:rPr>
          <w:rFonts w:ascii="Arial" w:cs="Arial" w:eastAsia="Arial" w:hAnsi="Arial"/>
          <w:b/>
          <w:bCs/>
          <w:color w:val="2E75B6"/>
          <w:sz w:val="28"/>
          <w:szCs w:val="28"/>
        </w:rPr>
        <w:t xml:space="preserve">3.4  Database &amp; Migrations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PR-M02: </w:t>
            </w:r>
            <w:r>
              <w:rPr>
                <w:rFonts w:ascii="Arial" w:cs="Arial" w:eastAsia="Arial" w:hAnsi="Arial"/>
                <w:b/>
                <w:bCs/>
                <w:color w:val="1A1A1A"/>
                <w:sz w:val="21"/>
                <w:szCs w:val="21"/>
              </w:rPr>
              <w:t xml:space="preserve">No RLS Policies in Supabase Schema</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setup/production_schema.sql  |  supabase/migrations/*.sql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Neither the production schema SQL nor any Supabase migration file defines Row Level Security policies. The backend uses service_role key (bypasses RLS), so this is not an immediate exploit path. However, if any anon_key or direct Supabase client access is ever introduced, all tables would be openly readable/writable. RLS also provides defense-in-depth against bugs in the application-layer authorization logic.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grep across all SQL files: zero occurrences of ALTER TABLE ... ENABLE ROW LEVEL SECURITY or CREATE POLICY.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At minimum enable RLS with a restrictive default policy on all tables: ALTER TABLE users ENABLE ROW LEVEL SECURITY; CREATE POLICY "deny all" ON users FOR ALL USING (false); then add explicit policies for the service role. This is low-effort and high-value defense-in-depth.</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startup migration guard (WORKER_ID==0 check) prevents duplicate migration runs in multi-worker Gunicorn. Correct.</w:t>
      </w:r>
    </w:p>
    <w:p>
      <w:pPr>
        <w:pStyle w:val="ListParagraph"/>
        <w:numPr>
          <w:ilvl w:val="0"/>
          <w:numId w:val="2"/>
        </w:numPr>
        <w:spacing w:after="40" w:before="40"/>
      </w:pPr>
      <w:r>
        <w:rPr>
          <w:rFonts w:ascii="Arial" w:cs="Arial" w:eastAsia="Arial" w:hAnsi="Arial"/>
          <w:sz w:val="20"/>
          <w:szCs w:val="20"/>
        </w:rPr>
        <w:t xml:space="preserve">create_all() disabled in production. Alembic-only path enforced. Correct.</w:t>
      </w:r>
    </w:p>
    <w:p>
      <w:pPr>
        <w:pStyle w:val="ListParagraph"/>
        <w:numPr>
          <w:ilvl w:val="0"/>
          <w:numId w:val="2"/>
        </w:numPr>
        <w:spacing w:after="40" w:before="40"/>
      </w:pPr>
      <w:r>
        <w:rPr>
          <w:rFonts w:ascii="Arial" w:cs="Arial" w:eastAsia="Arial" w:hAnsi="Arial"/>
          <w:sz w:val="20"/>
          <w:szCs w:val="20"/>
        </w:rPr>
        <w:t xml:space="preserve">column_exists() helper in migrations.py prevents duplicate ADD COLUMN failures. Correct.</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4. Code Quality</w:t>
      </w:r>
    </w:p>
    <w:p>
      <w:pPr>
        <w:spacing w:after="60" w:before="60"/>
      </w:pPr>
      <w:r>
        <w:t xml:space="preserve"/>
      </w:r>
    </w:p>
    <w:p>
      <w:pPr>
        <w:pBdr>
          <w:bottom w:val="single" w:color="1A7A1A" w:sz="6" w:space="1"/>
        </w:pBdr>
        <w:spacing w:after="60" w:before="300"/>
      </w:pPr>
      <w:r>
        <w:rPr>
          <w:rFonts w:ascii="Arial" w:cs="Arial" w:eastAsia="Arial" w:hAnsi="Arial"/>
          <w:b/>
          <w:bCs/>
          <w:color w:val="1A7A1A"/>
          <w:sz w:val="28"/>
          <w:szCs w:val="28"/>
        </w:rPr>
        <w:t xml:space="preserve">4.1  Strengths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Pydantic v2 schemas throughout with field_validator on sensitive fields (email format, IMAP password length).</w:t>
      </w:r>
    </w:p>
    <w:p>
      <w:pPr>
        <w:pStyle w:val="ListParagraph"/>
        <w:numPr>
          <w:ilvl w:val="0"/>
          <w:numId w:val="2"/>
        </w:numPr>
        <w:spacing w:after="40" w:before="40"/>
      </w:pPr>
      <w:r>
        <w:rPr>
          <w:rFonts w:ascii="Arial" w:cs="Arial" w:eastAsia="Arial" w:hAnsi="Arial"/>
          <w:sz w:val="20"/>
          <w:szCs w:val="20"/>
        </w:rPr>
        <w:t xml:space="preserve">SQLAlchemy ORM used consistently — raw text() calls are present only for DDL and advisory locks, all parameterized.</w:t>
      </w:r>
    </w:p>
    <w:p>
      <w:pPr>
        <w:pStyle w:val="ListParagraph"/>
        <w:numPr>
          <w:ilvl w:val="0"/>
          <w:numId w:val="2"/>
        </w:numPr>
        <w:spacing w:after="40" w:before="40"/>
      </w:pPr>
      <w:r>
        <w:rPr>
          <w:rFonts w:ascii="Arial" w:cs="Arial" w:eastAsia="Arial" w:hAnsi="Arial"/>
          <w:sz w:val="20"/>
          <w:szCs w:val="20"/>
        </w:rPr>
        <w:t xml:space="preserve">ilike() used for search rather than LIKE + manual escaping — no SQL injection via search parameters.</w:t>
      </w:r>
    </w:p>
    <w:p>
      <w:pPr>
        <w:pStyle w:val="ListParagraph"/>
        <w:numPr>
          <w:ilvl w:val="0"/>
          <w:numId w:val="2"/>
        </w:numPr>
        <w:spacing w:after="40" w:before="40"/>
      </w:pPr>
      <w:r>
        <w:rPr>
          <w:rFonts w:ascii="Arial" w:cs="Arial" w:eastAsia="Arial" w:hAnsi="Arial"/>
          <w:sz w:val="20"/>
          <w:szCs w:val="20"/>
        </w:rPr>
        <w:t xml:space="preserve">File uploads validated on both extension and MIME type with size limits (jobs.py: 5 MB cap, UUID-based filenames).</w:t>
      </w:r>
    </w:p>
    <w:p>
      <w:pPr>
        <w:pStyle w:val="ListParagraph"/>
        <w:numPr>
          <w:ilvl w:val="0"/>
          <w:numId w:val="2"/>
        </w:numPr>
        <w:spacing w:after="40" w:before="40"/>
      </w:pPr>
      <w:r>
        <w:rPr>
          <w:rFonts w:ascii="Arial" w:cs="Arial" w:eastAsia="Arial" w:hAnsi="Arial"/>
          <w:sz w:val="20"/>
          <w:szCs w:val="20"/>
        </w:rPr>
        <w:t xml:space="preserve">Magic byte validation on email-ingested attachments (PDF 0x25 0x50 0x44 0x46, DOCX ZIP header check). Strong.</w:t>
      </w:r>
    </w:p>
    <w:p>
      <w:pPr>
        <w:pStyle w:val="ListParagraph"/>
        <w:numPr>
          <w:ilvl w:val="0"/>
          <w:numId w:val="2"/>
        </w:numPr>
        <w:spacing w:after="40" w:before="40"/>
      </w:pPr>
      <w:r>
        <w:rPr>
          <w:rFonts w:ascii="Arial" w:cs="Arial" w:eastAsia="Arial" w:hAnsi="Arial"/>
          <w:sz w:val="20"/>
          <w:szCs w:val="20"/>
        </w:rPr>
        <w:t xml:space="preserve">html.escape() used consistently throughout email_service.py on all user-supplied strings.</w:t>
      </w:r>
    </w:p>
    <w:p>
      <w:pPr>
        <w:pStyle w:val="ListParagraph"/>
        <w:numPr>
          <w:ilvl w:val="0"/>
          <w:numId w:val="2"/>
        </w:numPr>
        <w:spacing w:after="40" w:before="40"/>
      </w:pPr>
      <w:r>
        <w:rPr>
          <w:rFonts w:ascii="Arial" w:cs="Arial" w:eastAsia="Arial" w:hAnsi="Arial"/>
          <w:sz w:val="20"/>
          <w:szCs w:val="20"/>
        </w:rPr>
        <w:t xml:space="preserve">Tenacity retry with exponential backoff on AI calls; graceful degradation to "AI_DISABLED" sentinel.</w:t>
      </w:r>
    </w:p>
    <w:p>
      <w:pPr>
        <w:pStyle w:val="ListParagraph"/>
        <w:numPr>
          <w:ilvl w:val="0"/>
          <w:numId w:val="2"/>
        </w:numPr>
        <w:spacing w:after="40" w:before="40"/>
      </w:pPr>
      <w:r>
        <w:rPr>
          <w:rFonts w:ascii="Arial" w:cs="Arial" w:eastAsia="Arial" w:hAnsi="Arial"/>
          <w:sz w:val="20"/>
          <w:szCs w:val="20"/>
        </w:rPr>
        <w:t xml:space="preserve">nh3 HTML sanitizer applied to all AI-generated content before storage/rendering (ai_client.py:sanitize_content).</w:t>
      </w:r>
    </w:p>
    <w:p>
      <w:pPr>
        <w:spacing w:after="60" w:before="60"/>
      </w:pPr>
      <w:r>
        <w:t xml:space="preserve"/>
      </w:r>
    </w:p>
    <w:p>
      <w:pPr>
        <w:pBdr>
          <w:bottom w:val="single" w:color="E07800" w:sz="6" w:space="1"/>
        </w:pBdr>
        <w:spacing w:after="60" w:before="300"/>
      </w:pPr>
      <w:r>
        <w:rPr>
          <w:rFonts w:ascii="Arial" w:cs="Arial" w:eastAsia="Arial" w:hAnsi="Arial"/>
          <w:b/>
          <w:bCs/>
          <w:color w:val="E07800"/>
          <w:sz w:val="28"/>
          <w:szCs w:val="28"/>
        </w:rPr>
        <w:t xml:space="preserve">4.2  Issues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CQ-M01: </w:t>
            </w:r>
            <w:r>
              <w:rPr>
                <w:rFonts w:ascii="Arial" w:cs="Arial" w:eastAsia="Arial" w:hAnsi="Arial"/>
                <w:b/>
                <w:bCs/>
                <w:color w:val="1A1A1A"/>
                <w:sz w:val="21"/>
                <w:szCs w:val="21"/>
              </w:rPr>
              <w:t xml:space="preserve">88 console.log Calls in Frontend Production Code</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frontend/modules/interview/InterviewSession.tsx (primary)  |  various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next.config.mjs sets removeConsole: { exclude: ["error"] } in production builds, which should strip console.log. However, the 88 console.log calls in InterviewSession.tsx and related modules expose internal state (camera reconnection logic, proctoring strike details, video upload flow) in development and staging environments. This also creates noise and can slow execution in long interview sessions.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88 console.log instances found across frontend/. The InterviewSession.tsx file alone has ~25+, many logging security-sensitive proctoring events.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Replace development-only logs with a logger utility that gates on process.env.NODE_ENV === "development". For proctoring and security-relevant events, replace with structured server-side event reporting rather than client-side console output.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CQ-L01: </w:t>
            </w:r>
            <w:r>
              <w:rPr>
                <w:rFonts w:ascii="Arial" w:cs="Arial" w:eastAsia="Arial" w:hAnsi="Arial"/>
                <w:b/>
                <w:bCs/>
                <w:color w:val="1A1A1A"/>
                <w:sz w:val="21"/>
                <w:szCs w:val="21"/>
              </w:rPr>
              <w:t xml:space="preserve">typescript ignoreBuildErrors: true in next.config.mjs</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frontend/next.config.mjs:9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Next.js config sets typescript: { ignoreBuildErrors: true }. This means TypeScript type errors are silently ignored during production builds. Type errors that would normally block deployment can ship undetected, including potential null-dereference bugs and incorrect API response shape assumptions.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ignoreBuildErrors: true set unconditionally, not just for development.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Remove ignoreBuildErrors or set it conditionally: `ignoreBuildErrors: process.env.NODE_ENV !== "production"`. Fix the underlying TypeScript errors that this was masking. Run tsc --noEmit as a CI step to surface them.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CQ-L02: </w:t>
            </w:r>
            <w:r>
              <w:rPr>
                <w:rFonts w:ascii="Arial" w:cs="Arial" w:eastAsia="Arial" w:hAnsi="Arial"/>
                <w:b/>
                <w:bCs/>
                <w:color w:val="1A1A1A"/>
                <w:sz w:val="21"/>
                <w:szCs w:val="21"/>
              </w:rPr>
              <w:t xml:space="preserve">Hardcoded Internal IP in next.config.mjs allowedDevOrigins</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frontend/next.config.mjs:4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 (Minor)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allowedDevOrigins includes "192.168.1.173" — a developer machine's LAN IP hardcoded into the repository. This exposes the internal network topology of the development environment in the public codebase and may cause dev-server CORS confusion when the IP changes.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allowedDevOrigins: ["127.0.0.1", "localhost:3000", "192.168.1.173", "192.168.1.173:3000"]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Remove the hardcoded LAN IP. Use an environment variable: process.env.NEXT_PUBLIC_DEV_ORIGIN for local overrides, and keep allowedDevOrigins to loopback addresses only in the repository.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CQ-L03: </w:t>
            </w:r>
            <w:r>
              <w:rPr>
                <w:rFonts w:ascii="Arial" w:cs="Arial" w:eastAsia="Arial" w:hAnsi="Arial"/>
                <w:b/>
                <w:bCs/>
                <w:color w:val="1A1A1A"/>
                <w:sz w:val="21"/>
                <w:szCs w:val="21"/>
              </w:rPr>
              <w:t xml:space="preserve">Job Delete Endpoint Missing Audit Log</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backend/app/api/jobs.py:763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DELETE /jobs/{job_id} endpoint performs a destructive cascade-delete of the job, all applications, all interviews, all answers, and all hiring decisions. This operation is not logged to the AuditLog table. All other major state changes (job created, application submitted, AI analysis) generate audit entries. A deleted job is unrecoverable and should produce an audit trail.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No CandidateService.create_audit_log() call anywhere in the delete_job() function. Job creation at jobs.py:489 does create an audit entry.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Add an audit log entry before the cascade delete: `CandidateService(db).create_audit_log(current_user.id, "JOB_DELETED", "Job", job_id, {"title": job.title, "application_count": len(applications)}, is_critical=True)`</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5. Architecture Review</w:t>
      </w:r>
    </w:p>
    <w:p>
      <w:pPr>
        <w:spacing w:after="60" w:before="60"/>
      </w:pPr>
      <w:r>
        <w:t xml:space="preserve"/>
      </w:r>
    </w:p>
    <w:p>
      <w:pPr>
        <w:pBdr>
          <w:bottom w:val="single" w:color="1A7A1A" w:sz="6" w:space="1"/>
        </w:pBdr>
        <w:spacing w:after="60" w:before="300"/>
      </w:pPr>
      <w:r>
        <w:rPr>
          <w:rFonts w:ascii="Arial" w:cs="Arial" w:eastAsia="Arial" w:hAnsi="Arial"/>
          <w:b/>
          <w:bCs/>
          <w:color w:val="1A7A1A"/>
          <w:sz w:val="28"/>
          <w:szCs w:val="28"/>
        </w:rPr>
        <w:t xml:space="preserve">5.1  Strengths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Clean layered structure: api/ (routes) → services/ (business logic) → domain/ (models/schemas) → infrastructure/ (db). No circular dependency issues observed.</w:t>
      </w:r>
    </w:p>
    <w:p>
      <w:pPr>
        <w:pStyle w:val="ListParagraph"/>
        <w:numPr>
          <w:ilvl w:val="0"/>
          <w:numId w:val="2"/>
        </w:numPr>
        <w:spacing w:after="40" w:before="40"/>
      </w:pPr>
      <w:r>
        <w:rPr>
          <w:rFonts w:ascii="Arial" w:cs="Arial" w:eastAsia="Arial" w:hAnsi="Arial"/>
          <w:sz w:val="20"/>
          <w:szCs w:val="20"/>
        </w:rPr>
        <w:t xml:space="preserve">StandardizedAPIRoute wrapper enforces consistent response envelope {success, data, error} across all routes.</w:t>
      </w:r>
    </w:p>
    <w:p>
      <w:pPr>
        <w:pStyle w:val="ListParagraph"/>
        <w:numPr>
          <w:ilvl w:val="0"/>
          <w:numId w:val="2"/>
        </w:numPr>
        <w:spacing w:after="40" w:before="40"/>
      </w:pPr>
      <w:r>
        <w:rPr>
          <w:rFonts w:ascii="Arial" w:cs="Arial" w:eastAsia="Arial" w:hAnsi="Arial"/>
          <w:sz w:val="20"/>
          <w:szCs w:val="20"/>
        </w:rPr>
        <w:t xml:space="preserve">State machine pattern (state_machine.py) for candidate pipeline transitions. Transition guards with 2-second advisory locks prevent concurrent state corruption.</w:t>
      </w:r>
    </w:p>
    <w:p>
      <w:pPr>
        <w:pStyle w:val="ListParagraph"/>
        <w:numPr>
          <w:ilvl w:val="0"/>
          <w:numId w:val="2"/>
        </w:numPr>
        <w:spacing w:after="40" w:before="40"/>
      </w:pPr>
      <w:r>
        <w:rPr>
          <w:rFonts w:ascii="Arial" w:cs="Arial" w:eastAsia="Arial" w:hAnsi="Arial"/>
          <w:sz w:val="20"/>
          <w:szCs w:val="20"/>
        </w:rPr>
        <w:t xml:space="preserve">AI provider abstraction (ai_client.py) uses single Groq client with retry/fallback. Config supports multiple key rotation via comma-separated values.</w:t>
      </w:r>
    </w:p>
    <w:p>
      <w:pPr>
        <w:pStyle w:val="ListParagraph"/>
        <w:numPr>
          <w:ilvl w:val="0"/>
          <w:numId w:val="2"/>
        </w:numPr>
        <w:spacing w:after="40" w:before="40"/>
      </w:pPr>
      <w:r>
        <w:rPr>
          <w:rFonts w:ascii="Arial" w:cs="Arial" w:eastAsia="Arial" w:hAnsi="Arial"/>
          <w:sz w:val="20"/>
          <w:szCs w:val="20"/>
        </w:rPr>
        <w:t xml:space="preserve">Interview JWT isolated to a separate secret (interview_jwt_secret) from staff JWT. Different secrets, different roles — correct.</w:t>
      </w:r>
    </w:p>
    <w:p>
      <w:pPr>
        <w:pStyle w:val="ListParagraph"/>
        <w:numPr>
          <w:ilvl w:val="0"/>
          <w:numId w:val="2"/>
        </w:numPr>
        <w:spacing w:after="40" w:before="40"/>
      </w:pPr>
      <w:r>
        <w:rPr>
          <w:rFonts w:ascii="Arial" w:cs="Arial" w:eastAsia="Arial" w:hAnsi="Arial"/>
          <w:sz w:val="20"/>
          <w:szCs w:val="20"/>
        </w:rPr>
        <w:t xml:space="preserve">Ephemeral result cache (ephemeral_result_cache.py) with Redis/in-memory fallback for idempotency replay. Sound pattern.</w:t>
      </w:r>
    </w:p>
    <w:p>
      <w:pPr>
        <w:pStyle w:val="ListParagraph"/>
        <w:numPr>
          <w:ilvl w:val="0"/>
          <w:numId w:val="2"/>
        </w:numPr>
        <w:spacing w:after="40" w:before="40"/>
      </w:pPr>
      <w:r>
        <w:rPr>
          <w:rFonts w:ascii="Arial" w:cs="Arial" w:eastAsia="Arial" w:hAnsi="Arial"/>
          <w:sz w:val="20"/>
          <w:szCs w:val="20"/>
        </w:rPr>
        <w:t xml:space="preserve">Background task pattern (FastAPI BackgroundTasks) used correctly for email sends and AI processing — requests return immediately.</w:t>
      </w:r>
    </w:p>
    <w:p>
      <w:pPr>
        <w:spacing w:after="60" w:before="60"/>
      </w:pPr>
      <w:r>
        <w:t xml:space="preserve"/>
      </w:r>
    </w:p>
    <w:p>
      <w:pPr>
        <w:pBdr>
          <w:bottom w:val="single" w:color="E07800" w:sz="6" w:space="1"/>
        </w:pBdr>
        <w:spacing w:after="60" w:before="300"/>
      </w:pPr>
      <w:r>
        <w:rPr>
          <w:rFonts w:ascii="Arial" w:cs="Arial" w:eastAsia="Arial" w:hAnsi="Arial"/>
          <w:b/>
          <w:bCs/>
          <w:color w:val="E07800"/>
          <w:sz w:val="28"/>
          <w:szCs w:val="28"/>
        </w:rPr>
        <w:t xml:space="preserve">5.2  Concerns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FF8E6" w:val="clear"/>
            <w:tcMar>
              <w:top w:type="dxa" w:w="100"/>
              <w:left w:type="dxa" w:w="160"/>
              <w:bottom w:type="dxa" w:w="100"/>
              <w:right w:type="dxa" w:w="160"/>
            </w:tcMar>
          </w:tcPr>
          <w:p>
            <w:r>
              <w:rPr>
                <w:rFonts w:ascii="Arial" w:cs="Arial" w:eastAsia="Arial" w:hAnsi="Arial"/>
                <w:b/>
                <w:bCs/>
                <w:color w:val="E07800"/>
                <w:sz w:val="21"/>
                <w:szCs w:val="21"/>
              </w:rPr>
              <w:t xml:space="preserve">ARCH-M01: </w:t>
            </w:r>
            <w:r>
              <w:rPr>
                <w:rFonts w:ascii="Arial" w:cs="Arial" w:eastAsia="Arial" w:hAnsi="Arial"/>
                <w:b/>
                <w:bCs/>
                <w:color w:val="1A1A1A"/>
                <w:sz w:val="21"/>
                <w:szCs w:val="21"/>
              </w:rPr>
              <w:t xml:space="preserve">Inline DDL Migrations at Startup (main.py) Alongside Alembic</w:t>
            </w:r>
            <w:r>
              <w:rPr>
                <w:rFonts w:ascii="Arial" w:cs="Arial" w:eastAsia="Arial" w:hAnsi="Arial"/>
                <w:b/>
                <w:bCs/>
                <w:color w:val="E07800"/>
                <w:sz w:val="19"/>
                <w:szCs w:val="19"/>
              </w:rPr>
              <w:t xml:space="preserve">   [MEDIUM]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backend/app/main.py:70-90  |  backend/app/migrations.py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main.py runs raw ALTER TABLE statements at startup to add the message_id column if it does not exist, in addition to calling run_startup_migrations() which runs a series of further column additions. This is a dual-track migration system: Alembic for versioned schema changes AND ad-hoc startup DDL. The two tracks can diverge. The startup DDL cannot be rolled back, audited, or replayed in order.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main.py lines 70-90: direct conn.execute(text("ALTER TABLE attachment_resumes ADD COLUMN IF NOT EXISTS message_id...")) outside of any migration framework.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Migrate all startup DDL into proper Alembic migration files. The patterns in migrations.py (column_exists guard + execute) can be replicated in Alembic's op.execute() with an IF NOT EXISTS guard. Remove the inline ALTER TABLE from main.py startup.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120"/>
        </w:tblCellMar>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AF3FB" w:val="clear"/>
            <w:tcMar>
              <w:top w:type="dxa" w:w="100"/>
              <w:left w:type="dxa" w:w="160"/>
              <w:bottom w:type="dxa" w:w="100"/>
              <w:right w:type="dxa" w:w="160"/>
            </w:tcMar>
          </w:tcPr>
          <w:p>
            <w:r>
              <w:rPr>
                <w:rFonts w:ascii="Arial" w:cs="Arial" w:eastAsia="Arial" w:hAnsi="Arial"/>
                <w:b/>
                <w:bCs/>
                <w:color w:val="1F6AA5"/>
                <w:sz w:val="21"/>
                <w:szCs w:val="21"/>
              </w:rPr>
              <w:t xml:space="preserve">ARCH-L01: </w:t>
            </w:r>
            <w:r>
              <w:rPr>
                <w:rFonts w:ascii="Arial" w:cs="Arial" w:eastAsia="Arial" w:hAnsi="Arial"/>
                <w:b/>
                <w:bCs/>
                <w:color w:val="1A1A1A"/>
                <w:sz w:val="21"/>
                <w:szCs w:val="21"/>
              </w:rPr>
              <w:t xml:space="preserve">AI Client Uses Singleton Anti-Pattern</w:t>
            </w:r>
            <w:r>
              <w:rPr>
                <w:rFonts w:ascii="Arial" w:cs="Arial" w:eastAsia="Arial" w:hAnsi="Arial"/>
                <w:b/>
                <w:bCs/>
                <w:color w:val="1F6AA5"/>
                <w:sz w:val="19"/>
                <w:szCs w:val="19"/>
              </w:rPr>
              <w:t xml:space="preserve">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File / Location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9"/>
                <w:szCs w:val="19"/>
              </w:rPr>
              <w:t xml:space="preserve">backend/app/services/ai_client.py:106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9"/>
                <w:szCs w:val="19"/>
              </w:rPr>
              <w:t xml:space="preserve">Open (Design)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Description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ai_client = AIClient() is instantiated at module import time as a module-level singleton. In async FastAPI with multiple Gunicorn workers, each worker process imports the module independently, so each gets its own singleton — this is safe. However, the singleton pattern makes the AI client untestable (cannot be mocked/injected), and any per-request context (user, request_id) cannot be threaded through without global state.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Detail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Module-level: ai_client = AIClient() at ai_client.py:106. No dependency injection mechanism.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444444"/>
                <w:sz w:val="19"/>
                <w:szCs w:val="19"/>
              </w:rPr>
              <w:t xml:space="preserve">Remediation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Register the AI client as a FastAPI dependency (app.state or Depends factory) so it can be injected, overridden in tests, and extended with request context. This is a refactor, not an urgent fix.</w:t>
            </w:r>
          </w:p>
        </w:tc>
      </w:tr>
    </w:tbl>
    <w:p>
      <w:pPr>
        <w:spacing w:after="60" w:before="60"/>
      </w:pPr>
      <w:r>
        <w:t xml:space="preserve"/>
      </w:r>
    </w:p>
    <w:p>
      <w:pPr>
        <w:pBdr>
          <w:bottom w:val="single" w:color="2E75B6" w:sz="6" w:space="1"/>
        </w:pBdr>
        <w:spacing w:after="60" w:before="300"/>
      </w:pPr>
      <w:r>
        <w:rPr>
          <w:rFonts w:ascii="Arial" w:cs="Arial" w:eastAsia="Arial" w:hAnsi="Arial"/>
          <w:b/>
          <w:bCs/>
          <w:color w:val="2E75B6"/>
          <w:sz w:val="28"/>
          <w:szCs w:val="28"/>
        </w:rPr>
        <w:t xml:space="preserve">5.3  Frontend Architecture Notes</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Next.js App Router with server components used correctly. getBrandingServer() is a server-side fetch with 60s revalidation cache — appropriate.</w:t>
      </w:r>
    </w:p>
    <w:p>
      <w:pPr>
        <w:pStyle w:val="ListParagraph"/>
        <w:numPr>
          <w:ilvl w:val="0"/>
          <w:numId w:val="2"/>
        </w:numPr>
        <w:spacing w:after="40" w:before="40"/>
      </w:pPr>
      <w:r>
        <w:rPr>
          <w:rFonts w:ascii="Arial" w:cs="Arial" w:eastAsia="Arial" w:hAnsi="Arial"/>
          <w:sz w:val="20"/>
          <w:szCs w:val="20"/>
        </w:rPr>
        <w:t xml:space="preserve">SWR used for client-side data fetching with a global SWRProvider. Cache invalidation patterns appear correct in the visible components.</w:t>
      </w:r>
    </w:p>
    <w:p>
      <w:pPr>
        <w:pStyle w:val="ListParagraph"/>
        <w:numPr>
          <w:ilvl w:val="0"/>
          <w:numId w:val="2"/>
        </w:numPr>
        <w:spacing w:after="40" w:before="40"/>
      </w:pPr>
      <w:r>
        <w:rPr>
          <w:rFonts w:ascii="Arial" w:cs="Arial" w:eastAsia="Arial" w:hAnsi="Arial"/>
          <w:sz w:val="20"/>
          <w:szCs w:val="20"/>
        </w:rPr>
        <w:t xml:space="preserve">Auth context (auth-context.tsx) manages JWT state on the client. JWT is read from HttpOnly cookie server-side; the middleware verifies it before routing. This is the correct pattern.</w:t>
      </w:r>
    </w:p>
    <w:p>
      <w:pPr>
        <w:pStyle w:val="ListParagraph"/>
        <w:numPr>
          <w:ilvl w:val="0"/>
          <w:numId w:val="2"/>
        </w:numPr>
        <w:spacing w:after="40" w:before="40"/>
      </w:pPr>
      <w:r>
        <w:rPr>
          <w:rFonts w:ascii="Arial" w:cs="Arial" w:eastAsia="Arial" w:hAnsi="Arial"/>
          <w:sz w:val="20"/>
          <w:szCs w:val="20"/>
        </w:rPr>
        <w:t xml:space="preserve">Middleware correctly gates /dashboard (HR/admin JWT), /interview (interview JWT), and /offer (token param) routes.</w:t>
      </w:r>
    </w:p>
    <w:p>
      <w:pPr>
        <w:pStyle w:val="ListParagraph"/>
        <w:numPr>
          <w:ilvl w:val="0"/>
          <w:numId w:val="2"/>
        </w:numPr>
        <w:spacing w:after="40" w:before="40"/>
      </w:pPr>
      <w:r>
        <w:rPr>
          <w:rFonts w:ascii="Arial" w:cs="Arial" w:eastAsia="Arial" w:hAnsi="Arial"/>
          <w:sz w:val="20"/>
          <w:szCs w:val="20"/>
        </w:rPr>
        <w:t xml:space="preserve">FINDING CQ-M01: InterviewSession.tsx is a 72 KB single file with significant state complexity. Consider decomposing into focused hooks (useCamera, useProctoring, useAnswerSubmit) to reduce maintenance surface.</w:t>
      </w:r>
    </w:p>
    <w:p>
      <w:pPr>
        <w:spacing w:after="60" w:before="60"/>
      </w:pPr>
      <w:r>
        <w:t xml:space="preserve"/>
      </w:r>
    </w:p>
    <w:p>
      <w:r>
        <w:br w:type="page"/>
      </w:r>
    </w:p>
    <w:p>
      <w:pPr>
        <w:pStyle w:val="Heading1"/>
        <w:spacing w:after="160" w:before="320"/>
      </w:pPr>
      <w:r>
        <w:rPr>
          <w:rFonts w:ascii="Arial" w:cs="Arial" w:eastAsia="Arial" w:hAnsi="Arial"/>
          <w:b/>
          <w:bCs/>
          <w:color w:val="1F3864"/>
          <w:sz w:val="32"/>
          <w:szCs w:val="32"/>
        </w:rPr>
        <w:t xml:space="preserve">6. Remediation Priority Summary</w:t>
      </w:r>
    </w:p>
    <w:p>
      <w:pPr>
        <w:spacing w:after="60" w:before="60"/>
      </w:pPr>
      <w:r>
        <w:t xml:space="preserve"/>
      </w:r>
    </w:p>
    <w:p>
      <w:pPr>
        <w:spacing w:after="80" w:before="60"/>
      </w:pPr>
      <w:r>
        <w:rPr>
          <w:rFonts w:ascii="Arial" w:cs="Arial" w:eastAsia="Arial" w:hAnsi="Arial"/>
          <w:sz w:val="20"/>
          <w:szCs w:val="20"/>
        </w:rPr>
        <w:t xml:space="preserve">Ordered by risk impact. No Critical findings. Address High findings before next production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760"/>
        <w:gridCol w:w="160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37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Title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Effort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SEC-H01</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CSS Injection via theme_color in layout.tsx</w:t>
            </w:r>
          </w:p>
        </w:tc>
        <w:tc>
          <w:tcPr>
            <w:tcW w:type="dxa" w:w="1600"/>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r>
              <w:rPr>
                <w:rFonts w:ascii="Arial" w:cs="Arial" w:eastAsia="Arial" w:hAnsi="Arial"/>
                <w:b/>
                <w:bCs/>
                <w:color w:val="E04000"/>
                <w:sz w:val="17"/>
                <w:szCs w:val="17"/>
              </w:rPr>
              <w:t xml:space="preserve">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Low (1-2h)</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SEC-H02</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Unauthenticated /api/analytics/config/skills endpoint</w:t>
            </w:r>
          </w:p>
        </w:tc>
        <w:tc>
          <w:tcPr>
            <w:tcW w:type="dxa" w:w="1600"/>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r>
              <w:rPr>
                <w:rFonts w:ascii="Arial" w:cs="Arial" w:eastAsia="Arial" w:hAnsi="Arial"/>
                <w:b/>
                <w:bCs/>
                <w:color w:val="E04000"/>
                <w:sz w:val="17"/>
                <w:szCs w:val="17"/>
              </w:rPr>
              <w:t xml:space="preserve">HIGH</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Trivial (&lt; 30m)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SEC-M01</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SSRF in manual resume assignment URL fetch</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Low (2h)</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SEC-M04</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No security headers on Next.js frontend</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Low (1h)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PR-M01</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No Docker resource limits — OOM risk</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Low (1h)</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PR-M02</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No Supabase RLS policies</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Medium (4h)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SEC-M02</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Raw str(e) in HTTP error responses</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Low (2h)</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8</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ARCH-M01</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Dual-track migrations (startup DDL + Alembic)</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Medium (4h)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SEC-M03</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python-jose CVE + no explicit algorithm options</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Medium (4h)</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10</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CQ-M01</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88 console.log calls in production frontend</w:t>
            </w:r>
          </w:p>
        </w:tc>
        <w:tc>
          <w:tcPr>
            <w:tcW w:type="dxa" w:w="1600"/>
            <w:tcBorders>
              <w:top w:val="single" w:color="CCCCCC" w:sz="1"/>
              <w:left w:val="single" w:color="CCCCCC" w:sz="1"/>
              <w:bottom w:val="single" w:color="CCCCCC" w:sz="1"/>
              <w:right w:val="single" w:color="CCCCCC" w:sz="1"/>
            </w:tcBorders>
            <w:shd w:fill="FFF8E6" w:val="clear"/>
            <w:tcMar>
              <w:top w:type="dxa" w:w="60"/>
              <w:left w:type="dxa" w:w="80"/>
              <w:bottom w:type="dxa" w:w="60"/>
              <w:right w:type="dxa" w:w="80"/>
            </w:tcMar>
          </w:tcPr>
          <w:p>
            <w:r>
              <w:rPr>
                <w:rFonts w:ascii="Arial" w:cs="Arial" w:eastAsia="Arial" w:hAnsi="Arial"/>
                <w:b/>
                <w:bCs/>
                <w:color w:val="E07800"/>
                <w:sz w:val="17"/>
                <w:szCs w:val="17"/>
              </w:rPr>
              <w:t xml:space="preserve">MEDIUM</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Low (2h)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PR-L01</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Sentry DSN configured but never initialized</w:t>
            </w:r>
          </w:p>
        </w:tc>
        <w:tc>
          <w:tcPr>
            <w:tcW w:type="dxa" w:w="1600"/>
            <w:tcBorders>
              <w:top w:val="single" w:color="CCCCCC" w:sz="1"/>
              <w:left w:val="single" w:color="CCCCCC" w:sz="1"/>
              <w:bottom w:val="single" w:color="CCCCCC" w:sz="1"/>
              <w:right w:val="single" w:color="CCCCCC" w:sz="1"/>
            </w:tcBorders>
            <w:shd w:fill="EAF3FB" w:val="clear"/>
            <w:tcMar>
              <w:top w:type="dxa" w:w="60"/>
              <w:left w:type="dxa" w:w="80"/>
              <w:bottom w:type="dxa" w:w="60"/>
              <w:right w:type="dxa" w:w="80"/>
            </w:tcMar>
          </w:tcPr>
          <w:p>
            <w:r>
              <w:rPr>
                <w:rFonts w:ascii="Arial" w:cs="Arial" w:eastAsia="Arial" w:hAnsi="Arial"/>
                <w:b/>
                <w:bCs/>
                <w:color w:val="1F6AA5"/>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Trivial (&lt; 30m)</w:t>
            </w:r>
          </w:p>
        </w:tc>
      </w:tr>
      <w:tr>
        <w:tc>
          <w:tcPr>
            <w:tcW w:type="dxa" w:w="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pPr>
              <w:jc w:val="center"/>
            </w:pPr>
            <w:r>
              <w:rPr>
                <w:rFonts w:ascii="Arial" w:cs="Arial" w:eastAsia="Arial" w:hAnsi="Arial"/>
                <w:b/>
                <w:bCs/>
                <w:sz w:val="18"/>
                <w:szCs w:val="18"/>
              </w:rPr>
              <w:t xml:space="preserve">12</w:t>
            </w:r>
          </w:p>
        </w:tc>
        <w:tc>
          <w:tcPr>
            <w:tcW w:type="dxa" w:w="14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b/>
                <w:bCs/>
                <w:color w:val="2E75B6"/>
                <w:sz w:val="17"/>
                <w:szCs w:val="17"/>
              </w:rPr>
              <w:t xml:space="preserve">CQ-L01</w:t>
            </w:r>
          </w:p>
        </w:tc>
        <w:tc>
          <w:tcPr>
            <w:tcW w:type="dxa" w:w="376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TypeScript build errors silently ignored</w:t>
            </w:r>
          </w:p>
        </w:tc>
        <w:tc>
          <w:tcPr>
            <w:tcW w:type="dxa" w:w="1600"/>
            <w:tcBorders>
              <w:top w:val="single" w:color="CCCCCC" w:sz="1"/>
              <w:left w:val="single" w:color="CCCCCC" w:sz="1"/>
              <w:bottom w:val="single" w:color="CCCCCC" w:sz="1"/>
              <w:right w:val="single" w:color="CCCCCC" w:sz="1"/>
            </w:tcBorders>
            <w:shd w:fill="EAF3FB" w:val="clear"/>
            <w:tcMar>
              <w:top w:type="dxa" w:w="60"/>
              <w:left w:type="dxa" w:w="80"/>
              <w:bottom w:type="dxa" w:w="60"/>
              <w:right w:type="dxa" w:w="80"/>
            </w:tcMar>
          </w:tcPr>
          <w:p>
            <w:r>
              <w:rPr>
                <w:rFonts w:ascii="Arial" w:cs="Arial" w:eastAsia="Arial" w:hAnsi="Arial"/>
                <w:b/>
                <w:bCs/>
                <w:color w:val="1F6AA5"/>
                <w:sz w:val="17"/>
                <w:szCs w:val="17"/>
              </w:rPr>
              <w:t xml:space="preserve">LOW</w:t>
            </w:r>
          </w:p>
        </w:tc>
        <w:tc>
          <w:tcPr>
            <w:tcW w:type="dxa" w:w="1800"/>
            <w:tcBorders>
              <w:top w:val="single" w:color="CCCCCC" w:sz="1"/>
              <w:left w:val="single" w:color="CCCCCC" w:sz="1"/>
              <w:bottom w:val="single" w:color="CCCCCC" w:sz="1"/>
              <w:right w:val="single" w:color="CCCCCC" w:sz="1"/>
            </w:tcBorders>
            <w:shd w:fill="F5F8FC" w:val="clear"/>
            <w:tcMar>
              <w:top w:type="dxa" w:w="60"/>
              <w:left w:type="dxa" w:w="80"/>
              <w:bottom w:type="dxa" w:w="60"/>
              <w:right w:type="dxa" w:w="80"/>
            </w:tcMar>
          </w:tcPr>
          <w:p>
            <w:r>
              <w:rPr>
                <w:rFonts w:ascii="Arial" w:cs="Arial" w:eastAsia="Arial" w:hAnsi="Arial"/>
                <w:sz w:val="17"/>
                <w:szCs w:val="17"/>
              </w:rPr>
              <w:t xml:space="preserve">Medium (4h+)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sz w:val="18"/>
                <w:szCs w:val="18"/>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2E75B6"/>
                <w:sz w:val="17"/>
                <w:szCs w:val="17"/>
              </w:rPr>
              <w:t xml:space="preserve">CQ-L03</w:t>
            </w:r>
          </w:p>
        </w:tc>
        <w:tc>
          <w:tcPr>
            <w:tcW w:type="dxa" w:w="3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Job delete missing audit log entry</w:t>
            </w:r>
          </w:p>
        </w:tc>
        <w:tc>
          <w:tcPr>
            <w:tcW w:type="dxa" w:w="1600"/>
            <w:tcBorders>
              <w:top w:val="single" w:color="CCCCCC" w:sz="1"/>
              <w:left w:val="single" w:color="CCCCCC" w:sz="1"/>
              <w:bottom w:val="single" w:color="CCCCCC" w:sz="1"/>
              <w:right w:val="single" w:color="CCCCCC" w:sz="1"/>
            </w:tcBorders>
            <w:shd w:fill="EAF3FB" w:val="clear"/>
            <w:tcMar>
              <w:top w:type="dxa" w:w="60"/>
              <w:left w:type="dxa" w:w="80"/>
              <w:bottom w:type="dxa" w:w="60"/>
              <w:right w:type="dxa" w:w="80"/>
            </w:tcMar>
          </w:tcPr>
          <w:p>
            <w:r>
              <w:rPr>
                <w:rFonts w:ascii="Arial" w:cs="Arial" w:eastAsia="Arial" w:hAnsi="Arial"/>
                <w:b/>
                <w:bCs/>
                <w:color w:val="1F6AA5"/>
                <w:sz w:val="17"/>
                <w:szCs w:val="17"/>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7"/>
                <w:szCs w:val="17"/>
              </w:rPr>
              <w:t xml:space="preserve">Trivial (&lt; 30m)</w:t>
            </w:r>
          </w:p>
        </w:tc>
      </w:tr>
    </w:tbl>
    <w:p>
      <w:pPr>
        <w:spacing w:after="60" w:before="60"/>
      </w:pPr>
      <w:r>
        <w:t xml:space="preserve"/>
      </w:r>
    </w:p>
    <w:p>
      <w:pPr>
        <w:spacing w:after="60" w:before="60"/>
      </w:pPr>
      <w:r>
        <w:t xml:space="preserve"/>
      </w:r>
    </w:p>
    <w:p>
      <w:pPr>
        <w:pStyle w:val="Heading1"/>
        <w:spacing w:after="160" w:before="320"/>
      </w:pPr>
      <w:r>
        <w:rPr>
          <w:rFonts w:ascii="Arial" w:cs="Arial" w:eastAsia="Arial" w:hAnsi="Arial"/>
          <w:b/>
          <w:bCs/>
          <w:color w:val="1F3864"/>
          <w:sz w:val="32"/>
          <w:szCs w:val="32"/>
        </w:rPr>
        <w:t xml:space="preserve">7. Overall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Security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 — No critical or unresolved critical findings. JWT, CSRF, SSRF, SSTI, cron auth all addressed. Two new High findings (CSS injection, unauthenticated endpoint) require pre-deployment fixes.</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Prod Readiness</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B — Blue/green deploy, health checks, structured logging all solid. Missing Docker resource limits, Sentry integration incomplete, RLS absent in Supabase.</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 Quality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 — Strong sanitization and validation discipline. TypeScript errors silently skipped and 88 console.logs in prod code are the main concerns.</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7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19"/>
                <w:szCs w:val="19"/>
              </w:rPr>
              <w:t xml:space="preserve">A- — Clean layered structure, isolated JWT secrets, state machine pattern, AI abstraction. Startup DDL alongside Alembic is the primary concern.</w:t>
            </w:r>
          </w:p>
        </w:tc>
      </w:tr>
    </w:tbl>
    <w:p>
      <w:pPr>
        <w:spacing w:after="60" w:before="60"/>
      </w:pPr>
      <w:r>
        <w:t xml:space="preserve"/>
      </w:r>
    </w:p>
    <w:p>
      <w:pPr>
        <w:spacing w:after="80" w:before="60"/>
      </w:pPr>
      <w:r>
        <w:rPr>
          <w:rFonts w:ascii="Arial" w:cs="Arial" w:eastAsia="Arial" w:hAnsi="Arial"/>
          <w:sz w:val="20"/>
          <w:szCs w:val="20"/>
        </w:rPr>
        <w:t xml:space="preserve">The codebase demonstrates consistent improvement across successive audit cycles. The security posture has matured significantly. The two High-severity findings (SEC-H01 CSS injection, SEC-H02 unauthenticated endpoint) are straightforward to fix and should be addressed before the next production deployment. Remaining Medium findings are hardening items suitable for the next sprint.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2026-06-09T10:07:18.874Z</dcterms:created>
  <dcterms:modified xsi:type="dcterms:W3CDTF">2026-06-09T10:07:18.887Z</dcterms:modified>
</cp:coreProperties>
</file>

<file path=docProps/custom.xml><?xml version="1.0" encoding="utf-8"?>
<Properties xmlns="http://schemas.openxmlformats.org/officeDocument/2006/custom-properties" xmlns:vt="http://schemas.openxmlformats.org/officeDocument/2006/docPropsVTypes"/>
</file>