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olor w:val="64748B"/>
          <w:sz w:val="17"/>
        </w:rPr>
        <w:t>ACADEMIC PROJECT REPORT | COMPUTER SCIENCE &amp; SOFTWARE ENGINEERING</w:t>
      </w:r>
    </w:p>
    <w:p>
      <w:pPr>
        <w:spacing w:before="600" w:after="120"/>
        <w:jc w:val="left"/>
      </w:pPr>
      <w:r>
        <w:rPr>
          <w:rFonts w:ascii="Arial" w:hAnsi="Arial"/>
          <w:b/>
          <w:color w:val="1E3A8A"/>
          <w:sz w:val="52"/>
        </w:rPr>
        <w:t>CASE ALLOTMENT FORM DESIGNER</w:t>
      </w:r>
    </w:p>
    <w:p>
      <w:pPr>
        <w:spacing w:after="480"/>
      </w:pPr>
      <w:r>
        <w:rPr>
          <w:rFonts w:ascii="Arial" w:hAnsi="Arial"/>
          <w:i/>
          <w:color w:val="334155"/>
          <w:sz w:val="26"/>
        </w:rPr>
        <w:t>Advanced Reactive Web Architecture &amp; Precise Print Media Layout Engineering</w:t>
      </w:r>
    </w:p>
    <w:p>
      <w:pPr>
        <w:spacing w:after="480"/>
        <w:pBdr>
          <w:bottom w:val="single" w:sz="18" w:space="1" w:color="1E3A8A"/>
        </w:pBdr>
      </w:pPr>
    </w:p>
    <w:p>
      <w:pPr>
        <w:spacing w:before="240" w:after="120"/>
      </w:pPr>
      <w:r>
        <w:rPr>
          <w:rFonts w:ascii="Arial" w:hAnsi="Arial"/>
          <w:b/>
          <w:color w:val="1E3A8A"/>
          <w:sz w:val="32"/>
        </w:rPr>
        <w:t>1. Project Abstract &amp; Objective</w:t>
      </w:r>
    </w:p>
    <w:p>
      <w:pPr>
        <w:spacing w:line="276" w:lineRule="auto" w:after="240"/>
      </w:pPr>
      <w:r>
        <w:rPr>
          <w:rFonts w:ascii="Calibri" w:hAnsi="Calibri"/>
          <w:color w:val="0F172A"/>
          <w:sz w:val="22"/>
        </w:rPr>
        <w:t>In modern legal and forensic departments, documentation workflows require absolute synchronization. When allocating cases to Scientific Officers, standard operating procedures dictate that an original copy is handed to the officer, while an identical duplicate copy is filed in the records office as an acknowledgment receipt. This project presents an interactive web application designed to solve this administrative challenge. The system renders a precise double-split A4 mockup. By filling out form details or drawing digital signatures on the original top copy, the application mirrors inputs in real-time onto the read-only duplicate bottom copy. Using professional print styles, it packs both forms together, forces zero margins, and perfectly outputs them on a single physical A4 paper page.</w:t>
      </w:r>
    </w:p>
    <w:p>
      <w:pPr>
        <w:spacing w:before="360" w:after="120"/>
      </w:pPr>
      <w:r>
        <w:rPr>
          <w:rFonts w:ascii="Arial" w:hAnsi="Arial"/>
          <w:b/>
          <w:color w:val="1E3A8A"/>
          <w:sz w:val="32"/>
        </w:rPr>
        <w:t>2. Technical Stack &amp; Libraries</w:t>
      </w:r>
    </w:p>
    <w:p>
      <w:pPr>
        <w:spacing w:after="160"/>
      </w:pPr>
      <w:r>
        <w:rPr>
          <w:rFonts w:ascii="Calibri" w:hAnsi="Calibri"/>
          <w:color w:val="0F172A"/>
          <w:sz w:val="22"/>
        </w:rPr>
        <w:t>The application utilizes a lightweight, modern technology stack to perform at high speeds:</w:t>
      </w:r>
    </w:p>
    <w:p>
      <w:pPr>
        <w:pStyle w:val="ListBullet"/>
        <w:spacing w:after="80"/>
      </w:pPr>
      <w:r>
        <w:rPr>
          <w:rFonts w:ascii="Calibri" w:hAnsi="Calibri"/>
          <w:b/>
          <w:color w:val="0F172A"/>
          <w:sz w:val="22"/>
        </w:rPr>
        <w:t xml:space="preserve">React.js (v18+): </w:t>
      </w:r>
      <w:r>
        <w:rPr>
          <w:rFonts w:ascii="Calibri" w:hAnsi="Calibri"/>
          <w:color w:val="0F172A"/>
          <w:sz w:val="22"/>
        </w:rPr>
        <w:t>A component-based declarative library used for state encapsulation and reactive DOM updates.</w:t>
      </w:r>
    </w:p>
    <w:p>
      <w:pPr>
        <w:pStyle w:val="ListBullet"/>
        <w:spacing w:after="80"/>
      </w:pPr>
      <w:r>
        <w:rPr>
          <w:rFonts w:ascii="Calibri" w:hAnsi="Calibri"/>
          <w:b/>
          <w:color w:val="0F172A"/>
          <w:sz w:val="22"/>
        </w:rPr>
        <w:t xml:space="preserve">Vite: </w:t>
      </w:r>
      <w:r>
        <w:rPr>
          <w:rFonts w:ascii="Calibri" w:hAnsi="Calibri"/>
          <w:color w:val="0F172A"/>
          <w:sz w:val="22"/>
        </w:rPr>
        <w:t>A next-generation frontend bundler providing lightning-fast Hot Module Replacement (HMR) during developer iterations.</w:t>
      </w:r>
    </w:p>
    <w:p>
      <w:pPr>
        <w:pStyle w:val="ListBullet"/>
        <w:spacing w:after="80"/>
      </w:pPr>
      <w:r>
        <w:rPr>
          <w:rFonts w:ascii="Calibri" w:hAnsi="Calibri"/>
          <w:b/>
          <w:color w:val="0F172A"/>
          <w:sz w:val="22"/>
        </w:rPr>
        <w:t xml:space="preserve">HTML5 Canvas API: </w:t>
      </w:r>
      <w:r>
        <w:rPr>
          <w:rFonts w:ascii="Calibri" w:hAnsi="Calibri"/>
          <w:color w:val="0F172A"/>
          <w:sz w:val="22"/>
        </w:rPr>
        <w:t>Used to programmatically capture mouse coordinate strokes and touch gestures to generate digital signature vectors.</w:t>
      </w:r>
    </w:p>
    <w:p>
      <w:pPr>
        <w:pStyle w:val="ListBullet"/>
        <w:spacing w:after="80"/>
      </w:pPr>
      <w:r>
        <w:rPr>
          <w:rFonts w:ascii="Calibri" w:hAnsi="Calibri"/>
          <w:b/>
          <w:color w:val="0F172A"/>
          <w:sz w:val="22"/>
        </w:rPr>
        <w:t xml:space="preserve">Vanilla CSS3: </w:t>
      </w:r>
      <w:r>
        <w:rPr>
          <w:rFonts w:ascii="Calibri" w:hAnsi="Calibri"/>
          <w:color w:val="0F172A"/>
          <w:sz w:val="22"/>
        </w:rPr>
        <w:t>Implements layout systems (CSS Grid, Flexbox, custom media queries) and imports premium typography fonts (Inter, Outfit, Alex Brush).</w:t>
      </w:r>
    </w:p>
    <w:p>
      <w:pPr>
        <w:pStyle w:val="ListBullet"/>
        <w:spacing w:after="80"/>
      </w:pPr>
      <w:r>
        <w:rPr>
          <w:rFonts w:ascii="Calibri" w:hAnsi="Calibri"/>
          <w:b/>
          <w:color w:val="0F172A"/>
          <w:sz w:val="22"/>
        </w:rPr>
        <w:t xml:space="preserve">Lucide React Icons: </w:t>
      </w:r>
      <w:r>
        <w:rPr>
          <w:rFonts w:ascii="Calibri" w:hAnsi="Calibri"/>
          <w:color w:val="0F172A"/>
          <w:sz w:val="22"/>
        </w:rPr>
        <w:t>Integrated for sharp, customizable modern SVG icon vectors.</w:t>
      </w:r>
    </w:p>
    <w:p>
      <w:pPr>
        <w:spacing w:before="360" w:after="120"/>
      </w:pPr>
      <w:r>
        <w:rPr>
          <w:rFonts w:ascii="Arial" w:hAnsi="Arial"/>
          <w:b/>
          <w:color w:val="1E3A8A"/>
          <w:sz w:val="32"/>
        </w:rPr>
        <w:t>3. The Auto-Mirroring Engine (Core Functionality)</w:t>
      </w:r>
    </w:p>
    <w:p>
      <w:pPr>
        <w:spacing w:line="276" w:lineRule="auto" w:after="240"/>
      </w:pPr>
      <w:r>
        <w:rPr>
          <w:rFonts w:ascii="Calibri" w:hAnsi="Calibri"/>
          <w:color w:val="0F172A"/>
          <w:sz w:val="22"/>
        </w:rPr>
        <w:t>To make sure that text typed in the top form immediately writes itself in the bottom copy, we leveraged React's core architecture: Single Source of Truth (SSOT).</w:t>
        <w:br/>
        <w:br/>
        <w:t>Instead of creating separate inputs for both forms, the state is managed in the parent component (App.jsx) as a centralized state variable named 'formData'. The top form inputs are editable and bound to this state using standard React onChange event handlers. The bottom form does not render inputs; it renders simple text containers that read directly from the exact same state object.</w:t>
        <w:br/>
        <w:br/>
        <w:t>When the user types inside the original copy, React handles the state updates in the background. Because React automatically tracks dependencies, the state change triggers a component re-render. Both forms are instantly redrawn, making the bottom form reflect the original copy in real-time.</w:t>
      </w:r>
    </w:p>
    <w:p>
      <w:pPr>
        <w:spacing w:before="360" w:after="120"/>
      </w:pPr>
      <w:r>
        <w:rPr>
          <w:rFonts w:ascii="Arial" w:hAnsi="Arial"/>
          <w:b/>
          <w:color w:val="1E3A8A"/>
          <w:sz w:val="32"/>
        </w:rPr>
        <w:t>4. Detailed File-by-File Analysis</w:t>
      </w:r>
    </w:p>
    <w:p>
      <w:pPr>
        <w:spacing w:after="120"/>
        <w:ind w:left="360"/>
      </w:pPr>
      <w:r>
        <w:rPr>
          <w:rFonts w:ascii="Arial" w:hAnsi="Arial"/>
          <w:b/>
          <w:color w:val="1E3A8A"/>
          <w:sz w:val="22"/>
        </w:rPr>
        <w:t>📁 index.html</w:t>
        <w:br/>
      </w:r>
      <w:r>
        <w:rPr>
          <w:rFonts w:ascii="Calibri" w:hAnsi="Calibri"/>
          <w:color w:val="0F172A"/>
          <w:sz w:val="22"/>
        </w:rPr>
        <w:t>The root entry page of the web application. It houses meta tags, sets the default zoom viewport scaling, imports standard web fonts, and hosts a single HTML container &lt;div id='root'&gt;&lt;/div&gt; into which React mounts the application.</w:t>
      </w:r>
    </w:p>
    <w:p>
      <w:pPr>
        <w:spacing w:after="120"/>
        <w:ind w:left="360"/>
      </w:pPr>
      <w:r>
        <w:rPr>
          <w:rFonts w:ascii="Arial" w:hAnsi="Arial"/>
          <w:b/>
          <w:color w:val="1E3A8A"/>
          <w:sz w:val="22"/>
        </w:rPr>
        <w:t>📁 src/main.jsx</w:t>
        <w:br/>
      </w:r>
      <w:r>
        <w:rPr>
          <w:rFonts w:ascii="Calibri" w:hAnsi="Calibri"/>
          <w:color w:val="0F172A"/>
          <w:sz w:val="22"/>
        </w:rPr>
        <w:t>The entry script that compiles and bridges React code to the raw web browser. It imports React, standard stylesheets, and calls ReactDOM.createRoot() to boot up the App component inside index.html.</w:t>
      </w:r>
    </w:p>
    <w:p>
      <w:pPr>
        <w:spacing w:after="120"/>
        <w:ind w:left="360"/>
      </w:pPr>
      <w:r>
        <w:rPr>
          <w:rFonts w:ascii="Arial" w:hAnsi="Arial"/>
          <w:b/>
          <w:color w:val="1E3A8A"/>
          <w:sz w:val="22"/>
        </w:rPr>
        <w:t>📁 src/components/SignaturePad.jsx</w:t>
        <w:br/>
      </w:r>
      <w:r>
        <w:rPr>
          <w:rFonts w:ascii="Calibri" w:hAnsi="Calibri"/>
          <w:color w:val="0F172A"/>
          <w:sz w:val="22"/>
        </w:rPr>
        <w:t>The electronic signature capture module. It sets up an HTML5 &lt;canvas&gt; element. Using mouse coordinate event handlers (onMouseDown, onMouseMove) and mobile touch events (onTouchStart, onTouchMove), it tracks drawing gestures, renders clean blue ink strokes, and on stroke release, exports the vectors as a base64-encoded PNG image URL. React then mirrors this image onto the bottom copy signature grid.</w:t>
      </w:r>
    </w:p>
    <w:p>
      <w:pPr>
        <w:spacing w:after="120"/>
        <w:ind w:left="360"/>
      </w:pPr>
      <w:r>
        <w:rPr>
          <w:rFonts w:ascii="Arial" w:hAnsi="Arial"/>
          <w:b/>
          <w:color w:val="1E3A8A"/>
          <w:sz w:val="22"/>
        </w:rPr>
        <w:t>📁 src/App.jsx</w:t>
        <w:br/>
      </w:r>
      <w:r>
        <w:rPr>
          <w:rFonts w:ascii="Calibri" w:hAnsi="Calibri"/>
          <w:color w:val="0F172A"/>
          <w:sz w:val="22"/>
        </w:rPr>
        <w:t>The main logical hub of the system. It controls React state variables (formData for texts, sigDrawings for signature images, sigTypes for toggles, and active Tab state). It constructs the sidebar dashboards, maps pre-set Forensic templates, and builds the double A4 page markup with reactive data inputs.</w:t>
      </w:r>
    </w:p>
    <w:p>
      <w:pPr>
        <w:spacing w:after="120"/>
        <w:ind w:left="360"/>
      </w:pPr>
      <w:r>
        <w:rPr>
          <w:rFonts w:ascii="Arial" w:hAnsi="Arial"/>
          <w:b/>
          <w:color w:val="1E3A8A"/>
          <w:sz w:val="22"/>
        </w:rPr>
        <w:t>📁 src/index.css</w:t>
        <w:br/>
      </w:r>
      <w:r>
        <w:rPr>
          <w:rFonts w:ascii="Calibri" w:hAnsi="Calibri"/>
          <w:color w:val="0F172A"/>
          <w:sz w:val="22"/>
        </w:rPr>
        <w:t>The styling file. It establishes color tokens, sets typography sizing, structures the sidebar panel using glassmorphism, renders the responsive A4 canvas, and houses advanced CSS @media print and @page settings that optimize output for physical printers.</w:t>
      </w:r>
    </w:p>
    <w:p>
      <w:pPr>
        <w:spacing w:before="360" w:after="120"/>
      </w:pPr>
      <w:r>
        <w:rPr>
          <w:rFonts w:ascii="Arial" w:hAnsi="Arial"/>
          <w:b/>
          <w:color w:val="1E3A8A"/>
          <w:sz w:val="32"/>
        </w:rPr>
        <w:t>5. Print Media Layout Engineering</w:t>
      </w:r>
    </w:p>
    <w:p>
      <w:pPr>
        <w:spacing w:line="276" w:lineRule="auto" w:after="240"/>
      </w:pPr>
      <w:r>
        <w:rPr>
          <w:rFonts w:ascii="Calibri" w:hAnsi="Calibri"/>
          <w:color w:val="0F172A"/>
          <w:sz w:val="22"/>
        </w:rPr>
        <w:t>A common issue in standard web development is that printed pages do not align with on-screen mockups. To ensure that both original and duplicate forms fit perfectly onto a single physical sheet of paper without spilling over, we implemented highly robust print-specific style overrides:</w:t>
        <w:br/>
        <w:br/>
        <w:t>• CSS @page Directives: Automatically overrides printer defaults, forcing the browser's printing engine to use zero (0) margins and paper size A4.</w:t>
        <w:br/>
        <w:t>• Tight Spacing Adjustments: Reduces form paddings, grid gaps, field margins, and signature pad heights when printing to save vertical space.</w:t>
        <w:br/>
        <w:t>• Compacting Content Text: Minimizes description text sizes dynamically under print rules so that long descriptions are compressed, guaranteeing that both copies take up exactly 148.5mm of height (half A4 height each) and print together on one page.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