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Case Study Proposal</w:t>
      </w:r>
    </w:p>
    <w:p>
      <w:pPr>
        <w:spacing w:after="300"/>
        <w:jc w:val="center"/>
      </w:pPr>
      <w:r>
        <w:rPr>
          <w:i/>
          <w:iCs/>
          <w:color w:val="595959"/>
          <w:sz w:val="22"/>
          <w:szCs w:val="22"/>
        </w:rPr>
        <w:t xml:space="preserve">Business Analytics</w:t>
      </w:r>
    </w:p>
    <w:p>
      <w:pPr>
        <w:pStyle w:val="Heading1"/>
        <w:pBdr>
          <w:bottom w:val="single" w:color="BFBFBF" w:sz="6" w:space="4"/>
        </w:pBdr>
        <w:spacing w:after="140" w:before="320"/>
      </w:pPr>
      <w:r>
        <w:rPr>
          <w:b/>
          <w:bCs/>
          <w:color w:val="1F3864"/>
          <w:sz w:val="26"/>
          <w:szCs w:val="26"/>
        </w:rPr>
        <w:t xml:space="preserve">1. Student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EDF1F8" w:val="clear"/>
            <w:tcMar>
              <w:top w:type="dxa" w:w="100"/>
              <w:left w:type="dxa" w:w="150"/>
              <w:bottom w:type="dxa" w:w="100"/>
              <w:right w:type="dxa" w:w="150"/>
            </w:tcMar>
          </w:tcPr>
          <w:p>
            <w:r>
              <w:rPr>
                <w:b/>
                <w:bCs/>
                <w:sz w:val="22"/>
                <w:szCs w:val="22"/>
              </w:rPr>
              <w:t xml:space="preserve">Student Name</w:t>
            </w:r>
          </w:p>
        </w:tc>
        <w:tc>
          <w:tcPr>
            <w:tcW w:type="dxa" w:w="6660"/>
            <w:tcMar>
              <w:top w:type="dxa" w:w="100"/>
              <w:left w:type="dxa" w:w="150"/>
              <w:bottom w:type="dxa" w:w="100"/>
              <w:right w:type="dxa" w:w="150"/>
            </w:tcMar>
          </w:tcPr>
          <w:p>
            <w:r>
              <w:rPr>
                <w:sz w:val="22"/>
                <w:szCs w:val="22"/>
              </w:rPr>
              <w:t xml:space="preserve">Aashiq Edavalapati</w:t>
            </w:r>
          </w:p>
        </w:tc>
      </w:tr>
      <w:tr>
        <w:tc>
          <w:tcPr>
            <w:tcW w:type="dxa" w:w="2700"/>
            <w:shd w:fill="EDF1F8" w:val="clear"/>
            <w:tcMar>
              <w:top w:type="dxa" w:w="100"/>
              <w:left w:type="dxa" w:w="150"/>
              <w:bottom w:type="dxa" w:w="100"/>
              <w:right w:type="dxa" w:w="150"/>
            </w:tcMar>
          </w:tcPr>
          <w:p>
            <w:r>
              <w:rPr>
                <w:b/>
                <w:bCs/>
                <w:sz w:val="22"/>
                <w:szCs w:val="22"/>
              </w:rPr>
              <w:t xml:space="preserve">Register Number</w:t>
            </w:r>
          </w:p>
        </w:tc>
        <w:tc>
          <w:tcPr>
            <w:tcW w:type="dxa" w:w="6660"/>
            <w:tcMar>
              <w:top w:type="dxa" w:w="100"/>
              <w:left w:type="dxa" w:w="150"/>
              <w:bottom w:type="dxa" w:w="100"/>
              <w:right w:type="dxa" w:w="150"/>
            </w:tcMar>
          </w:tcPr>
          <w:p>
            <w:r>
              <w:rPr>
                <w:sz w:val="22"/>
                <w:szCs w:val="22"/>
              </w:rPr>
              <w:t xml:space="preserve">CB.SC.U4CSE23560</w:t>
            </w:r>
          </w:p>
        </w:tc>
      </w:tr>
      <w:tr>
        <w:tc>
          <w:tcPr>
            <w:tcW w:type="dxa" w:w="2700"/>
            <w:shd w:fill="EDF1F8" w:val="clear"/>
            <w:tcMar>
              <w:top w:type="dxa" w:w="100"/>
              <w:left w:type="dxa" w:w="150"/>
              <w:bottom w:type="dxa" w:w="100"/>
              <w:right w:type="dxa" w:w="150"/>
            </w:tcMar>
          </w:tcPr>
          <w:p>
            <w:r>
              <w:rPr>
                <w:b/>
                <w:bCs/>
                <w:sz w:val="22"/>
                <w:szCs w:val="22"/>
              </w:rPr>
              <w:t xml:space="preserve">Class / Section</w:t>
            </w:r>
          </w:p>
        </w:tc>
        <w:tc>
          <w:tcPr>
            <w:tcW w:type="dxa" w:w="6660"/>
            <w:tcMar>
              <w:top w:type="dxa" w:w="100"/>
              <w:left w:type="dxa" w:w="150"/>
              <w:bottom w:type="dxa" w:w="100"/>
              <w:right w:type="dxa" w:w="150"/>
            </w:tcMar>
          </w:tcPr>
          <w:p>
            <w:r>
              <w:rPr>
                <w:sz w:val="22"/>
                <w:szCs w:val="22"/>
              </w:rPr>
              <w:t xml:space="preserve">CSE F</w:t>
            </w:r>
          </w:p>
        </w:tc>
      </w:tr>
    </w:tbl>
    <w:p>
      <w:pPr>
        <w:pStyle w:val="Heading1"/>
        <w:pBdr>
          <w:bottom w:val="single" w:color="BFBFBF" w:sz="6" w:space="4"/>
        </w:pBdr>
        <w:spacing w:after="140" w:before="320"/>
      </w:pPr>
      <w:r>
        <w:rPr>
          <w:b/>
          <w:bCs/>
          <w:color w:val="1F3864"/>
          <w:sz w:val="26"/>
          <w:szCs w:val="26"/>
        </w:rPr>
        <w:t xml:space="preserve">2. Business Domain</w:t>
      </w:r>
    </w:p>
    <w:p>
      <w:pPr>
        <w:spacing w:after="160" w:line="300"/>
      </w:pPr>
      <w:r>
        <w:rPr>
          <w:sz w:val="22"/>
          <w:szCs w:val="22"/>
        </w:rPr>
        <w:t xml:space="preserve">Technology — Software Supply Chain Risk Management (open-source ecosystem analytics).</w:t>
      </w:r>
    </w:p>
    <w:p>
      <w:pPr>
        <w:pStyle w:val="Heading1"/>
        <w:pBdr>
          <w:bottom w:val="single" w:color="BFBFBF" w:sz="6" w:space="4"/>
        </w:pBdr>
        <w:spacing w:after="140" w:before="320"/>
      </w:pPr>
      <w:r>
        <w:rPr>
          <w:b/>
          <w:bCs/>
          <w:color w:val="1F3864"/>
          <w:sz w:val="26"/>
          <w:szCs w:val="26"/>
        </w:rPr>
        <w:t xml:space="preserve">3. Case Study Title</w:t>
      </w:r>
    </w:p>
    <w:p>
      <w:pPr>
        <w:spacing w:after="160" w:line="300"/>
      </w:pPr>
      <w:r>
        <w:rPr>
          <w:b/>
          <w:bCs/>
          <w:sz w:val="22"/>
          <w:szCs w:val="22"/>
        </w:rPr>
        <w:t xml:space="preserve">The Bus-Factor Index: A Supply-Chain Risk Scoring Framework for Predicting Open-Source Package Abandonment</w:t>
      </w:r>
    </w:p>
    <w:p>
      <w:pPr>
        <w:pStyle w:val="Heading1"/>
        <w:pBdr>
          <w:bottom w:val="single" w:color="BFBFBF" w:sz="6" w:space="4"/>
        </w:pBdr>
        <w:spacing w:after="140" w:before="320"/>
      </w:pPr>
      <w:r>
        <w:rPr>
          <w:b/>
          <w:bCs/>
          <w:color w:val="1F3864"/>
          <w:sz w:val="26"/>
          <w:szCs w:val="26"/>
        </w:rPr>
        <w:t xml:space="preserve">4. Business Problem Statement</w:t>
      </w:r>
    </w:p>
    <w:p>
      <w:pPr>
        <w:spacing w:after="160" w:line="300"/>
      </w:pPr>
      <w:r>
        <w:rPr>
          <w:sz w:val="22"/>
          <w:szCs w:val="22"/>
        </w:rPr>
        <w:t xml:space="preserve">Modern software products depend on hundreds of open-source packages (npm, PyPI) that the companies using them do not control. When a critical dependency is abandoned — its maintainer stops responding, releases stall, and security patches lag — downstream teams inherit silent risk that usually surfaces only after a breaking change or vulnerability reaches production, as in the widely cited left-pad and event-stream incidents.</w:t>
      </w:r>
    </w:p>
    <w:p>
      <w:pPr>
        <w:spacing w:after="160" w:line="300"/>
      </w:pPr>
      <w:r>
        <w:rPr>
          <w:sz w:val="22"/>
          <w:szCs w:val="22"/>
        </w:rPr>
        <w:t xml:space="preserve">Engineering leadership currently has no systematic way to tell a well-maintained package apart from one quietly heading toward abandonment. GitHub stars and download counts are the default proxies, but both are lagging, easily inflated vanity metrics that say nothing about maintainer health.</w:t>
      </w:r>
    </w:p>
    <w:p>
      <w:pPr>
        <w:spacing w:after="160" w:line="300"/>
      </w:pPr>
      <w:r>
        <w:rPr>
          <w:sz w:val="22"/>
          <w:szCs w:val="22"/>
        </w:rPr>
        <w:t xml:space="preserve">This matters because dependency abandonment creates real security, compliance, and engineering-velocity costs, and solving it benefits CTOs, security teams, and platform engineering groups who must decide which dependencies to fork, replace, or fund before a failure forces the decision. Business/data analytics can address this gap by combining maintainer-activity signals, issue and pull-request responsiveness, release cadence, and dependency-graph centrality into a single, predictive risk score — something no public tool currently offers at scale.</w:t>
      </w:r>
    </w:p>
    <w:p>
      <w:pPr>
        <w:pStyle w:val="Heading1"/>
        <w:pBdr>
          <w:bottom w:val="single" w:color="BFBFBF" w:sz="6" w:space="4"/>
        </w:pBdr>
        <w:spacing w:after="140" w:before="320"/>
      </w:pPr>
      <w:r>
        <w:rPr>
          <w:b/>
          <w:bCs/>
          <w:color w:val="1F3864"/>
          <w:sz w:val="26"/>
          <w:szCs w:val="26"/>
        </w:rPr>
        <w:t xml:space="preserve">5. Business Objective</w:t>
      </w:r>
    </w:p>
    <w:p>
      <w:pPr>
        <w:pStyle w:val="ListParagraph"/>
        <w:numPr>
          <w:ilvl w:val="0"/>
          <w:numId w:val="2"/>
        </w:numPr>
        <w:spacing w:after="60" w:line="280"/>
      </w:pPr>
      <w:r>
        <w:rPr>
          <w:sz w:val="22"/>
          <w:szCs w:val="22"/>
        </w:rPr>
        <w:t xml:space="preserve">Identify which maintainer- and repository-level signals most strongly predict abandonment (defined as 12+ months of inactivity despite open issues or pending pull requests).</w:t>
      </w:r>
    </w:p>
    <w:p>
      <w:pPr>
        <w:pStyle w:val="ListParagraph"/>
        <w:numPr>
          <w:ilvl w:val="0"/>
          <w:numId w:val="2"/>
        </w:numPr>
        <w:spacing w:after="60" w:line="280"/>
      </w:pPr>
      <w:r>
        <w:rPr>
          <w:sz w:val="22"/>
          <w:szCs w:val="22"/>
        </w:rPr>
        <w:t xml:space="preserve">Build a classification model that assigns each package a Bus-Factor Risk Score: Healthy, At-Risk, or Abandonment-Imminent.</w:t>
      </w:r>
    </w:p>
    <w:p>
      <w:pPr>
        <w:pStyle w:val="ListParagraph"/>
        <w:numPr>
          <w:ilvl w:val="0"/>
          <w:numId w:val="2"/>
        </w:numPr>
        <w:spacing w:after="60" w:line="280"/>
      </w:pPr>
      <w:r>
        <w:rPr>
          <w:sz w:val="22"/>
          <w:szCs w:val="22"/>
        </w:rPr>
        <w:t xml:space="preserve">Weight each risk score by downstream blast radius — the number of dependent packages and download volume — so a widely used package trending toward abandonment is flagged as a materially higher priority than an obscure one.</w:t>
      </w:r>
    </w:p>
    <w:p>
      <w:pPr>
        <w:pStyle w:val="Heading1"/>
        <w:pBdr>
          <w:bottom w:val="single" w:color="BFBFBF" w:sz="6" w:space="4"/>
        </w:pBdr>
        <w:spacing w:after="140" w:before="320"/>
      </w:pPr>
      <w:r>
        <w:rPr>
          <w:b/>
          <w:bCs/>
          <w:color w:val="1F3864"/>
          <w:sz w:val="26"/>
          <w:szCs w:val="26"/>
        </w:rPr>
        <w:t xml:space="preserve">6. Planned Dataset Size</w:t>
      </w:r>
    </w:p>
    <w:p>
      <w:pPr>
        <w:pStyle w:val="ListParagraph"/>
        <w:numPr>
          <w:ilvl w:val="0"/>
          <w:numId w:val="2"/>
        </w:numPr>
        <w:spacing w:after="60" w:line="280"/>
      </w:pPr>
      <w:r>
        <w:rPr>
          <w:sz w:val="22"/>
          <w:szCs w:val="22"/>
        </w:rPr>
        <w:t xml:space="preserve">Planned number of records: 12,000–15,000 packages</w:t>
      </w:r>
    </w:p>
    <w:p>
      <w:pPr>
        <w:pStyle w:val="ListParagraph"/>
        <w:numPr>
          <w:ilvl w:val="0"/>
          <w:numId w:val="2"/>
        </w:numPr>
        <w:spacing w:after="60" w:line="280"/>
      </w:pPr>
      <w:r>
        <w:rPr>
          <w:sz w:val="22"/>
          <w:szCs w:val="22"/>
        </w:rPr>
        <w:t xml:space="preserve">Expected number of attributes/features: 20–25, including commit-frequency trend, contributor concentration (Gini coefficient of commits — the classic “bus factor”), median issue-response time, release-cadence delta, open-to-closed issue ratio, 3–6 month download-trend slope, dependents count, repository age, license type, and time since last release.</w:t>
      </w:r>
    </w:p>
    <w:p>
      <w:pPr>
        <w:pStyle w:val="Heading1"/>
        <w:pBdr>
          <w:bottom w:val="single" w:color="BFBFBF" w:sz="6" w:space="4"/>
        </w:pBdr>
        <w:spacing w:after="140" w:before="320"/>
      </w:pPr>
      <w:r>
        <w:rPr>
          <w:b/>
          <w:bCs/>
          <w:color w:val="1F3864"/>
          <w:sz w:val="26"/>
          <w:szCs w:val="26"/>
        </w:rPr>
        <w:t xml:space="preserve">7. Proposed Data Collection Method</w:t>
      </w:r>
    </w:p>
    <w:p>
      <w:pPr>
        <w:spacing w:after="160" w:line="300"/>
      </w:pPr>
      <w:r>
        <w:rPr>
          <w:sz w:val="22"/>
          <w:szCs w:val="22"/>
        </w:rPr>
        <w:t xml:space="preserve">Data will be collected entirely through public, authenticated REST APIs — no HTML scraping and no personal or gated data involved:</w:t>
      </w:r>
    </w:p>
    <w:p>
      <w:pPr>
        <w:pStyle w:val="ListParagraph"/>
        <w:numPr>
          <w:ilvl w:val="0"/>
          <w:numId w:val="2"/>
        </w:numPr>
        <w:spacing w:after="60" w:line="280"/>
      </w:pPr>
      <w:r>
        <w:rPr>
          <w:sz w:val="22"/>
          <w:szCs w:val="22"/>
        </w:rPr>
        <w:t xml:space="preserve">GitHub REST API — commit history, contributor activity, issue and pull-request metadata</w:t>
      </w:r>
    </w:p>
    <w:p>
      <w:pPr>
        <w:pStyle w:val="ListParagraph"/>
        <w:numPr>
          <w:ilvl w:val="0"/>
          <w:numId w:val="2"/>
        </w:numPr>
        <w:spacing w:after="60" w:line="280"/>
      </w:pPr>
      <w:r>
        <w:rPr>
          <w:sz w:val="22"/>
          <w:szCs w:val="22"/>
        </w:rPr>
        <w:t xml:space="preserve">npm Registry API — package metadata, weekly download statistics, dependents</w:t>
      </w:r>
    </w:p>
    <w:p>
      <w:pPr>
        <w:pStyle w:val="ListParagraph"/>
        <w:numPr>
          <w:ilvl w:val="0"/>
          <w:numId w:val="2"/>
        </w:numPr>
        <w:spacing w:after="60" w:line="280"/>
      </w:pPr>
      <w:r>
        <w:rPr>
          <w:sz w:val="22"/>
          <w:szCs w:val="22"/>
        </w:rPr>
        <w:t xml:space="preserve">PyPI JSON API — release history and package metadata</w:t>
      </w:r>
    </w:p>
    <w:p>
      <w:pPr>
        <w:spacing w:after="160" w:line="300"/>
      </w:pPr>
      <w:r>
        <w:rPr>
          <w:sz w:val="22"/>
          <w:szCs w:val="22"/>
        </w:rPr>
        <w:t xml:space="preserve">Because these are official, rate-limited public registries rather than fragile scraped HTML, the 10,000+ record requirement is comfortably achievable and the pipeline is far less likely to break mid-semester than a typical web-scraping source.</w:t>
      </w:r>
    </w:p>
    <w:p>
      <w:pPr>
        <w:pStyle w:val="Heading1"/>
        <w:pBdr>
          <w:bottom w:val="single" w:color="BFBFBF" w:sz="6" w:space="4"/>
        </w:pBdr>
        <w:spacing w:after="140" w:before="320"/>
      </w:pPr>
      <w:r>
        <w:rPr>
          <w:b/>
          <w:bCs/>
          <w:color w:val="1F3864"/>
          <w:sz w:val="26"/>
          <w:szCs w:val="26"/>
        </w:rPr>
        <w:t xml:space="preserve">8. Expected Business Impact</w:t>
      </w:r>
    </w:p>
    <w:p>
      <w:pPr>
        <w:pStyle w:val="ListParagraph"/>
        <w:numPr>
          <w:ilvl w:val="0"/>
          <w:numId w:val="2"/>
        </w:numPr>
        <w:spacing w:after="60" w:line="280"/>
      </w:pPr>
      <w:r>
        <w:rPr>
          <w:sz w:val="22"/>
          <w:szCs w:val="22"/>
        </w:rPr>
        <w:t xml:space="preserve">Gives engineering organizations an early-warning system to proactively fork or replace at-risk critical dependencies before a breaking failure occurs.</w:t>
      </w:r>
    </w:p>
    <w:p>
      <w:pPr>
        <w:pStyle w:val="ListParagraph"/>
        <w:numPr>
          <w:ilvl w:val="0"/>
          <w:numId w:val="2"/>
        </w:numPr>
        <w:spacing w:after="60" w:line="280"/>
      </w:pPr>
      <w:r>
        <w:rPr>
          <w:sz w:val="22"/>
          <w:szCs w:val="22"/>
        </w:rPr>
        <w:t xml:space="preserve">Helps open-source foundations and sponsorship programs (in the spirit of Tidelift-style initiatives) prioritize funding toward high-blast-radius, high-risk packages.</w:t>
      </w:r>
    </w:p>
    <w:p>
      <w:pPr>
        <w:pStyle w:val="ListParagraph"/>
        <w:numPr>
          <w:ilvl w:val="0"/>
          <w:numId w:val="2"/>
        </w:numPr>
        <w:spacing w:after="60" w:line="280"/>
      </w:pPr>
      <w:r>
        <w:rPr>
          <w:sz w:val="22"/>
          <w:szCs w:val="22"/>
        </w:rPr>
        <w:t xml:space="preserve">Supports security and procurement teams performing software composition analysis (SCA), a fast-growing compliance requirement under emerging SBOM (Software Bill of Materials) mandates.</w:t>
      </w:r>
    </w:p>
    <w:p>
      <w:pPr>
        <w:pStyle w:val="ListParagraph"/>
        <w:numPr>
          <w:ilvl w:val="0"/>
          <w:numId w:val="2"/>
        </w:numPr>
        <w:spacing w:after="60" w:line="280"/>
      </w:pPr>
      <w:r>
        <w:rPr>
          <w:sz w:val="22"/>
          <w:szCs w:val="22"/>
        </w:rPr>
        <w:t xml:space="preserve">Produces a reusable, evidence-based risk-scoring methodology rather than a one-off prediction — directly supporting data-driven dependency governance.</w:t>
      </w:r>
    </w:p>
    <w:p>
      <w:pPr>
        <w:pBdr>
          <w:top w:val="single" w:color="BFBFBF" w:sz="6" w:space="4"/>
        </w:pBdr>
        <w:spacing w:before="300"/>
      </w:pPr>
    </w:p>
    <w:p>
      <w:pPr>
        <w:spacing w:before="120"/>
      </w:pPr>
      <w:r>
        <w:rPr>
          <w:i/>
          <w:iCs/>
          <w:color w:val="7F7F7F"/>
          <w:sz w:val="18"/>
          <w:szCs w:val="18"/>
        </w:rPr>
        <w:t xml:space="preserve">Note on novelty: this domain (open-source software supply-chain analytics) does not overlap with any business domain, mechanism, or data source used elsewhere in the current Business Analytics case study list.</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2026-07-26T20:11:58.894Z</dcterms:created>
  <dcterms:modified xsi:type="dcterms:W3CDTF">2026-07-26T20:11:58.907Z</dcterms:modified>
</cp:coreProperties>
</file>

<file path=docProps/custom.xml><?xml version="1.0" encoding="utf-8"?>
<Properties xmlns="http://schemas.openxmlformats.org/officeDocument/2006/custom-properties" xmlns:vt="http://schemas.openxmlformats.org/officeDocument/2006/docPropsVTypes"/>
</file>