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1F4E79"/>
          <w:sz w:val="44"/>
          <w:szCs w:val="44"/>
        </w:rPr>
        <w:t xml:space="preserve">Sales &amp; Profitability Analytics Dashboard</w:t>
      </w:r>
    </w:p>
    <w:p>
      <w:pPr>
        <w:spacing w:after="80"/>
      </w:pPr>
      <w:r>
        <w:rPr>
          <w:color w:val="5A6B7B"/>
          <w:sz w:val="28"/>
          <w:szCs w:val="28"/>
        </w:rPr>
        <w:t xml:space="preserve">Project Summary: SQL Server + Power BI</w:t>
      </w:r>
    </w:p>
    <w:p>
      <w:pPr>
        <w:pBdr>
          <w:bottom w:val="single" w:color="1F4E79" w:sz="12" w:space="6"/>
        </w:pBdr>
        <w:spacing w:after="240"/>
      </w:pPr>
      <w:r>
        <w:rPr>
          <w:color w:val="5A6B7B"/>
          <w:sz w:val="20"/>
          <w:szCs w:val="20"/>
        </w:rPr>
        <w:t xml:space="preserve">Dataset: Superstore (Kaggle)   |   Prepared October 2026</w:t>
      </w:r>
    </w:p>
    <w:p>
      <w:pPr>
        <w:pStyle w:val="Heading1"/>
        <w:spacing w:after="140" w:before="320"/>
      </w:pPr>
      <w:r>
        <w:t xml:space="preserve">1. Project Overview</w:t>
      </w:r>
    </w:p>
    <w:p>
      <w:pPr>
        <w:spacing w:after="120" w:line="276"/>
      </w:pPr>
      <w:r>
        <w:t xml:space="preserve">This project turns a raw retail sales file into an end-to-end analytics solution. The data was cleaned and modelled in SQL Server, analysed with window functions and CTEs, and presented in a three-page Power BI dashboard that shows where the business earns and loses money.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Item</w:t>
            </w:r>
          </w:p>
        </w:tc>
        <w:tc>
          <w:tcPr>
            <w:tcW w:type="dxa" w:w="6826"/>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Detail</w:t>
            </w:r>
          </w:p>
        </w:tc>
      </w:tr>
      <w:tr>
        <w:trPr>
          <w:cantSplit/>
        </w:trPr>
        <w:tc>
          <w:tcPr>
            <w:tcW w:type="dxa" w:w="22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Dataset</w:t>
            </w:r>
          </w:p>
        </w:tc>
        <w:tc>
          <w:tcPr>
            <w:tcW w:type="dxa" w:w="68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Superstore Dataset (Final) on Kaggle, uploaded by vivek468</w:t>
            </w:r>
          </w:p>
        </w:tc>
      </w:tr>
      <w:tr>
        <w:trPr>
          <w:cantSplit/>
        </w:trPr>
        <w:tc>
          <w:tcPr>
            <w:tcW w:type="dxa" w:w="22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Size</w:t>
            </w:r>
          </w:p>
        </w:tc>
        <w:tc>
          <w:tcPr>
            <w:tcW w:type="dxa" w:w="68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9,994 order lines, 21 columns, orders dated 2014 to 2017</w:t>
            </w:r>
          </w:p>
        </w:tc>
      </w:tr>
      <w:tr>
        <w:trPr>
          <w:cantSplit/>
        </w:trPr>
        <w:tc>
          <w:tcPr>
            <w:tcW w:type="dxa" w:w="22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Database</w:t>
            </w:r>
          </w:p>
        </w:tc>
        <w:tc>
          <w:tcPr>
            <w:tcW w:type="dxa" w:w="68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SQL Server 2025 Express (instance localhost\SQLEXPRESS), managed with SSMS 22</w:t>
            </w:r>
          </w:p>
        </w:tc>
      </w:tr>
      <w:tr>
        <w:trPr>
          <w:cantSplit/>
        </w:trPr>
        <w:tc>
          <w:tcPr>
            <w:tcW w:type="dxa" w:w="22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BI tool</w:t>
            </w:r>
          </w:p>
        </w:tc>
        <w:tc>
          <w:tcPr>
            <w:tcW w:type="dxa" w:w="68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Power BI Desktop, Import mode, star-schema model</w:t>
            </w:r>
          </w:p>
        </w:tc>
      </w:tr>
      <w:tr>
        <w:trPr>
          <w:cantSplit/>
        </w:trPr>
        <w:tc>
          <w:tcPr>
            <w:tcW w:type="dxa" w:w="22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Deliverables</w:t>
            </w:r>
          </w:p>
        </w:tc>
        <w:tc>
          <w:tcPr>
            <w:tcW w:type="dxa" w:w="68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3 SQL scripts, 13 analysis queries, DAX measure set, colour theme, 3-page dashboard</w:t>
            </w:r>
          </w:p>
        </w:tc>
      </w:tr>
    </w:tbl>
    <w:p>
      <w:pPr>
        <w:pStyle w:val="Heading2"/>
        <w:spacing w:after="100" w:before="200"/>
      </w:pPr>
      <w:r>
        <w:t xml:space="preserve">Business questions answered</w:t>
      </w:r>
    </w:p>
    <w:p>
      <w:pPr>
        <w:pStyle w:val="ListParagraph"/>
        <w:numPr>
          <w:ilvl w:val="0"/>
          <w:numId w:val="2"/>
        </w:numPr>
        <w:spacing w:after="70" w:line="264"/>
      </w:pPr>
      <w:r>
        <w:t xml:space="preserve">What are total sales, profit and margin, and how have they changed year over year?</w:t>
      </w:r>
    </w:p>
    <w:p>
      <w:pPr>
        <w:pStyle w:val="ListParagraph"/>
        <w:numPr>
          <w:ilvl w:val="0"/>
          <w:numId w:val="2"/>
        </w:numPr>
        <w:spacing w:after="70" w:line="264"/>
      </w:pPr>
      <w:r>
        <w:t xml:space="preserve">Which categories, sub-categories and products make or lose money?</w:t>
      </w:r>
    </w:p>
    <w:p>
      <w:pPr>
        <w:pStyle w:val="ListParagraph"/>
        <w:numPr>
          <w:ilvl w:val="0"/>
          <w:numId w:val="2"/>
        </w:numPr>
        <w:spacing w:after="70" w:line="264"/>
      </w:pPr>
      <w:r>
        <w:t xml:space="preserve">How much does discounting hurt profit, and at what discount level does it turn negative?</w:t>
      </w:r>
    </w:p>
    <w:p>
      <w:pPr>
        <w:pStyle w:val="ListParagraph"/>
        <w:numPr>
          <w:ilvl w:val="0"/>
          <w:numId w:val="2"/>
        </w:numPr>
        <w:spacing w:after="70" w:line="264"/>
      </w:pPr>
      <w:r>
        <w:t xml:space="preserve">Which regions and states underperform?</w:t>
      </w:r>
    </w:p>
    <w:p>
      <w:pPr>
        <w:pStyle w:val="ListParagraph"/>
        <w:numPr>
          <w:ilvl w:val="0"/>
          <w:numId w:val="2"/>
        </w:numPr>
        <w:spacing w:after="70" w:line="264"/>
      </w:pPr>
      <w:r>
        <w:t xml:space="preserve">Which customer segments and customers matter most?</w:t>
      </w:r>
    </w:p>
    <w:p>
      <w:pPr>
        <w:pStyle w:val="Heading1"/>
        <w:spacing w:after="140" w:before="320"/>
      </w:pPr>
      <w:r>
        <w:t xml:space="preserve">2. Data Preparation in SQL Server</w:t>
      </w:r>
    </w:p>
    <w:p>
      <w:pPr>
        <w:pStyle w:val="Heading2"/>
        <w:spacing w:after="100" w:before="200"/>
      </w:pPr>
      <w:r>
        <w:t xml:space="preserve">2.1 Data profile and quality findings</w:t>
      </w:r>
    </w:p>
    <w:p>
      <w:pPr>
        <w:spacing w:after="120" w:line="276"/>
      </w:pPr>
      <w:r>
        <w:t xml:space="preserve">The file was profiled before loading. It has no missing values and no duplicate rows, but several details affected how it had to be loaded and modelled.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Finding</w:t>
            </w:r>
          </w:p>
        </w:tc>
        <w:tc>
          <w:tcPr>
            <w:tcW w:type="dxa" w:w="4726"/>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How it was handled</w:t>
            </w:r>
          </w:p>
        </w:tc>
      </w:tr>
      <w:tr>
        <w:trPr>
          <w:cantSplit/>
        </w:trPr>
        <w:tc>
          <w:tcPr>
            <w:tcW w:type="dxa" w:w="43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File uses Windows-1252 encoding and LF line endings</w:t>
            </w:r>
          </w:p>
        </w:tc>
        <w:tc>
          <w:tcPr>
            <w:tcW w:type="dxa" w:w="47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BULK INSERT with CODEPAGE 1252 and ROWTERMINATOR 0x0a</w:t>
            </w:r>
          </w:p>
        </w:tc>
      </w:tr>
      <w:tr>
        <w:trPr>
          <w:cantSplit/>
        </w:trPr>
        <w:tc>
          <w:tcPr>
            <w:tcW w:type="dxa" w:w="43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Dates are US month/day/year text (e.g. 11/8/2016)</w:t>
            </w:r>
          </w:p>
        </w:tc>
        <w:tc>
          <w:tcPr>
            <w:tcW w:type="dxa" w:w="47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Staged as text, then converted with style 101</w:t>
            </w:r>
          </w:p>
        </w:tc>
      </w:tr>
      <w:tr>
        <w:trPr>
          <w:cantSplit/>
        </w:trPr>
        <w:tc>
          <w:tcPr>
            <w:tcW w:type="dxa" w:w="43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449 postal codes lost a leading zero (New England and New Jersey)</w:t>
            </w:r>
          </w:p>
        </w:tc>
        <w:tc>
          <w:tcPr>
            <w:tcW w:type="dxa" w:w="47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Restored with RIGHT('00000' + code, 5), stored as CHAR(5)</w:t>
            </w:r>
          </w:p>
        </w:tc>
      </w:tr>
      <w:tr>
        <w:trPr>
          <w:cantSplit/>
        </w:trPr>
        <w:tc>
          <w:tcPr>
            <w:tcW w:type="dxa" w:w="43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32 product IDs carry more than one product name</w:t>
            </w:r>
          </w:p>
        </w:tc>
        <w:tc>
          <w:tcPr>
            <w:tcW w:type="dxa" w:w="47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Product dimension keyed on Product ID plus Product Name (1,894 rows)</w:t>
            </w:r>
          </w:p>
        </w:tc>
      </w:tr>
      <w:tr>
        <w:trPr>
          <w:cantSplit/>
        </w:trPr>
        <w:tc>
          <w:tcPr>
            <w:tcW w:type="dxa" w:w="43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Ship dates run into January 2018</w:t>
            </w:r>
          </w:p>
        </w:tc>
        <w:tc>
          <w:tcPr>
            <w:tcW w:type="dxa" w:w="47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Date dimension built for 2014 to 2018 (1,826 days)</w:t>
            </w:r>
          </w:p>
        </w:tc>
      </w:tr>
      <w:tr>
        <w:trPr>
          <w:cantSplit/>
        </w:trPr>
        <w:tc>
          <w:tcPr>
            <w:tcW w:type="dxa" w:w="43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1,871 rows have negative profit</w:t>
            </w:r>
          </w:p>
        </w:tc>
        <w:tc>
          <w:tcPr>
            <w:tcW w:type="dxa" w:w="47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Kept: these are real losses and drive the discount analysis</w:t>
            </w:r>
          </w:p>
        </w:tc>
      </w:tr>
      <w:tr>
        <w:trPr>
          <w:cantSplit/>
        </w:trPr>
        <w:tc>
          <w:tcPr>
            <w:tcW w:type="dxa" w:w="43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Last column (Profit) arrived with a hidden carriage return, so it summed to NULL</w:t>
            </w:r>
          </w:p>
        </w:tc>
        <w:tc>
          <w:tcPr>
            <w:tcW w:type="dxa" w:w="47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Cleaned with REPLACE(Profit, CHAR(13), '') in staging</w:t>
            </w:r>
          </w:p>
        </w:tc>
      </w:tr>
    </w:tbl>
    <w:p>
      <w:pPr>
        <w:pStyle w:val="Heading2"/>
        <w:spacing w:after="100" w:before="200"/>
      </w:pPr>
      <w:r>
        <w:t xml:space="preserve">2.2 Star schema</w:t>
      </w:r>
    </w:p>
    <w:p>
      <w:pPr>
        <w:spacing w:after="120" w:line="276"/>
      </w:pPr>
      <w:r>
        <w:t xml:space="preserve">The cleaned data was split into one fact table at order-line grain and five dimensions. All counts below were confirmed by the reconciliation query, and fact_sales matched the staging table exactly (9,994 rows, Sales 2,297,200.86, Profit 286,397.02).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rPr>
          <w:tblHeader/>
        </w:trPr>
        <w:tc>
          <w:tcPr>
            <w:tcW w:type="dxa" w:w="2000"/>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Table</w:t>
            </w:r>
          </w:p>
        </w:tc>
        <w:tc>
          <w:tcPr>
            <w:tcW w:type="dxa" w:w="900"/>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Rows</w:t>
            </w:r>
          </w:p>
        </w:tc>
        <w:tc>
          <w:tcPr>
            <w:tcW w:type="dxa" w:w="6126"/>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Contents</w:t>
            </w:r>
          </w:p>
        </w:tc>
      </w:tr>
      <w:tr>
        <w:trPr>
          <w:cantSplit/>
        </w:trPr>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fact_sales</w:t>
            </w:r>
          </w:p>
        </w:tc>
        <w:tc>
          <w:tcPr>
            <w:tcW w:type="dxa" w:w="9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jc w:val="right"/>
            </w:pPr>
            <w:r>
              <w:rPr>
                <w:sz w:val="18"/>
                <w:szCs w:val="18"/>
              </w:rPr>
              <w:t xml:space="preserve">9,994</w:t>
            </w:r>
          </w:p>
        </w:tc>
        <w:tc>
          <w:tcPr>
            <w:tcW w:type="dxa" w:w="61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Order ID, date keys, customer/product/geography/ship-mode keys, Sales, Quantity, Discount, Profit, Cost (derived)</w:t>
            </w:r>
          </w:p>
        </w:tc>
      </w:tr>
      <w:tr>
        <w:trPr>
          <w:cantSplit/>
        </w:trPr>
        <w:tc>
          <w:tcPr>
            <w:tcW w:type="dxa" w:w="20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dim_date</w:t>
            </w:r>
          </w:p>
        </w:tc>
        <w:tc>
          <w:tcPr>
            <w:tcW w:type="dxa" w:w="9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jc w:val="right"/>
            </w:pPr>
            <w:r>
              <w:rPr>
                <w:sz w:val="18"/>
                <w:szCs w:val="18"/>
              </w:rPr>
              <w:t xml:space="preserve">1,826</w:t>
            </w:r>
          </w:p>
        </w:tc>
        <w:tc>
          <w:tcPr>
            <w:tcW w:type="dxa" w:w="61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Date, year, quarter, month, month name, year-month, week, day name, weekend flag</w:t>
            </w:r>
          </w:p>
        </w:tc>
      </w:tr>
      <w:tr>
        <w:trPr>
          <w:cantSplit/>
        </w:trPr>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dim_customer</w:t>
            </w:r>
          </w:p>
        </w:tc>
        <w:tc>
          <w:tcPr>
            <w:tcW w:type="dxa" w:w="9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jc w:val="right"/>
            </w:pPr>
            <w:r>
              <w:rPr>
                <w:sz w:val="18"/>
                <w:szCs w:val="18"/>
              </w:rPr>
              <w:t xml:space="preserve">793</w:t>
            </w:r>
          </w:p>
        </w:tc>
        <w:tc>
          <w:tcPr>
            <w:tcW w:type="dxa" w:w="61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Customer ID, name, segment</w:t>
            </w:r>
          </w:p>
        </w:tc>
      </w:tr>
      <w:tr>
        <w:trPr>
          <w:cantSplit/>
        </w:trPr>
        <w:tc>
          <w:tcPr>
            <w:tcW w:type="dxa" w:w="20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dim_product</w:t>
            </w:r>
          </w:p>
        </w:tc>
        <w:tc>
          <w:tcPr>
            <w:tcW w:type="dxa" w:w="9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jc w:val="right"/>
            </w:pPr>
            <w:r>
              <w:rPr>
                <w:sz w:val="18"/>
                <w:szCs w:val="18"/>
              </w:rPr>
              <w:t xml:space="preserve">1,894</w:t>
            </w:r>
          </w:p>
        </w:tc>
        <w:tc>
          <w:tcPr>
            <w:tcW w:type="dxa" w:w="61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Product ID, name, category, sub-category</w:t>
            </w:r>
          </w:p>
        </w:tc>
      </w:tr>
      <w:tr>
        <w:trPr>
          <w:cantSplit/>
        </w:trPr>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dim_geography</w:t>
            </w:r>
          </w:p>
        </w:tc>
        <w:tc>
          <w:tcPr>
            <w:tcW w:type="dxa" w:w="9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jc w:val="right"/>
            </w:pPr>
            <w:r>
              <w:rPr>
                <w:sz w:val="18"/>
                <w:szCs w:val="18"/>
              </w:rPr>
              <w:t xml:space="preserve">632</w:t>
            </w:r>
          </w:p>
        </w:tc>
        <w:tc>
          <w:tcPr>
            <w:tcW w:type="dxa" w:w="61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Country, region, state, city, postal code</w:t>
            </w:r>
          </w:p>
        </w:tc>
      </w:tr>
      <w:tr>
        <w:trPr>
          <w:cantSplit/>
        </w:trPr>
        <w:tc>
          <w:tcPr>
            <w:tcW w:type="dxa" w:w="20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dim_ship_mode</w:t>
            </w:r>
          </w:p>
        </w:tc>
        <w:tc>
          <w:tcPr>
            <w:tcW w:type="dxa" w:w="9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jc w:val="right"/>
            </w:pPr>
            <w:r>
              <w:rPr>
                <w:sz w:val="18"/>
                <w:szCs w:val="18"/>
              </w:rPr>
              <w:t xml:space="preserve">4</w:t>
            </w:r>
          </w:p>
        </w:tc>
        <w:tc>
          <w:tcPr>
            <w:tcW w:type="dxa" w:w="61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First Class, Same Day, Second Class, Standard Class</w:t>
            </w:r>
          </w:p>
        </w:tc>
      </w:tr>
    </w:tbl>
    <w:p>
      <w:pPr>
        <w:pStyle w:val="Heading2"/>
        <w:spacing w:after="100" w:before="200"/>
      </w:pPr>
      <w:r>
        <w:t xml:space="preserve">2.3 SQL scripts</w:t>
      </w:r>
    </w:p>
    <w:p>
      <w:pPr>
        <w:pStyle w:val="ListParagraph"/>
        <w:numPr>
          <w:ilvl w:val="0"/>
          <w:numId w:val="2"/>
        </w:numPr>
        <w:spacing w:after="70" w:line="264"/>
      </w:pPr>
      <w:r>
        <w:rPr>
          <w:b/>
          <w:bCs/>
        </w:rPr>
        <w:t xml:space="preserve">01_setup_import_star_schema.sql</w:t>
      </w:r>
      <w:r>
        <w:t xml:space="preserve">: creates SuperstoreDB, a text staging table, loads the CSV, runs data-quality checks, builds and populates the star schema, and reconciles totals.</w:t>
      </w:r>
    </w:p>
    <w:p>
      <w:pPr>
        <w:pStyle w:val="ListParagraph"/>
        <w:numPr>
          <w:ilvl w:val="0"/>
          <w:numId w:val="2"/>
        </w:numPr>
        <w:spacing w:after="70" w:line="264"/>
      </w:pPr>
      <w:r>
        <w:rPr>
          <w:b/>
          <w:bCs/>
        </w:rPr>
        <w:t xml:space="preserve">02_analysis_queries.sql</w:t>
      </w:r>
      <w:r>
        <w:t xml:space="preserve">: 13 business queries using CTEs, LAG, RANK, ROW_NUMBER, NTILE and running totals.</w:t>
      </w:r>
    </w:p>
    <w:p>
      <w:pPr>
        <w:pStyle w:val="ListParagraph"/>
        <w:numPr>
          <w:ilvl w:val="0"/>
          <w:numId w:val="2"/>
        </w:numPr>
        <w:spacing w:after="70" w:line="264"/>
      </w:pPr>
      <w:r>
        <w:rPr>
          <w:b/>
          <w:bCs/>
        </w:rPr>
        <w:t xml:space="preserve">03_create_views.sql</w:t>
      </w:r>
      <w:r>
        <w:t xml:space="preserve">: creates vw_sales_flat, a single flat view prepared for an Excel pivot-table layer (not yet used).</w:t>
      </w:r>
    </w:p>
    <w:p>
      <w:pPr>
        <w:pStyle w:val="Heading1"/>
        <w:spacing w:after="140" w:before="320"/>
      </w:pPr>
      <w:r>
        <w:t xml:space="preserve">3. SQL Analysis Results</w:t>
      </w:r>
    </w:p>
    <w:p>
      <w:pPr>
        <w:spacing w:after="120" w:line="276"/>
      </w:pPr>
      <w:r>
        <w:t xml:space="preserve">Results below were calculated from the source CSV and are the reference values for the SQL queries.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tblHeader/>
        </w:trPr>
        <w:tc>
          <w:tcPr>
            <w:tcW w:type="dxa" w:w="2300"/>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Query</w:t>
            </w:r>
          </w:p>
        </w:tc>
        <w:tc>
          <w:tcPr>
            <w:tcW w:type="dxa" w:w="1700"/>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Technique</w:t>
            </w:r>
          </w:p>
        </w:tc>
        <w:tc>
          <w:tcPr>
            <w:tcW w:type="dxa" w:w="5026"/>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Key result</w:t>
            </w:r>
          </w:p>
        </w:tc>
      </w:tr>
      <w:tr>
        <w:trPr>
          <w:cantSplit/>
        </w:trPr>
        <w:tc>
          <w:tcPr>
            <w:tcW w:type="dxa" w:w="23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Q1 Headline KPIs</w:t>
            </w:r>
          </w:p>
        </w:tc>
        <w:tc>
          <w:tcPr>
            <w:tcW w:type="dxa" w:w="1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Aggregates</w:t>
            </w:r>
          </w:p>
        </w:tc>
        <w:tc>
          <w:tcPr>
            <w:tcW w:type="dxa" w:w="50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Sales 2,297,200.86; Profit 286,397.02; margin 12.47%; 5,009 orders; 793 customers; average order value 458.61</w:t>
            </w:r>
          </w:p>
        </w:tc>
      </w:tr>
      <w:tr>
        <w:trPr>
          <w:cantSplit/>
        </w:trPr>
        <w:tc>
          <w:tcPr>
            <w:tcW w:type="dxa" w:w="23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Q2 Year over year</w:t>
            </w:r>
          </w:p>
        </w:tc>
        <w:tc>
          <w:tcPr>
            <w:tcW w:type="dxa" w:w="17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LAG</w:t>
            </w:r>
          </w:p>
        </w:tc>
        <w:tc>
          <w:tcPr>
            <w:tcW w:type="dxa" w:w="50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Sales growth: 2015 -2.83%, 2016 +29.47%, 2017 +20.36%</w:t>
            </w:r>
          </w:p>
        </w:tc>
      </w:tr>
      <w:tr>
        <w:trPr>
          <w:cantSplit/>
        </w:trPr>
        <w:tc>
          <w:tcPr>
            <w:tcW w:type="dxa" w:w="23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Q3 Monthly trend</w:t>
            </w:r>
          </w:p>
        </w:tc>
        <w:tc>
          <w:tcPr>
            <w:tcW w:type="dxa" w:w="1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SUM OVER, LAG(12)</w:t>
            </w:r>
          </w:p>
        </w:tc>
        <w:tc>
          <w:tcPr>
            <w:tcW w:type="dxa" w:w="50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48 months with year-to-date running total and same-month growth</w:t>
            </w:r>
          </w:p>
        </w:tc>
      </w:tr>
      <w:tr>
        <w:trPr>
          <w:cantSplit/>
        </w:trPr>
        <w:tc>
          <w:tcPr>
            <w:tcW w:type="dxa" w:w="23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Q4 Sub-category profit</w:t>
            </w:r>
          </w:p>
        </w:tc>
        <w:tc>
          <w:tcPr>
            <w:tcW w:type="dxa" w:w="17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RANK</w:t>
            </w:r>
          </w:p>
        </w:tc>
        <w:tc>
          <w:tcPr>
            <w:tcW w:type="dxa" w:w="50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Copiers lead (55,617.82). Tables, Bookcases and Supplies lose money</w:t>
            </w:r>
          </w:p>
        </w:tc>
      </w:tr>
      <w:tr>
        <w:trPr>
          <w:cantSplit/>
        </w:trPr>
        <w:tc>
          <w:tcPr>
            <w:tcW w:type="dxa" w:w="23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Q5 Region and state</w:t>
            </w:r>
          </w:p>
        </w:tc>
        <w:tc>
          <w:tcPr>
            <w:tcW w:type="dxa" w:w="1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GROUP BY, TOP</w:t>
            </w:r>
          </w:p>
        </w:tc>
        <w:tc>
          <w:tcPr>
            <w:tcW w:type="dxa" w:w="50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West is strongest; Central has the lowest margin (7.92%); Texas loses most (-25,729)</w:t>
            </w:r>
          </w:p>
        </w:tc>
      </w:tr>
      <w:tr>
        <w:trPr>
          <w:cantSplit/>
        </w:trPr>
        <w:tc>
          <w:tcPr>
            <w:tcW w:type="dxa" w:w="23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Q6 Discount bands</w:t>
            </w:r>
          </w:p>
        </w:tc>
        <w:tc>
          <w:tcPr>
            <w:tcW w:type="dxa" w:w="17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CASE</w:t>
            </w:r>
          </w:p>
        </w:tc>
        <w:tc>
          <w:tcPr>
            <w:tcW w:type="dxa" w:w="50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See table below</w:t>
            </w:r>
          </w:p>
        </w:tc>
      </w:tr>
      <w:tr>
        <w:trPr>
          <w:cantSplit/>
        </w:trPr>
        <w:tc>
          <w:tcPr>
            <w:tcW w:type="dxa" w:w="23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Q7 Deep-discount profit by sub-category</w:t>
            </w:r>
          </w:p>
        </w:tc>
        <w:tc>
          <w:tcPr>
            <w:tcW w:type="dxa" w:w="1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Conditional SUM</w:t>
            </w:r>
          </w:p>
        </w:tc>
        <w:tc>
          <w:tcPr>
            <w:tcW w:type="dxa" w:w="50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Binders lose 38,510 on discounts above 20%</w:t>
            </w:r>
          </w:p>
        </w:tc>
      </w:tr>
      <w:tr>
        <w:trPr>
          <w:cantSplit/>
        </w:trPr>
        <w:tc>
          <w:tcPr>
            <w:tcW w:type="dxa" w:w="23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Q8 Top and bottom products</w:t>
            </w:r>
          </w:p>
        </w:tc>
        <w:tc>
          <w:tcPr>
            <w:tcW w:type="dxa" w:w="17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ROW_NUMBER</w:t>
            </w:r>
          </w:p>
        </w:tc>
        <w:tc>
          <w:tcPr>
            <w:tcW w:type="dxa" w:w="50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Best: Canon imageCLASS 2200 (+25,199.93). Worst: Cubify CubeX 3D Printer (-8,879.97)</w:t>
            </w:r>
          </w:p>
        </w:tc>
      </w:tr>
      <w:tr>
        <w:trPr>
          <w:cantSplit/>
        </w:trPr>
        <w:tc>
          <w:tcPr>
            <w:tcW w:type="dxa" w:w="23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Q9 Customer segments</w:t>
            </w:r>
          </w:p>
        </w:tc>
        <w:tc>
          <w:tcPr>
            <w:tcW w:type="dxa" w:w="1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GROUP BY</w:t>
            </w:r>
          </w:p>
        </w:tc>
        <w:tc>
          <w:tcPr>
            <w:tcW w:type="dxa" w:w="50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Consumer 1.16M sales; Home Office has the best margin (14.03%)</w:t>
            </w:r>
          </w:p>
        </w:tc>
      </w:tr>
      <w:tr>
        <w:trPr>
          <w:cantSplit/>
        </w:trPr>
        <w:tc>
          <w:tcPr>
            <w:tcW w:type="dxa" w:w="23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Q10 RFM segmentation</w:t>
            </w:r>
          </w:p>
        </w:tc>
        <w:tc>
          <w:tcPr>
            <w:tcW w:type="dxa" w:w="17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NTILE</w:t>
            </w:r>
          </w:p>
        </w:tc>
        <w:tc>
          <w:tcPr>
            <w:tcW w:type="dxa" w:w="50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Customers scored 1 to 5 on recency, frequency and spend, grouped into six segments</w:t>
            </w:r>
          </w:p>
        </w:tc>
      </w:tr>
      <w:tr>
        <w:trPr>
          <w:cantSplit/>
        </w:trPr>
        <w:tc>
          <w:tcPr>
            <w:tcW w:type="dxa" w:w="23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Q11 Pareto</w:t>
            </w:r>
          </w:p>
        </w:tc>
        <w:tc>
          <w:tcPr>
            <w:tcW w:type="dxa" w:w="1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Cumulative SUM</w:t>
            </w:r>
          </w:p>
        </w:tc>
        <w:tc>
          <w:tcPr>
            <w:tcW w:type="dxa" w:w="50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396 of 793 customers (49.94%) generate 80% of sales</w:t>
            </w:r>
          </w:p>
        </w:tc>
      </w:tr>
      <w:tr>
        <w:trPr>
          <w:cantSplit/>
        </w:trPr>
        <w:tc>
          <w:tcPr>
            <w:tcW w:type="dxa" w:w="23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Q12 Shipping</w:t>
            </w:r>
          </w:p>
        </w:tc>
        <w:tc>
          <w:tcPr>
            <w:tcW w:type="dxa" w:w="17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DATEDIFF</w:t>
            </w:r>
          </w:p>
        </w:tc>
        <w:tc>
          <w:tcPr>
            <w:tcW w:type="dxa" w:w="50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Average ship days: Same Day 0.04, First Class 2.18, Second Class 3.24, Standard 5.01</w:t>
            </w:r>
          </w:p>
        </w:tc>
      </w:tr>
      <w:tr>
        <w:trPr>
          <w:cantSplit/>
        </w:trPr>
        <w:tc>
          <w:tcPr>
            <w:tcW w:type="dxa" w:w="23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Q13 Loss-making lines</w:t>
            </w:r>
          </w:p>
        </w:tc>
        <w:tc>
          <w:tcPr>
            <w:tcW w:type="dxa" w:w="1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CASE, window %</w:t>
            </w:r>
          </w:p>
        </w:tc>
        <w:tc>
          <w:tcPr>
            <w:tcW w:type="dxa" w:w="50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1,871 lines (18.72%) lose a combined 156,131</w:t>
            </w:r>
          </w:p>
        </w:tc>
      </w:tr>
    </w:tbl>
    <w:p>
      <w:pPr>
        <w:pStyle w:val="Heading2"/>
        <w:spacing w:after="100" w:before="200"/>
      </w:pPr>
      <w:r>
        <w:t xml:space="preserve">Discount impact (Q6)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6"/>
        <w:gridCol w:w="1500"/>
        <w:gridCol w:w="1700"/>
        <w:gridCol w:w="1700"/>
        <w:gridCol w:w="1800"/>
      </w:tblGrid>
      <w:tr>
        <w:trPr>
          <w:tblHeader/>
        </w:trPr>
        <w:tc>
          <w:tcPr>
            <w:tcW w:type="dxa" w:w="2326"/>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Discount band</w:t>
            </w:r>
          </w:p>
        </w:tc>
        <w:tc>
          <w:tcPr>
            <w:tcW w:type="dxa" w:w="1500"/>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Order lines</w:t>
            </w:r>
          </w:p>
        </w:tc>
        <w:tc>
          <w:tcPr>
            <w:tcW w:type="dxa" w:w="1700"/>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Sales</w:t>
            </w:r>
          </w:p>
        </w:tc>
        <w:tc>
          <w:tcPr>
            <w:tcW w:type="dxa" w:w="1700"/>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Profit</w:t>
            </w:r>
          </w:p>
        </w:tc>
        <w:tc>
          <w:tcPr>
            <w:tcW w:type="dxa" w:w="1800"/>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Margin</w:t>
            </w:r>
          </w:p>
        </w:tc>
      </w:tr>
      <w:tr>
        <w:trPr>
          <w:cantSplit/>
        </w:trPr>
        <w:tc>
          <w:tcPr>
            <w:tcW w:type="dxa" w:w="23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No discount</w:t>
            </w:r>
          </w:p>
        </w:tc>
        <w:tc>
          <w:tcPr>
            <w:tcW w:type="dxa" w:w="15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jc w:val="right"/>
            </w:pPr>
            <w:r>
              <w:rPr>
                <w:sz w:val="18"/>
                <w:szCs w:val="18"/>
              </w:rPr>
              <w:t xml:space="preserve">4,798</w:t>
            </w:r>
          </w:p>
        </w:tc>
        <w:tc>
          <w:tcPr>
            <w:tcW w:type="dxa" w:w="1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jc w:val="right"/>
            </w:pPr>
            <w:r>
              <w:rPr>
                <w:sz w:val="18"/>
                <w:szCs w:val="18"/>
              </w:rPr>
              <w:t xml:space="preserve">1,087,908</w:t>
            </w:r>
          </w:p>
        </w:tc>
        <w:tc>
          <w:tcPr>
            <w:tcW w:type="dxa" w:w="1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jc w:val="right"/>
            </w:pPr>
            <w:r>
              <w:rPr>
                <w:sz w:val="18"/>
                <w:szCs w:val="18"/>
              </w:rPr>
              <w:t xml:space="preserve">320,988</w:t>
            </w:r>
          </w:p>
        </w:tc>
        <w:tc>
          <w:tcPr>
            <w:tcW w:type="dxa" w:w="18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jc w:val="right"/>
            </w:pPr>
            <w:r>
              <w:rPr>
                <w:sz w:val="18"/>
                <w:szCs w:val="18"/>
              </w:rPr>
              <w:t xml:space="preserve">29.51%</w:t>
            </w:r>
          </w:p>
        </w:tc>
      </w:tr>
      <w:tr>
        <w:trPr>
          <w:cantSplit/>
        </w:trPr>
        <w:tc>
          <w:tcPr>
            <w:tcW w:type="dxa" w:w="23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1-20%</w:t>
            </w:r>
          </w:p>
        </w:tc>
        <w:tc>
          <w:tcPr>
            <w:tcW w:type="dxa" w:w="15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jc w:val="right"/>
            </w:pPr>
            <w:r>
              <w:rPr>
                <w:sz w:val="18"/>
                <w:szCs w:val="18"/>
              </w:rPr>
              <w:t xml:space="preserve">3,803</w:t>
            </w:r>
          </w:p>
        </w:tc>
        <w:tc>
          <w:tcPr>
            <w:tcW w:type="dxa" w:w="17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jc w:val="right"/>
            </w:pPr>
            <w:r>
              <w:rPr>
                <w:sz w:val="18"/>
                <w:szCs w:val="18"/>
              </w:rPr>
              <w:t xml:space="preserve">846,522</w:t>
            </w:r>
          </w:p>
        </w:tc>
        <w:tc>
          <w:tcPr>
            <w:tcW w:type="dxa" w:w="17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jc w:val="right"/>
            </w:pPr>
            <w:r>
              <w:rPr>
                <w:sz w:val="18"/>
                <w:szCs w:val="18"/>
              </w:rPr>
              <w:t xml:space="preserve">100,785</w:t>
            </w:r>
          </w:p>
        </w:tc>
        <w:tc>
          <w:tcPr>
            <w:tcW w:type="dxa" w:w="18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jc w:val="right"/>
            </w:pPr>
            <w:r>
              <w:rPr>
                <w:sz w:val="18"/>
                <w:szCs w:val="18"/>
              </w:rPr>
              <w:t xml:space="preserve">11.91%</w:t>
            </w:r>
          </w:p>
        </w:tc>
      </w:tr>
      <w:tr>
        <w:trPr>
          <w:cantSplit/>
        </w:trPr>
        <w:tc>
          <w:tcPr>
            <w:tcW w:type="dxa" w:w="23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21-40%</w:t>
            </w:r>
          </w:p>
        </w:tc>
        <w:tc>
          <w:tcPr>
            <w:tcW w:type="dxa" w:w="15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jc w:val="right"/>
            </w:pPr>
            <w:r>
              <w:rPr>
                <w:sz w:val="18"/>
                <w:szCs w:val="18"/>
              </w:rPr>
              <w:t xml:space="preserve">460</w:t>
            </w:r>
          </w:p>
        </w:tc>
        <w:tc>
          <w:tcPr>
            <w:tcW w:type="dxa" w:w="1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jc w:val="right"/>
            </w:pPr>
            <w:r>
              <w:rPr>
                <w:sz w:val="18"/>
                <w:szCs w:val="18"/>
              </w:rPr>
              <w:t xml:space="preserve">234,138</w:t>
            </w:r>
          </w:p>
        </w:tc>
        <w:tc>
          <w:tcPr>
            <w:tcW w:type="dxa" w:w="1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jc w:val="right"/>
            </w:pPr>
            <w:r>
              <w:rPr>
                <w:sz w:val="18"/>
                <w:szCs w:val="18"/>
              </w:rPr>
              <w:t xml:space="preserve">-35,817</w:t>
            </w:r>
          </w:p>
        </w:tc>
        <w:tc>
          <w:tcPr>
            <w:tcW w:type="dxa" w:w="18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jc w:val="right"/>
            </w:pPr>
            <w:r>
              <w:rPr>
                <w:sz w:val="18"/>
                <w:szCs w:val="18"/>
              </w:rPr>
              <w:t xml:space="preserve">-15.30%</w:t>
            </w:r>
          </w:p>
        </w:tc>
      </w:tr>
      <w:tr>
        <w:trPr>
          <w:cantSplit/>
        </w:trPr>
        <w:tc>
          <w:tcPr>
            <w:tcW w:type="dxa" w:w="23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41-60%</w:t>
            </w:r>
          </w:p>
        </w:tc>
        <w:tc>
          <w:tcPr>
            <w:tcW w:type="dxa" w:w="15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jc w:val="right"/>
            </w:pPr>
            <w:r>
              <w:rPr>
                <w:sz w:val="18"/>
                <w:szCs w:val="18"/>
              </w:rPr>
              <w:t xml:space="preserve">215</w:t>
            </w:r>
          </w:p>
        </w:tc>
        <w:tc>
          <w:tcPr>
            <w:tcW w:type="dxa" w:w="17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jc w:val="right"/>
            </w:pPr>
            <w:r>
              <w:rPr>
                <w:sz w:val="18"/>
                <w:szCs w:val="18"/>
              </w:rPr>
              <w:t xml:space="preserve">71,048</w:t>
            </w:r>
          </w:p>
        </w:tc>
        <w:tc>
          <w:tcPr>
            <w:tcW w:type="dxa" w:w="17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jc w:val="right"/>
            </w:pPr>
            <w:r>
              <w:rPr>
                <w:sz w:val="18"/>
                <w:szCs w:val="18"/>
              </w:rPr>
              <w:t xml:space="preserve">-28,944</w:t>
            </w:r>
          </w:p>
        </w:tc>
        <w:tc>
          <w:tcPr>
            <w:tcW w:type="dxa" w:w="18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jc w:val="right"/>
            </w:pPr>
            <w:r>
              <w:rPr>
                <w:sz w:val="18"/>
                <w:szCs w:val="18"/>
              </w:rPr>
              <w:t xml:space="preserve">-40.74%</w:t>
            </w:r>
          </w:p>
        </w:tc>
      </w:tr>
      <w:tr>
        <w:trPr>
          <w:cantSplit/>
        </w:trPr>
        <w:tc>
          <w:tcPr>
            <w:tcW w:type="dxa" w:w="23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Over 60%</w:t>
            </w:r>
          </w:p>
        </w:tc>
        <w:tc>
          <w:tcPr>
            <w:tcW w:type="dxa" w:w="15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jc w:val="right"/>
            </w:pPr>
            <w:r>
              <w:rPr>
                <w:sz w:val="18"/>
                <w:szCs w:val="18"/>
              </w:rPr>
              <w:t xml:space="preserve">718</w:t>
            </w:r>
          </w:p>
        </w:tc>
        <w:tc>
          <w:tcPr>
            <w:tcW w:type="dxa" w:w="1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jc w:val="right"/>
            </w:pPr>
            <w:r>
              <w:rPr>
                <w:sz w:val="18"/>
                <w:szCs w:val="18"/>
              </w:rPr>
              <w:t xml:space="preserve">57,584</w:t>
            </w:r>
          </w:p>
        </w:tc>
        <w:tc>
          <w:tcPr>
            <w:tcW w:type="dxa" w:w="1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jc w:val="right"/>
            </w:pPr>
            <w:r>
              <w:rPr>
                <w:sz w:val="18"/>
                <w:szCs w:val="18"/>
              </w:rPr>
              <w:t xml:space="preserve">-70,614</w:t>
            </w:r>
          </w:p>
        </w:tc>
        <w:tc>
          <w:tcPr>
            <w:tcW w:type="dxa" w:w="18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jc w:val="right"/>
            </w:pPr>
            <w:r>
              <w:rPr>
                <w:sz w:val="18"/>
                <w:szCs w:val="18"/>
              </w:rPr>
              <w:t xml:space="preserve">-122.63%</w:t>
            </w:r>
          </w:p>
        </w:tc>
      </w:tr>
    </w:tbl>
    <w:p>
      <w:pPr>
        <w:spacing w:after="100"/>
      </w:pPr>
    </w:p>
    <w:p>
      <w:pPr>
        <w:pStyle w:val="Heading1"/>
        <w:spacing w:after="140" w:before="320"/>
      </w:pPr>
      <w:r>
        <w:t xml:space="preserve">4. Power BI Build</w:t>
      </w:r>
    </w:p>
    <w:p>
      <w:pPr>
        <w:pStyle w:val="Heading2"/>
        <w:spacing w:after="100" w:before="200"/>
      </w:pPr>
      <w:r>
        <w:t xml:space="preserve">4.1 Connection and data model</w:t>
      </w:r>
    </w:p>
    <w:p>
      <w:pPr>
        <w:spacing w:after="120" w:line="276"/>
      </w:pPr>
      <w:r>
        <w:t xml:space="preserve">Power BI connects to localhost\SQLEXPRESS, database SuperstoreDB, in Import mode. Only the six star-schema tables are loaded; the staging table and an unrelated database on the same server were deliberately excluded.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1700"/>
        <w:gridCol w:w="2326"/>
      </w:tblGrid>
      <w:tr>
        <w:trPr>
          <w:tblHeader/>
        </w:trPr>
        <w:tc>
          <w:tcPr>
            <w:tcW w:type="dxa" w:w="5000"/>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Relationship</w:t>
            </w:r>
          </w:p>
        </w:tc>
        <w:tc>
          <w:tcPr>
            <w:tcW w:type="dxa" w:w="1700"/>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Cardinality</w:t>
            </w:r>
          </w:p>
        </w:tc>
        <w:tc>
          <w:tcPr>
            <w:tcW w:type="dxa" w:w="2326"/>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State</w:t>
            </w:r>
          </w:p>
        </w:tc>
      </w:tr>
      <w:tr>
        <w:trPr>
          <w:cantSplit/>
        </w:trPr>
        <w:tc>
          <w:tcPr>
            <w:tcW w:type="dxa" w:w="5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fact_sales[OrderDateKey] to dim_date[DateKey]</w:t>
            </w:r>
          </w:p>
        </w:tc>
        <w:tc>
          <w:tcPr>
            <w:tcW w:type="dxa" w:w="1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Many to one</w:t>
            </w:r>
          </w:p>
        </w:tc>
        <w:tc>
          <w:tcPr>
            <w:tcW w:type="dxa" w:w="23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Active</w:t>
            </w:r>
          </w:p>
        </w:tc>
      </w:tr>
      <w:tr>
        <w:trPr>
          <w:cantSplit/>
        </w:trPr>
        <w:tc>
          <w:tcPr>
            <w:tcW w:type="dxa" w:w="50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fact_sales[ShipDateKey] to dim_date[DateKey]</w:t>
            </w:r>
          </w:p>
        </w:tc>
        <w:tc>
          <w:tcPr>
            <w:tcW w:type="dxa" w:w="17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Many to one</w:t>
            </w:r>
          </w:p>
        </w:tc>
        <w:tc>
          <w:tcPr>
            <w:tcW w:type="dxa" w:w="23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Inactive (used with USERELATIONSHIP)</w:t>
            </w:r>
          </w:p>
        </w:tc>
      </w:tr>
      <w:tr>
        <w:trPr>
          <w:cantSplit/>
        </w:trPr>
        <w:tc>
          <w:tcPr>
            <w:tcW w:type="dxa" w:w="5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fact_sales to dim_customer, dim_product, dim_geography, dim_ship_mode</w:t>
            </w:r>
          </w:p>
        </w:tc>
        <w:tc>
          <w:tcPr>
            <w:tcW w:type="dxa" w:w="1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Many to one</w:t>
            </w:r>
          </w:p>
        </w:tc>
        <w:tc>
          <w:tcPr>
            <w:tcW w:type="dxa" w:w="23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Active</w:t>
            </w:r>
          </w:p>
        </w:tc>
      </w:tr>
    </w:tbl>
    <w:p>
      <w:pPr>
        <w:spacing w:after="100"/>
      </w:pPr>
    </w:p>
    <w:p>
      <w:pPr>
        <w:spacing w:after="120" w:line="276"/>
      </w:pPr>
      <w:r>
        <w:t xml:space="preserve">dim_date was marked as the date table on FullDate, and MonthName is sorted by Month. DateKey stays a whole number because it is the join key; FullDate is the true date column.</w:t>
      </w:r>
    </w:p>
    <w:p>
      <w:pPr>
        <w:pStyle w:val="Heading2"/>
        <w:spacing w:after="100" w:before="200"/>
      </w:pPr>
      <w:r>
        <w:t xml:space="preserve">4.2 DAX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Group</w:t>
            </w:r>
          </w:p>
        </w:tc>
        <w:tc>
          <w:tcPr>
            <w:tcW w:type="dxa" w:w="6826"/>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Measures</w:t>
            </w:r>
          </w:p>
        </w:tc>
      </w:tr>
      <w:tr>
        <w:trPr>
          <w:cantSplit/>
        </w:trPr>
        <w:tc>
          <w:tcPr>
            <w:tcW w:type="dxa" w:w="22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Core KPIs</w:t>
            </w:r>
          </w:p>
        </w:tc>
        <w:tc>
          <w:tcPr>
            <w:tcW w:type="dxa" w:w="68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Total Sales, Total Profit, Total Cost, Profit Margin %, Total Orders, Total Customers, Units Sold, Avg Order Value, Avg Discount %</w:t>
            </w:r>
          </w:p>
        </w:tc>
      </w:tr>
      <w:tr>
        <w:trPr>
          <w:cantSplit/>
        </w:trPr>
        <w:tc>
          <w:tcPr>
            <w:tcW w:type="dxa" w:w="22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Time intelligence</w:t>
            </w:r>
          </w:p>
        </w:tc>
        <w:tc>
          <w:tcPr>
            <w:tcW w:type="dxa" w:w="68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Sales PY, Profit PY, Sales YoY %, Profit YoY %, Sales YTD, Running Total Sales</w:t>
            </w:r>
          </w:p>
        </w:tc>
      </w:tr>
      <w:tr>
        <w:trPr>
          <w:cantSplit/>
        </w:trPr>
        <w:tc>
          <w:tcPr>
            <w:tcW w:type="dxa" w:w="22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Loss and discount</w:t>
            </w:r>
          </w:p>
        </w:tc>
        <w:tc>
          <w:tcPr>
            <w:tcW w:type="dxa" w:w="68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Loss-Making Lines, Loss % of Lines, Loss Amount, Profit on Discounts Over 20%, Sales on Discounts Over 20%</w:t>
            </w:r>
          </w:p>
        </w:tc>
      </w:tr>
      <w:tr>
        <w:trPr>
          <w:cantSplit/>
        </w:trPr>
        <w:tc>
          <w:tcPr>
            <w:tcW w:type="dxa" w:w="22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Optional helpers</w:t>
            </w:r>
          </w:p>
        </w:tc>
        <w:tc>
          <w:tcPr>
            <w:tcW w:type="dxa" w:w="68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Total Orders Text, Margin Status, Profit Color, Discount Insight, Sales YoY Label</w:t>
            </w:r>
          </w:p>
        </w:tc>
      </w:tr>
      <w:tr>
        <w:trPr>
          <w:cantSplit/>
        </w:trPr>
        <w:tc>
          <w:tcPr>
            <w:tcW w:type="dxa" w:w="22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Shipping</w:t>
            </w:r>
          </w:p>
        </w:tc>
        <w:tc>
          <w:tcPr>
            <w:tcW w:type="dxa" w:w="68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Avg Ship Days, Sales by Ship Date</w:t>
            </w:r>
          </w:p>
        </w:tc>
      </w:tr>
      <w:tr>
        <w:trPr>
          <w:cantSplit/>
        </w:trPr>
        <w:tc>
          <w:tcPr>
            <w:tcW w:type="dxa" w:w="22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Calculated column</w:t>
            </w:r>
          </w:p>
        </w:tc>
        <w:tc>
          <w:tcPr>
            <w:tcW w:type="dxa" w:w="68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Discount Band on fact_sales (five bands from No discount to Over 60%)</w:t>
            </w:r>
          </w:p>
        </w:tc>
      </w:tr>
    </w:tbl>
    <w:p>
      <w:pPr>
        <w:spacing w:after="100"/>
      </w:pPr>
    </w:p>
    <w:p>
      <w:pPr>
        <w:spacing w:after="120" w:line="276"/>
      </w:pPr>
      <w:r>
        <w:t xml:space="preserve">A colour theme (superstore_theme.json) was also prepared: a navy and teal palette with red reserved for losses.</w:t>
      </w:r>
    </w:p>
    <w:p>
      <w:pPr>
        <w:pStyle w:val="Heading1"/>
        <w:spacing w:after="140" w:before="320"/>
      </w:pPr>
      <w:r>
        <w:t xml:space="preserve">5. Dashboard Pages</w:t>
      </w:r>
    </w:p>
    <w:p>
      <w:pPr>
        <w:pStyle w:val="Heading2"/>
        <w:spacing w:after="100" w:before="200"/>
      </w:pPr>
      <w:r>
        <w:t xml:space="preserve">Page 1: Executive Overview</w:t>
      </w:r>
    </w:p>
    <w:p>
      <w:pPr>
        <w:spacing w:after="120" w:line="276"/>
      </w:pPr>
      <w:r>
        <w:t xml:space="preserve">Purpose: a one-screen view of business health.</w:t>
      </w:r>
    </w:p>
    <w:p>
      <w:pPr>
        <w:pStyle w:val="ListParagraph"/>
        <w:numPr>
          <w:ilvl w:val="0"/>
          <w:numId w:val="2"/>
        </w:numPr>
        <w:spacing w:after="70" w:line="264"/>
      </w:pPr>
      <w:r>
        <w:rPr>
          <w:b/>
          <w:bCs/>
        </w:rPr>
        <w:t xml:space="preserve">KPI cards (6):</w:t>
      </w:r>
      <w:r>
        <w:t xml:space="preserve"> Total Sales 2.30M, Total Profit 286.40K, Profit Margin 12.47%, Total Orders 5,009, Avg Order Value 458.61, Total Customers 793.</w:t>
      </w:r>
    </w:p>
    <w:p>
      <w:pPr>
        <w:pStyle w:val="ListParagraph"/>
        <w:numPr>
          <w:ilvl w:val="0"/>
          <w:numId w:val="2"/>
        </w:numPr>
        <w:spacing w:after="70" w:line="264"/>
      </w:pPr>
      <w:r>
        <w:rPr>
          <w:b/>
          <w:bCs/>
        </w:rPr>
        <w:t xml:space="preserve">Slicers (4):</w:t>
      </w:r>
      <w:r>
        <w:t xml:space="preserve"> Year, Region, Category and Segment.</w:t>
      </w:r>
    </w:p>
    <w:p>
      <w:pPr>
        <w:pStyle w:val="ListParagraph"/>
        <w:numPr>
          <w:ilvl w:val="0"/>
          <w:numId w:val="2"/>
        </w:numPr>
        <w:spacing w:after="70" w:line="264"/>
      </w:pPr>
      <w:r>
        <w:rPr>
          <w:b/>
          <w:bCs/>
        </w:rPr>
        <w:t xml:space="preserve">Line chart:</w:t>
      </w:r>
      <w:r>
        <w:t xml:space="preserve"> Total Sales by YearMonth, showing the strong year-end peaks in November and December.</w:t>
      </w:r>
    </w:p>
    <w:p>
      <w:pPr>
        <w:pStyle w:val="ListParagraph"/>
        <w:numPr>
          <w:ilvl w:val="0"/>
          <w:numId w:val="2"/>
        </w:numPr>
        <w:spacing w:after="70" w:line="264"/>
      </w:pPr>
      <w:r>
        <w:rPr>
          <w:b/>
          <w:bCs/>
        </w:rPr>
        <w:t xml:space="preserve">Bar chart:</w:t>
      </w:r>
      <w:r>
        <w:t xml:space="preserve"> Sales by Category: Technology 0.84M, Furniture 0.74M, Office Supplies 0.72M.</w:t>
      </w:r>
    </w:p>
    <w:p>
      <w:pPr>
        <w:pStyle w:val="ListParagraph"/>
        <w:numPr>
          <w:ilvl w:val="0"/>
          <w:numId w:val="2"/>
        </w:numPr>
        <w:spacing w:after="70" w:line="264"/>
      </w:pPr>
      <w:r>
        <w:rPr>
          <w:b/>
          <w:bCs/>
        </w:rPr>
        <w:t xml:space="preserve">Bar chart:</w:t>
      </w:r>
      <w:r>
        <w:t xml:space="preserve"> the ten worst states by profit, led by Texas (-26K), Ohio (-17K), Pennsylvania (-16K) and Illinois (-13K).</w:t>
      </w:r>
    </w:p>
    <w:p>
      <w:pPr>
        <w:pStyle w:val="Heading2"/>
        <w:spacing w:after="100" w:before="200"/>
      </w:pPr>
      <w:r>
        <w:t xml:space="preserve">Page 2: Profitability</w:t>
      </w:r>
    </w:p>
    <w:p>
      <w:pPr>
        <w:spacing w:after="120" w:line="276"/>
      </w:pPr>
      <w:r>
        <w:t xml:space="preserve">Purpose: show what makes and loses money.</w:t>
      </w:r>
    </w:p>
    <w:p>
      <w:pPr>
        <w:pStyle w:val="ListParagraph"/>
        <w:numPr>
          <w:ilvl w:val="0"/>
          <w:numId w:val="2"/>
        </w:numPr>
        <w:spacing w:after="70" w:line="264"/>
      </w:pPr>
      <w:r>
        <w:rPr>
          <w:b/>
          <w:bCs/>
        </w:rPr>
        <w:t xml:space="preserve">Sub-category profit bar chart:</w:t>
      </w:r>
      <w:r>
        <w:t xml:space="preserve"> Copiers lead at about 55.6K, while Tables, Bookcases and Supplies are shown in red as loss-makers.</w:t>
      </w:r>
    </w:p>
    <w:p>
      <w:pPr>
        <w:pStyle w:val="ListParagraph"/>
        <w:numPr>
          <w:ilvl w:val="0"/>
          <w:numId w:val="2"/>
        </w:numPr>
        <w:spacing w:after="70" w:line="264"/>
      </w:pPr>
      <w:r>
        <w:rPr>
          <w:b/>
          <w:bCs/>
        </w:rPr>
        <w:t xml:space="preserve">Matrix:</w:t>
      </w:r>
      <w:r>
        <w:t xml:space="preserve"> Category and sub-category with Total Sales, Total Profit and Profit Margin %; the total row reconciles to 2,297,200.86, 286,397.02 and 12.47%.</w:t>
      </w:r>
    </w:p>
    <w:p>
      <w:pPr>
        <w:pStyle w:val="ListParagraph"/>
        <w:numPr>
          <w:ilvl w:val="0"/>
          <w:numId w:val="2"/>
        </w:numPr>
        <w:spacing w:after="70" w:line="264"/>
      </w:pPr>
      <w:r>
        <w:rPr>
          <w:b/>
          <w:bCs/>
        </w:rPr>
        <w:t xml:space="preserve">Top 10 and Bottom 10 products by profit:</w:t>
      </w:r>
      <w:r>
        <w:t xml:space="preserve"> the Canon imageCLASS 2200 Advanced Copier is the top earner; the Cubify CubeX 3D Printer is the biggest loss-maker.</w:t>
      </w:r>
    </w:p>
    <w:p>
      <w:pPr>
        <w:pStyle w:val="ListParagraph"/>
        <w:numPr>
          <w:ilvl w:val="0"/>
          <w:numId w:val="2"/>
        </w:numPr>
        <w:spacing w:after="70" w:line="264"/>
      </w:pPr>
      <w:r>
        <w:rPr>
          <w:b/>
          <w:bCs/>
        </w:rPr>
        <w:t xml:space="preserve">Slicers:</w:t>
      </w:r>
      <w:r>
        <w:t xml:space="preserve"> Category and Year.</w:t>
      </w:r>
    </w:p>
    <w:p>
      <w:pPr>
        <w:pStyle w:val="Heading2"/>
        <w:spacing w:after="100" w:before="200"/>
      </w:pPr>
      <w:r>
        <w:t xml:space="preserve">Page 3: Discount Impact</w:t>
      </w:r>
    </w:p>
    <w:p>
      <w:pPr>
        <w:spacing w:after="120" w:line="276"/>
      </w:pPr>
      <w:r>
        <w:t xml:space="preserve">Purpose: show why money is lost.</w:t>
      </w:r>
    </w:p>
    <w:p>
      <w:pPr>
        <w:pStyle w:val="ListParagraph"/>
        <w:numPr>
          <w:ilvl w:val="0"/>
          <w:numId w:val="2"/>
        </w:numPr>
        <w:spacing w:after="70" w:line="264"/>
      </w:pPr>
      <w:r>
        <w:rPr>
          <w:b/>
          <w:bCs/>
        </w:rPr>
        <w:t xml:space="preserve">Cards (4):</w:t>
      </w:r>
      <w:r>
        <w:t xml:space="preserve"> Loss % of Lines 18.7%, Loss Amount about -156K, Avg Discount % 15.6%, and Profit on Discounts Over 20% about -135K.</w:t>
      </w:r>
    </w:p>
    <w:p>
      <w:pPr>
        <w:pStyle w:val="ListParagraph"/>
        <w:numPr>
          <w:ilvl w:val="0"/>
          <w:numId w:val="2"/>
        </w:numPr>
        <w:spacing w:after="70" w:line="264"/>
      </w:pPr>
      <w:r>
        <w:rPr>
          <w:b/>
          <w:bCs/>
        </w:rPr>
        <w:t xml:space="preserve">Column chart (headline visual):</w:t>
      </w:r>
      <w:r>
        <w:t xml:space="preserve"> Profit Margin % by Discount Band: 29.5% with no discount, 11.9% at 1-20%, then -15.3%, -40.7% and -122.6%. Loss bands are coloured red.</w:t>
      </w:r>
    </w:p>
    <w:p>
      <w:pPr>
        <w:pStyle w:val="ListParagraph"/>
        <w:numPr>
          <w:ilvl w:val="0"/>
          <w:numId w:val="2"/>
        </w:numPr>
        <w:spacing w:after="70" w:line="264"/>
      </w:pPr>
      <w:r>
        <w:rPr>
          <w:b/>
          <w:bCs/>
        </w:rPr>
        <w:t xml:space="preserve">Bar chart:</w:t>
      </w:r>
      <w:r>
        <w:t xml:space="preserve"> average discount by sub-category; Binders, Machines and Tables receive the deepest discounts.</w:t>
      </w:r>
    </w:p>
    <w:p>
      <w:pPr>
        <w:pStyle w:val="ListParagraph"/>
        <w:numPr>
          <w:ilvl w:val="0"/>
          <w:numId w:val="2"/>
        </w:numPr>
        <w:spacing w:after="70" w:line="264"/>
      </w:pPr>
      <w:r>
        <w:rPr>
          <w:b/>
          <w:bCs/>
        </w:rPr>
        <w:t xml:space="preserve">Table:</w:t>
      </w:r>
      <w:r>
        <w:t xml:space="preserve"> Total Profit and Profit on Discounts Over 20% by sub-category; Binders (-38.5K), Tables (-30.7K) and Machines (-29.6K) lose the most on deep discounts.</w:t>
      </w:r>
    </w:p>
    <w:p>
      <w:pPr>
        <w:pStyle w:val="ListParagraph"/>
        <w:numPr>
          <w:ilvl w:val="0"/>
          <w:numId w:val="2"/>
        </w:numPr>
        <w:spacing w:after="70" w:line="264"/>
      </w:pPr>
      <w:r>
        <w:rPr>
          <w:b/>
          <w:bCs/>
        </w:rPr>
        <w:t xml:space="preserve">Slicers:</w:t>
      </w:r>
      <w:r>
        <w:t xml:space="preserve"> Year and Category.</w:t>
      </w:r>
    </w:p>
    <w:p>
      <w:pPr>
        <w:pStyle w:val="Heading1"/>
        <w:spacing w:after="140" w:before="320"/>
      </w:pPr>
      <w:r>
        <w:t xml:space="preserve">6. Key Findings and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2926"/>
      </w:tblGrid>
      <w:tr>
        <w:trPr>
          <w:tblHeader/>
        </w:trPr>
        <w:tc>
          <w:tcPr>
            <w:tcW w:type="dxa" w:w="2400"/>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Finding</w:t>
            </w:r>
          </w:p>
        </w:tc>
        <w:tc>
          <w:tcPr>
            <w:tcW w:type="dxa" w:w="3700"/>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Evidence</w:t>
            </w:r>
          </w:p>
        </w:tc>
        <w:tc>
          <w:tcPr>
            <w:tcW w:type="dxa" w:w="2926"/>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Recommendation</w:t>
            </w:r>
          </w:p>
        </w:tc>
      </w:tr>
      <w:tr>
        <w:trPr>
          <w:cantSplit/>
        </w:trPr>
        <w:tc>
          <w:tcPr>
            <w:tcW w:type="dxa" w:w="24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Discounts above 20% destroy profit</w:t>
            </w:r>
          </w:p>
        </w:tc>
        <w:tc>
          <w:tcPr>
            <w:tcW w:type="dxa" w:w="3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Margin falls from 29.5% (no discount) to -15.3% (21-40%) and -122.6% (over 60%); lines discounted over 20% lose about 135K</w:t>
            </w:r>
          </w:p>
        </w:tc>
        <w:tc>
          <w:tcPr>
            <w:tcW w:type="dxa" w:w="29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Cap discounts at 20% or require approval above it</w:t>
            </w:r>
          </w:p>
        </w:tc>
      </w:tr>
      <w:tr>
        <w:trPr>
          <w:cantSplit/>
        </w:trPr>
        <w:tc>
          <w:tcPr>
            <w:tcW w:type="dxa" w:w="24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Three sub-categories lose money overall</w:t>
            </w:r>
          </w:p>
        </w:tc>
        <w:tc>
          <w:tcPr>
            <w:tcW w:type="dxa" w:w="37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Tables -17.7K, Bookcases -3.5K, Supplies -1.2K</w:t>
            </w:r>
          </w:p>
        </w:tc>
        <w:tc>
          <w:tcPr>
            <w:tcW w:type="dxa" w:w="29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Review pricing and discount policy for these lines</w:t>
            </w:r>
          </w:p>
        </w:tc>
      </w:tr>
      <w:tr>
        <w:trPr>
          <w:cantSplit/>
        </w:trPr>
        <w:tc>
          <w:tcPr>
            <w:tcW w:type="dxa" w:w="24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Losses are concentrated geographically</w:t>
            </w:r>
          </w:p>
        </w:tc>
        <w:tc>
          <w:tcPr>
            <w:tcW w:type="dxa" w:w="3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Texas, Ohio, Pennsylvania and Illinois account for about 70.9K of losses; Central has the weakest margin (7.92%)</w:t>
            </w:r>
          </w:p>
        </w:tc>
        <w:tc>
          <w:tcPr>
            <w:tcW w:type="dxa" w:w="29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Investigate regional discounting and cost structure</w:t>
            </w:r>
          </w:p>
        </w:tc>
      </w:tr>
      <w:tr>
        <w:trPr>
          <w:cantSplit/>
        </w:trPr>
        <w:tc>
          <w:tcPr>
            <w:tcW w:type="dxa" w:w="24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Loss-making lines are a large share of orders</w:t>
            </w:r>
          </w:p>
        </w:tc>
        <w:tc>
          <w:tcPr>
            <w:tcW w:type="dxa" w:w="37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1,871 lines (18.7%) lose about 156K in total</w:t>
            </w:r>
          </w:p>
        </w:tc>
        <w:tc>
          <w:tcPr>
            <w:tcW w:type="dxa" w:w="29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Flag and review any order line that would sell below cost</w:t>
            </w:r>
          </w:p>
        </w:tc>
      </w:tr>
      <w:tr>
        <w:trPr>
          <w:cantSplit/>
        </w:trPr>
        <w:tc>
          <w:tcPr>
            <w:tcW w:type="dxa" w:w="24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Revenue is broadly spread across customers</w:t>
            </w:r>
          </w:p>
        </w:tc>
        <w:tc>
          <w:tcPr>
            <w:tcW w:type="dxa" w:w="3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396 of 793 customers (about half) are needed to reach 80% of sales</w:t>
            </w:r>
          </w:p>
        </w:tc>
        <w:tc>
          <w:tcPr>
            <w:tcW w:type="dxa" w:w="29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Retention across the whole base matters more than a few key accounts</w:t>
            </w:r>
          </w:p>
        </w:tc>
      </w:tr>
    </w:tbl>
    <w:p>
      <w:pPr>
        <w:spacing w:after="100"/>
      </w:pPr>
    </w:p>
    <w:p>
      <w:pPr>
        <w:pStyle w:val="Heading1"/>
        <w:spacing w:after="140" w:before="320"/>
      </w:pPr>
      <w:r>
        <w:t xml:space="preserve">7. Issues Encountered and How They Were Fixed</w:t>
      </w:r>
    </w:p>
    <w:p>
      <w:pPr>
        <w:spacing w:after="120" w:line="276"/>
      </w:pPr>
      <w:r>
        <w:t xml:space="preserve">Recording these shows practical troubleshooting experience and may be useful for the README.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rPr>
          <w:tblHeader/>
        </w:trPr>
        <w:tc>
          <w:tcPr>
            <w:tcW w:type="dxa" w:w="2500"/>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Issue</w:t>
            </w:r>
          </w:p>
        </w:tc>
        <w:tc>
          <w:tcPr>
            <w:tcW w:type="dxa" w:w="3200"/>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Cause</w:t>
            </w:r>
          </w:p>
        </w:tc>
        <w:tc>
          <w:tcPr>
            <w:tcW w:type="dxa" w:w="3326"/>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Fix</w:t>
            </w:r>
          </w:p>
        </w:tc>
      </w:tr>
      <w:tr>
        <w:trPr>
          <w:cantSplit/>
        </w:trPr>
        <w:tc>
          <w:tcPr>
            <w:tcW w:type="dxa" w:w="25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SSMS error 40, server not found</w:t>
            </w:r>
          </w:p>
        </w:tc>
        <w:tc>
          <w:tcPr>
            <w:tcW w:type="dxa" w:w="32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Instances were named (SQLEXPRESS), not the default instance</w:t>
            </w:r>
          </w:p>
        </w:tc>
        <w:tc>
          <w:tcPr>
            <w:tcW w:type="dxa" w:w="33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Connect with localhost\SQLEXPRESS and trust the server certificate</w:t>
            </w:r>
          </w:p>
        </w:tc>
      </w:tr>
      <w:tr>
        <w:trPr>
          <w:cantSplit/>
        </w:trPr>
        <w:tc>
          <w:tcPr>
            <w:tcW w:type="dxa" w:w="25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BULK INSERT access denied (error 5)</w:t>
            </w:r>
          </w:p>
        </w:tc>
        <w:tc>
          <w:tcPr>
            <w:tcW w:type="dxa" w:w="32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Path pointed at the folder inside OneDrive, not at the file</w:t>
            </w:r>
          </w:p>
        </w:tc>
        <w:tc>
          <w:tcPr>
            <w:tcW w:type="dxa" w:w="33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Copied the CSV to C:\Data and used the full file path</w:t>
            </w:r>
          </w:p>
        </w:tc>
      </w:tr>
      <w:tr>
        <w:trPr>
          <w:cantSplit/>
        </w:trPr>
        <w:tc>
          <w:tcPr>
            <w:tcW w:type="dxa" w:w="25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BULK INSERT said file not found</w:t>
            </w:r>
          </w:p>
        </w:tc>
        <w:tc>
          <w:tcPr>
            <w:tcW w:type="dxa" w:w="32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SQL Server could not see the file</w:t>
            </w:r>
          </w:p>
        </w:tc>
        <w:tc>
          <w:tcPr>
            <w:tcW w:type="dxa" w:w="33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Confirmed with xp_fileexist, then made a fresh copy</w:t>
            </w:r>
          </w:p>
        </w:tc>
      </w:tr>
      <w:tr>
        <w:trPr>
          <w:cantSplit/>
        </w:trPr>
        <w:tc>
          <w:tcPr>
            <w:tcW w:type="dxa" w:w="25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TotalProfit returned NULL</w:t>
            </w:r>
          </w:p>
        </w:tc>
        <w:tc>
          <w:tcPr>
            <w:tcW w:type="dxa" w:w="32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Hidden carriage return on the last column</w:t>
            </w:r>
          </w:p>
        </w:tc>
        <w:tc>
          <w:tcPr>
            <w:tcW w:type="dxa" w:w="33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REPLACE(Profit, CHAR(13), '') on staging</w:t>
            </w:r>
          </w:p>
        </w:tc>
      </w:tr>
      <w:tr>
        <w:trPr>
          <w:cantSplit/>
        </w:trPr>
        <w:tc>
          <w:tcPr>
            <w:tcW w:type="dxa" w:w="25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Extra tables ticked in Power BI Navigator</w:t>
            </w:r>
          </w:p>
        </w:tc>
        <w:tc>
          <w:tcPr>
            <w:tcW w:type="dxa" w:w="32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Unrelated database and staging table were selected</w:t>
            </w:r>
          </w:p>
        </w:tc>
        <w:tc>
          <w:tcPr>
            <w:tcW w:type="dxa" w:w="33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Loaded only the six star-schema tables</w:t>
            </w:r>
          </w:p>
        </w:tc>
      </w:tr>
      <w:tr>
        <w:trPr>
          <w:cantSplit/>
        </w:trPr>
        <w:tc>
          <w:tcPr>
            <w:tcW w:type="dxa" w:w="25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Could not convert DateKey to Date</w:t>
            </w:r>
          </w:p>
        </w:tc>
        <w:tc>
          <w:tcPr>
            <w:tcW w:type="dxa" w:w="32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Key is a yyyymmdd whole number</w:t>
            </w:r>
          </w:p>
        </w:tc>
        <w:tc>
          <w:tcPr>
            <w:tcW w:type="dxa" w:w="33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Left as whole number; used FullDate for date logic</w:t>
            </w:r>
          </w:p>
        </w:tc>
      </w:tr>
      <w:tr>
        <w:trPr>
          <w:cantSplit/>
        </w:trPr>
        <w:tc>
          <w:tcPr>
            <w:tcW w:type="dxa" w:w="25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Circular dependency error on a measure</w:t>
            </w:r>
          </w:p>
        </w:tc>
        <w:tc>
          <w:tcPr>
            <w:tcW w:type="dxa" w:w="32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A new formula was typed over the existing Total Orders measure</w:t>
            </w:r>
          </w:p>
        </w:tc>
        <w:tc>
          <w:tcPr>
            <w:tcW w:type="dxa" w:w="33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Cancelled the edit, restored the formula, created a new measure</w:t>
            </w:r>
          </w:p>
        </w:tc>
      </w:tr>
    </w:tbl>
    <w:p>
      <w:pPr>
        <w:spacing w:after="100"/>
      </w:pPr>
    </w:p>
    <w:p>
      <w:pPr>
        <w:pStyle w:val="Heading1"/>
        <w:spacing w:after="140" w:before="320"/>
      </w:pPr>
      <w:r>
        <w:t xml:space="preserve">8. Limitations and Next Steps</w:t>
      </w:r>
    </w:p>
    <w:p>
      <w:pPr>
        <w:spacing w:after="120" w:line="276"/>
      </w:pPr>
      <w:r>
        <w:rPr>
          <w:b/>
          <w:bCs/>
        </w:rPr>
        <w:t xml:space="preserve">Limitations:</w:t>
      </w:r>
      <w:r>
        <w:t xml:space="preserve"> the dataset is a well-known sample, so the results describe associations and do not prove causes. The discount effect is mixed with product mix, because some categories are discounted more often. Cost is derived as Sales minus Profit, so it includes everything that reduces profit, not only cost of goods. Data covers orders from 2014 to 2017.</w:t>
      </w:r>
    </w:p>
    <w:p>
      <w:pPr>
        <w:pStyle w:val="ListParagraph"/>
        <w:numPr>
          <w:ilvl w:val="0"/>
          <w:numId w:val="2"/>
        </w:numPr>
        <w:spacing w:after="70" w:line="264"/>
      </w:pPr>
      <w:r>
        <w:rPr>
          <w:b/>
          <w:bCs/>
        </w:rPr>
        <w:t xml:space="preserve">Statistical test:</w:t>
      </w:r>
      <w:r>
        <w:t xml:space="preserve"> check whether discount level predicts losses after controlling for category (Python or a regression).</w:t>
      </w:r>
    </w:p>
    <w:p>
      <w:pPr>
        <w:pStyle w:val="ListParagraph"/>
        <w:numPr>
          <w:ilvl w:val="0"/>
          <w:numId w:val="2"/>
        </w:numPr>
        <w:spacing w:after="70" w:line="264"/>
      </w:pPr>
      <w:r>
        <w:rPr>
          <w:b/>
          <w:bCs/>
        </w:rPr>
        <w:t xml:space="preserve">Excel layer:</w:t>
      </w:r>
      <w:r>
        <w:t xml:space="preserve"> run script 03 and build pivot tables and charts from vw_sales_flat.</w:t>
      </w:r>
    </w:p>
    <w:p>
      <w:pPr>
        <w:pStyle w:val="ListParagraph"/>
        <w:numPr>
          <w:ilvl w:val="0"/>
          <w:numId w:val="2"/>
        </w:numPr>
        <w:spacing w:after="70" w:line="264"/>
      </w:pPr>
      <w:r>
        <w:rPr>
          <w:b/>
          <w:bCs/>
        </w:rPr>
        <w:t xml:space="preserve">Retention view:</w:t>
      </w:r>
      <w:r>
        <w:t xml:space="preserve"> add a dashboard page built on the RFM customer segments from query Q10.</w:t>
      </w:r>
    </w:p>
    <w:p>
      <w:pPr>
        <w:pStyle w:val="ListParagraph"/>
        <w:numPr>
          <w:ilvl w:val="0"/>
          <w:numId w:val="2"/>
        </w:numPr>
        <w:spacing w:after="70" w:line="264"/>
      </w:pPr>
      <w:r>
        <w:rPr>
          <w:b/>
          <w:bCs/>
        </w:rPr>
        <w:t xml:space="preserve">Next project:</w:t>
      </w:r>
      <w:r>
        <w:t xml:space="preserve"> an e-commerce delivery analysis with multi-table SQL, Python and statistics to show a different set of skills.</w:t>
      </w:r>
    </w:p>
    <w:p>
      <w:pPr>
        <w:pStyle w:val="Heading1"/>
        <w:spacing w:after="140" w:before="320"/>
      </w:pPr>
      <w:r>
        <w:t xml:space="preserve">9. CV Description</w:t>
      </w:r>
    </w:p>
    <w:p>
      <w:pPr>
        <w:spacing w:after="80"/>
      </w:pPr>
      <w:r>
        <w:rPr>
          <w:b/>
          <w:bCs/>
        </w:rPr>
        <w:t xml:space="preserve">Sales &amp; Profitability Analytics Dashboard | SQL Server, Power BI</w:t>
      </w:r>
    </w:p>
    <w:p>
      <w:pPr>
        <w:pStyle w:val="ListParagraph"/>
        <w:numPr>
          <w:ilvl w:val="0"/>
          <w:numId w:val="2"/>
        </w:numPr>
        <w:spacing w:after="70" w:line="264"/>
      </w:pPr>
      <w:r>
        <w:t xml:space="preserve">Cleaned and modelled 9,994 retail order lines into a star schema in SQL Server, resolving encoding, date-format and key-quality issues and reconciling totals to the source.</w:t>
      </w:r>
    </w:p>
    <w:p>
      <w:pPr>
        <w:pStyle w:val="ListParagraph"/>
        <w:numPr>
          <w:ilvl w:val="0"/>
          <w:numId w:val="2"/>
        </w:numPr>
        <w:spacing w:after="70" w:line="264"/>
      </w:pPr>
      <w:r>
        <w:t xml:space="preserve">Wrote window-function, CTE and RFM queries (LAG, RANK, NTILE) covering year-over-year growth, product ranking, customer segmentation and discount impact.</w:t>
      </w:r>
    </w:p>
    <w:p>
      <w:pPr>
        <w:pStyle w:val="ListParagraph"/>
        <w:numPr>
          <w:ilvl w:val="0"/>
          <w:numId w:val="2"/>
        </w:numPr>
        <w:spacing w:after="70" w:line="264"/>
      </w:pPr>
      <w:r>
        <w:t xml:space="preserve">Built a Power BI dashboard with a DAX measure library showing that discounts above 20% turn margins negative, and that Tables, Bookcases and Supplies are loss-making.</w:t>
      </w:r>
    </w:p>
    <w:p>
      <w:pPr>
        <w:pStyle w:val="Heading1"/>
        <w:spacing w:after="140" w:before="320"/>
      </w:pPr>
      <w:r>
        <w:t xml:space="preserve">Appendix: Project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File</w:t>
            </w:r>
          </w:p>
        </w:tc>
        <w:tc>
          <w:tcPr>
            <w:tcW w:type="dxa" w:w="5226"/>
            <w:tcBorders>
              <w:top w:val="single" w:color="C9D3DD" w:sz="4"/>
              <w:left w:val="single" w:color="C9D3DD" w:sz="4"/>
              <w:bottom w:val="single" w:color="C9D3DD" w:sz="4"/>
              <w:right w:val="single" w:color="C9D3DD" w:sz="4"/>
            </w:tcBorders>
            <w:shd w:fill="1F4E79" w:color="auto" w:val="clear"/>
            <w:tcMar>
              <w:top w:type="dxa" w:w="70"/>
              <w:left w:type="dxa" w:w="110"/>
              <w:bottom w:type="dxa" w:w="70"/>
              <w:right w:type="dxa" w:w="110"/>
            </w:tcMar>
          </w:tcPr>
          <w:p>
            <w:pPr>
              <w:spacing w:after="0"/>
            </w:pPr>
            <w:r>
              <w:rPr>
                <w:b/>
                <w:bCs/>
                <w:color w:val="FFFFFF"/>
                <w:sz w:val="18"/>
                <w:szCs w:val="18"/>
              </w:rPr>
              <w:t xml:space="preserve">Purpose</w:t>
            </w:r>
          </w:p>
        </w:tc>
      </w:tr>
      <w:tr>
        <w:trPr>
          <w:cantSplit/>
        </w:trPr>
        <w:tc>
          <w:tcPr>
            <w:tcW w:type="dxa" w:w="38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01_setup_import_star_schema.sql</w:t>
            </w:r>
          </w:p>
        </w:tc>
        <w:tc>
          <w:tcPr>
            <w:tcW w:type="dxa" w:w="52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Database, staging import, data checks, star schema, reconciliation</w:t>
            </w:r>
          </w:p>
        </w:tc>
      </w:tr>
      <w:tr>
        <w:trPr>
          <w:cantSplit/>
        </w:trPr>
        <w:tc>
          <w:tcPr>
            <w:tcW w:type="dxa" w:w="38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02_analysis_queries.sql</w:t>
            </w:r>
          </w:p>
        </w:tc>
        <w:tc>
          <w:tcPr>
            <w:tcW w:type="dxa" w:w="52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13 analysis queries (CTEs and window functions)</w:t>
            </w:r>
          </w:p>
        </w:tc>
      </w:tr>
      <w:tr>
        <w:trPr>
          <w:cantSplit/>
        </w:trPr>
        <w:tc>
          <w:tcPr>
            <w:tcW w:type="dxa" w:w="38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03_create_views.sql</w:t>
            </w:r>
          </w:p>
        </w:tc>
        <w:tc>
          <w:tcPr>
            <w:tcW w:type="dxa" w:w="52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Flat view for Excel</w:t>
            </w:r>
          </w:p>
        </w:tc>
      </w:tr>
      <w:tr>
        <w:trPr>
          <w:cantSplit/>
        </w:trPr>
        <w:tc>
          <w:tcPr>
            <w:tcW w:type="dxa" w:w="38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04_dax_measures.dax</w:t>
            </w:r>
          </w:p>
        </w:tc>
        <w:tc>
          <w:tcPr>
            <w:tcW w:type="dxa" w:w="52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DAX measures for Power BI</w:t>
            </w:r>
          </w:p>
        </w:tc>
      </w:tr>
      <w:tr>
        <w:trPr>
          <w:cantSplit/>
        </w:trPr>
        <w:tc>
          <w:tcPr>
            <w:tcW w:type="dxa" w:w="38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superstore_theme.json</w:t>
            </w:r>
          </w:p>
        </w:tc>
        <w:tc>
          <w:tcPr>
            <w:tcW w:type="dxa" w:w="52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Power BI colour theme</w:t>
            </w:r>
          </w:p>
        </w:tc>
      </w:tr>
      <w:tr>
        <w:trPr>
          <w:cantSplit/>
        </w:trPr>
        <w:tc>
          <w:tcPr>
            <w:tcW w:type="dxa" w:w="380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README.md</w:t>
            </w:r>
          </w:p>
        </w:tc>
        <w:tc>
          <w:tcPr>
            <w:tcW w:type="dxa" w:w="522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0"/>
            </w:pPr>
            <w:r>
              <w:rPr>
                <w:sz w:val="18"/>
                <w:szCs w:val="18"/>
              </w:rPr>
              <w:t xml:space="preserve">Repository overview, findings and reproduction steps</w:t>
            </w:r>
          </w:p>
        </w:tc>
      </w:tr>
      <w:tr>
        <w:trPr>
          <w:cantSplit/>
        </w:trPr>
        <w:tc>
          <w:tcPr>
            <w:tcW w:type="dxa" w:w="38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Superstore_Sales_Profitability.pbix</w:t>
            </w:r>
          </w:p>
        </w:tc>
        <w:tc>
          <w:tcPr>
            <w:tcW w:type="dxa" w:w="52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pPr>
            <w:r>
              <w:rPr>
                <w:sz w:val="18"/>
                <w:szCs w:val="18"/>
              </w:rPr>
              <w:t xml:space="preserve">Power BI report (3 pages)</w:t>
            </w:r>
          </w:p>
        </w:tc>
      </w:tr>
    </w:tbl>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6"/>
        <w:szCs w:val="16"/>
      </w:rPr>
      <w:t xml:space="preserve">Page </w:t>
    </w:r>
    <w:r>
      <w:rPr>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B7B"/>
        <w:sz w:val="16"/>
        <w:szCs w:val="16"/>
      </w:rPr>
      <w:t xml:space="preserve">Sales &amp; Profitability Analytics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4E79"/>
      <w:sz w:val="30"/>
      <w:szCs w:val="30"/>
    </w:rPr>
  </w:style>
  <w:style w:type="paragraph" w:styleId="Heading2">
    <w:name w:val="Heading 2"/>
    <w:basedOn w:val="Normal"/>
    <w:next w:val="Normal"/>
    <w:qFormat/>
    <w:pPr>
      <w:outlineLvl w:val="1"/>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&amp; Profitability Analytics Dashboard - Project Summary</dc:title>
  <dc:creator>Project summary</dc:creator>
  <cp:lastModifiedBy>Un-named</cp:lastModifiedBy>
  <cp:revision>1</cp:revision>
  <dcterms:created xsi:type="dcterms:W3CDTF">2026-10-11T13:30:54.342Z</dcterms:created>
  <dcterms:modified xsi:type="dcterms:W3CDTF">2026-10-11T13:30:54.350Z</dcterms:modified>
</cp:coreProperties>
</file>

<file path=docProps/custom.xml><?xml version="1.0" encoding="utf-8"?>
<Properties xmlns="http://schemas.openxmlformats.org/officeDocument/2006/custom-properties" xmlns:vt="http://schemas.openxmlformats.org/officeDocument/2006/docPropsVTypes"/>
</file>