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Since my childhood, I always want people to know my name. I want to be known in front of the crowd. That's what happened when I completed my SEE final examination and got A+ with 3.70 GPA in SEE. I was invited to my school because my school has also become top among all the other community schools in SEE results. That’s why I was invited to celebrate with all other students who have achieved remarkable marks and grades.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That day my school respected me with honour. They have also distributed money prizes of Rs. 3000 each to those who have got A+ or 3.6 GPA above including me who have got 3.70 GPA being 3rd position among four hundred students. On the same day, my school took the mass crowd of students along with our batch’s students including me to the city visit where we got exposed in front of a mass crowd of people and media, sharing our happiness and joy.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That day, my childhood’s dream came into reality where my name was in people’s mouth and all of them knew me. That was the greatest achievement for me till now. I considered it as an achievement because I have achieved what I want to achieve since my childhood. There are still a lot of exciting journeys remaining. There are still a lot of things to be explored by me. This is only possible with the help of the Opportunity Funds Programme. With the support and funding of the United Nation Opportunity Fund a bright student like me will be able to achieve more success and new achievements in the coming future.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