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sz w:val="23"/>
        </w:rPr>
      </w:pPr>
      <w:r>
        <w:rPr>
          <w:sz w:val="23"/>
        </w:rPr>
        <w:tab/>
      </w:r>
    </w:p>
    <w:p>
      <w:pPr>
        <w:pStyle w:val="Normal"/>
        <w:rPr>
          <w:rFonts w:ascii="Calibri" w:hAnsi="Calibri" w:cs="Calibri"/>
        </w:rPr>
      </w:pPr>
      <w:r>
        <w:rPr/>
        <w:t xml:space="preserve">This Agreement is made between </w:t>
      </w:r>
      <w:r>
        <w:rPr>
          <w:b/>
          <w:bCs/>
        </w:rPr>
        <w:t>Max</w:t>
      </w:r>
      <w:r>
        <w:rPr/>
        <w:t xml:space="preserve"> having its principal office at </w:t>
      </w:r>
      <w:r>
        <w:rPr>
          <w:b/>
          <w:bCs/>
        </w:rPr>
        <w:t>san-frensico 5564 Lane Califonia, Sans Frensico, 445598</w:t>
      </w:r>
      <w:r>
        <w:rPr/>
        <w:t xml:space="preserve"> referred to as the “Agent,” "you" or “yours,” and </w:t>
      </w:r>
      <w:r>
        <w:rPr>
          <w:b/>
        </w:rPr>
        <w:t xml:space="preserve">Bascule Insurance Services, LLC </w:t>
      </w:r>
      <w:r>
        <w:rPr/>
        <w:t xml:space="preserve">having its principal office at </w:t>
      </w:r>
      <w:r>
        <w:rPr>
          <w:b/>
        </w:rPr>
        <w:t>826 Walnut St, Roselle Park, NJ 07204</w:t>
      </w:r>
      <w:r>
        <w:rPr/>
        <w:t>, referred to as the "Company,” “we," “us,” or “our(s)”.</w:t>
      </w:r>
    </w:p>
    <w:p>
      <w:pPr>
        <w:pStyle w:val="TextBody"/>
        <w:jc w:val="both"/>
        <w:rPr>
          <w:sz w:val="20"/>
        </w:rPr>
      </w:pPr>
      <w:r>
        <w:rPr>
          <w:sz w:val="20"/>
        </w:rPr>
        <w:t xml:space="preserve">We agree with you as follows: </w:t>
      </w:r>
    </w:p>
    <w:p>
      <w:pPr>
        <w:pStyle w:val="Heading1"/>
        <w:rPr>
          <w:sz w:val="23"/>
        </w:rPr>
      </w:pPr>
      <w:r>
        <w:rPr>
          <w:sz w:val="23"/>
        </w:rPr>
        <w:t>YOUR AUTHORITY</w:t>
        <w:tab/>
      </w:r>
    </w:p>
    <w:p>
      <w:pPr>
        <w:pStyle w:val="Heading21"/>
        <w:jc w:val="both"/>
        <w:rPr>
          <w:sz w:val="23"/>
        </w:rPr>
      </w:pPr>
      <w:r>
        <w:rPr>
          <w:sz w:val="23"/>
        </w:rPr>
        <w:t xml:space="preserve">Applications </w:t>
      </w:r>
    </w:p>
    <w:p>
      <w:pPr>
        <w:pStyle w:val="TextBody"/>
        <w:jc w:val="both"/>
        <w:rPr>
          <w:sz w:val="20"/>
        </w:rPr>
      </w:pPr>
      <w:r>
        <w:rPr>
          <w:sz w:val="20"/>
        </w:rPr>
        <w:t>You may submit risks to the Company for its consideration as authorized in Exhibit A attached to this Agreement. These risks shall be located in states in which the Agent is duly licensed to operate. You may submit these risks, for our consideration, in writing or through our online underwriting platform; Canter. The Agent specifically has no right to bind the Company with respect to any coverage in the absence of specific authorization to bind from the Company.</w:t>
      </w:r>
    </w:p>
    <w:p>
      <w:pPr>
        <w:pStyle w:val="Heading21"/>
        <w:jc w:val="both"/>
        <w:rPr>
          <w:sz w:val="23"/>
        </w:rPr>
      </w:pPr>
      <w:r>
        <w:rPr>
          <w:sz w:val="23"/>
        </w:rPr>
        <w:t xml:space="preserve">Cancellations and Non-renewals </w:t>
      </w:r>
    </w:p>
    <w:p>
      <w:pPr>
        <w:pStyle w:val="TextBody"/>
        <w:jc w:val="both"/>
        <w:rPr>
          <w:sz w:val="20"/>
        </w:rPr>
      </w:pPr>
      <w:r>
        <w:rPr>
          <w:sz w:val="20"/>
        </w:rPr>
        <w:t>We may cancel or non-renew any policy you place with us at any time, as permitted by law, at our discretion. We will notify you concurrently when we cancel a direct-billed policy or agent-billed policy</w:t>
      </w:r>
      <w:r>
        <w:rPr>
          <w:b/>
          <w:bCs/>
          <w:sz w:val="20"/>
        </w:rPr>
        <w:t xml:space="preserve"> </w:t>
      </w:r>
      <w:r>
        <w:rPr>
          <w:sz w:val="20"/>
        </w:rPr>
        <w:t>for nonpayment of premium. We will notify you in advance when we cancel or non-renew a policy for reasons other than nonpayment. You may not cancel or non-renew policies we issue through you, without prior written approval from the Company.</w:t>
      </w:r>
    </w:p>
    <w:p>
      <w:pPr>
        <w:pStyle w:val="Heading1"/>
        <w:rPr>
          <w:sz w:val="23"/>
        </w:rPr>
      </w:pPr>
      <w:r>
        <w:rPr>
          <w:sz w:val="23"/>
        </w:rPr>
        <w:t>YOUR RESPONSIBILITIES</w:t>
        <w:tab/>
      </w:r>
    </w:p>
    <w:p>
      <w:pPr>
        <w:pStyle w:val="TextBody"/>
        <w:jc w:val="both"/>
        <w:rPr>
          <w:sz w:val="20"/>
        </w:rPr>
      </w:pPr>
      <w:r>
        <w:rPr>
          <w:sz w:val="20"/>
        </w:rPr>
        <w:t xml:space="preserve">In the conduct of our business, we will deal with each other in good faith, with loyalty, and honesty, and in accordance with the provisions of this Agreement and with any other procedures, rules, manuals, and underwriting guidelines of the Company, whether issued by means of directives, letters, procedural or underwriting manuals or otherwise. </w:t>
      </w:r>
    </w:p>
    <w:p>
      <w:pPr>
        <w:pStyle w:val="Normal"/>
        <w:tabs>
          <w:tab w:val="clear" w:pos="720"/>
          <w:tab w:val="left" w:pos="2845" w:leader="none"/>
        </w:tabs>
        <w:spacing w:lineRule="auto" w:line="247"/>
        <w:ind w:right="7" w:hanging="0"/>
        <w:jc w:val="both"/>
        <w:rPr>
          <w:rFonts w:eastAsia="Arial"/>
          <w:color w:val="08070A"/>
        </w:rPr>
      </w:pPr>
      <w:r>
        <w:rPr/>
        <w:t xml:space="preserve">You will submit to the Company promptly all Equine risks bound with us and all endorsements, cancellations, renewals and similar actions that affect or change a risk previously bound with us in accordance with the authority conferred upon you in this Agreement either in writing or through Canter.  However, you may hold </w:t>
      </w:r>
      <w:r>
        <w:rPr>
          <w:color w:val="08070A"/>
        </w:rPr>
        <w:t xml:space="preserve">covered for Mortality risks which comply with the Hold Covered Provision attached as Exhibit </w:t>
      </w:r>
      <w:r>
        <w:rPr>
          <w:color w:val="08070A"/>
          <w:spacing w:val="11"/>
        </w:rPr>
        <w:t>B</w:t>
      </w:r>
      <w:r>
        <w:rPr>
          <w:color w:val="2A282A"/>
          <w:spacing w:val="11"/>
        </w:rPr>
        <w:t xml:space="preserve">, </w:t>
      </w:r>
      <w:r>
        <w:rPr>
          <w:color w:val="08070A"/>
        </w:rPr>
        <w:t>pending approval by The Company provided that the Hold Covered Provision has been separately signed by both the Agent and the Company</w:t>
      </w:r>
      <w:r>
        <w:rPr>
          <w:color w:val="2A282A"/>
        </w:rPr>
        <w:t xml:space="preserve">. </w:t>
      </w:r>
      <w:r>
        <w:rPr>
          <w:color w:val="08070A"/>
        </w:rPr>
        <w:t>The Agent agrees that it shall submit full details of all risks which have been held covered in accordance with Exhibit B within 72 hours (or 3 working days if such period includes a holiday or a weekend) of the commencement of the Hold Covered Period (as defined  in  Exhibit B)</w:t>
      </w:r>
      <w:r>
        <w:rPr>
          <w:color w:val="08070A"/>
          <w:spacing w:val="-16"/>
        </w:rPr>
        <w:t xml:space="preserve"> </w:t>
      </w:r>
      <w:r>
        <w:rPr>
          <w:color w:val="3F3B41"/>
        </w:rPr>
        <w:t>.</w:t>
      </w:r>
    </w:p>
    <w:p>
      <w:pPr>
        <w:sectPr>
          <w:headerReference w:type="default" r:id="rId2"/>
          <w:footerReference w:type="default" r:id="rId3"/>
          <w:type w:val="oddPage"/>
          <w:pgSz w:w="12326" w:h="15840"/>
          <w:pgMar w:left="1440" w:right="1339" w:header="720" w:top="2089" w:footer="720" w:bottom="2008" w:gutter="0"/>
          <w:pgNumType w:fmt="decimal"/>
          <w:formProt w:val="false"/>
          <w:textDirection w:val="lrTb"/>
          <w:docGrid w:type="default" w:linePitch="100" w:charSpace="8192"/>
        </w:sectPr>
        <w:pStyle w:val="TextBody"/>
        <w:spacing w:lineRule="auto" w:line="280" w:before="66" w:after="240"/>
        <w:rPr>
          <w:sz w:val="20"/>
          <w:szCs w:val="20"/>
        </w:rPr>
      </w:pPr>
      <w:r>
        <w:rPr>
          <w:sz w:val="20"/>
          <w:szCs w:val="20"/>
        </w:rPr>
        <w:t xml:space="preserve">The Agent may be eligible to issue a 30-day binder for coverage on our behalf upon an insurable interest being established with the agent, this may be via a phone note or in writing. The 30-day binder overrides the agent’s responsibility under the 72-hour hold cover provision.  The use, rules and format of the 30-Day binder is subject to prior approval by the Company. </w:t>
      </w:r>
      <w:r>
        <w:rPr>
          <w:w w:val="105"/>
          <w:sz w:val="20"/>
          <w:szCs w:val="20"/>
        </w:rPr>
        <w:t>Once payment and/or further required documentation is collected by you, you will promptly request The Company to issue the policy (can be before 30 days) through Canter or otherwise.  If the insured does not complete the required documents or submit payment within the 30 day period, the binder will automatically expire and no policy will be issued.</w:t>
      </w:r>
    </w:p>
    <w:p>
      <w:pPr>
        <w:pStyle w:val="TextBody"/>
        <w:jc w:val="both"/>
        <w:rPr>
          <w:sz w:val="20"/>
        </w:rPr>
      </w:pPr>
      <w:r>
        <w:rPr>
          <w:sz w:val="20"/>
        </w:rPr>
        <w:t>You will make your financial and account records on our business available to The Company for inspection and audit</w:t>
      </w:r>
      <w:r>
        <w:rPr>
          <w:b/>
          <w:bCs/>
          <w:sz w:val="20"/>
        </w:rPr>
        <w:t xml:space="preserve"> </w:t>
      </w:r>
      <w:r>
        <w:rPr>
          <w:sz w:val="20"/>
        </w:rPr>
        <w:t>upon our reasonable request.</w:t>
      </w:r>
    </w:p>
    <w:p>
      <w:pPr>
        <w:pStyle w:val="TextBody"/>
        <w:jc w:val="both"/>
        <w:rPr>
          <w:sz w:val="20"/>
        </w:rPr>
      </w:pPr>
      <w:r>
        <w:rPr>
          <w:sz w:val="20"/>
        </w:rPr>
        <w:t>You will report promptly to The Company or your preferred adjuster as agreed upon, all known or reported claims, losses, or notices thereof, made pursuant to the terms of any binder, certificate of insurance, or insurance policy issued by or on our behalf.</w:t>
      </w:r>
    </w:p>
    <w:p>
      <w:pPr>
        <w:pStyle w:val="TextBody"/>
        <w:jc w:val="both"/>
        <w:rPr>
          <w:sz w:val="20"/>
        </w:rPr>
      </w:pPr>
      <w:r>
        <w:rPr>
          <w:color w:val="08070A"/>
          <w:sz w:val="20"/>
          <w:szCs w:val="20"/>
        </w:rPr>
        <w:t xml:space="preserve">Comply with the laws and regulations applicable to </w:t>
      </w:r>
      <w:r>
        <w:rPr>
          <w:color w:val="1F1D1F"/>
          <w:sz w:val="20"/>
          <w:szCs w:val="20"/>
        </w:rPr>
        <w:t xml:space="preserve">its </w:t>
      </w:r>
      <w:r>
        <w:rPr>
          <w:color w:val="08070A"/>
          <w:sz w:val="20"/>
          <w:szCs w:val="20"/>
        </w:rPr>
        <w:t xml:space="preserve">operation including, but not limited </w:t>
      </w:r>
      <w:r>
        <w:rPr>
          <w:color w:val="08070A"/>
          <w:spacing w:val="5"/>
          <w:sz w:val="20"/>
          <w:szCs w:val="20"/>
        </w:rPr>
        <w:t>to</w:t>
      </w:r>
      <w:r>
        <w:rPr>
          <w:color w:val="333134"/>
          <w:spacing w:val="5"/>
          <w:sz w:val="20"/>
          <w:szCs w:val="20"/>
        </w:rPr>
        <w:t xml:space="preserve">, </w:t>
      </w:r>
      <w:r>
        <w:rPr>
          <w:color w:val="08070A"/>
          <w:sz w:val="20"/>
          <w:szCs w:val="20"/>
        </w:rPr>
        <w:t>obtaining and maintaining appropriate licenses and keeping records of all transactions affecting business written on behalf of the Company, and all data protection and privacy</w:t>
      </w:r>
      <w:r>
        <w:rPr>
          <w:color w:val="08070A"/>
          <w:spacing w:val="-31"/>
          <w:sz w:val="20"/>
          <w:szCs w:val="20"/>
        </w:rPr>
        <w:t xml:space="preserve"> </w:t>
      </w:r>
      <w:r>
        <w:rPr>
          <w:color w:val="08070A"/>
          <w:spacing w:val="2"/>
          <w:sz w:val="20"/>
          <w:szCs w:val="20"/>
        </w:rPr>
        <w:t>laws</w:t>
      </w:r>
    </w:p>
    <w:p>
      <w:pPr>
        <w:pStyle w:val="Heading21"/>
        <w:jc w:val="both"/>
        <w:rPr>
          <w:sz w:val="23"/>
        </w:rPr>
      </w:pPr>
      <w:r>
        <w:rPr>
          <w:sz w:val="23"/>
        </w:rPr>
        <w:t xml:space="preserve">Premium Collection and Commissions </w:t>
      </w:r>
    </w:p>
    <w:p>
      <w:pPr>
        <w:pStyle w:val="TextBody"/>
        <w:jc w:val="both"/>
        <w:rPr>
          <w:sz w:val="20"/>
        </w:rPr>
      </w:pPr>
      <w:r>
        <w:rPr>
          <w:sz w:val="20"/>
        </w:rPr>
        <w:t xml:space="preserve">You are responsible for collecting all premiums, fees and charges for business placed with the Company on agent-billed business and for holding them in a fiduciary capacity.  At our request, you shall submit written evidence of your attempt to collect all amounts due to us.  If, for any reason, you fail to collect premiums on agent-billed business, you must notify The Company within 5 days of the insured’s due date to you and if The Company incurs expenses in the collection of these delinquent premiums, then you are subject to the forfeiture of your commission on that portion of agent-billed premiums you fail to collect, at our discretion. </w:t>
      </w:r>
    </w:p>
    <w:p>
      <w:pPr>
        <w:pStyle w:val="Heading21"/>
        <w:jc w:val="both"/>
        <w:rPr>
          <w:sz w:val="23"/>
        </w:rPr>
      </w:pPr>
      <w:r>
        <w:rPr>
          <w:sz w:val="23"/>
        </w:rPr>
        <w:t xml:space="preserve">Direct-Billed Business </w:t>
      </w:r>
    </w:p>
    <w:p>
      <w:pPr>
        <w:pStyle w:val="TextBody"/>
        <w:jc w:val="both"/>
        <w:rPr>
          <w:sz w:val="20"/>
        </w:rPr>
      </w:pPr>
      <w:r>
        <w:rPr>
          <w:sz w:val="20"/>
        </w:rPr>
        <w:t xml:space="preserve">Any direct-billed premiums will be paid to The Company without deduction for your commissions. We will send you a statement and will send you a check or bank transfer each month for the amount of net commission due to you. We calculate commissions on the basis of gross premiums we received for your account the previous month, at the rates shown in the attached Exhibit A or as otherwise negotiated on a per risk basis. </w:t>
      </w:r>
    </w:p>
    <w:p>
      <w:pPr>
        <w:pStyle w:val="Heading21"/>
        <w:jc w:val="both"/>
        <w:rPr>
          <w:sz w:val="23"/>
        </w:rPr>
      </w:pPr>
      <w:r>
        <w:rPr>
          <w:sz w:val="23"/>
        </w:rPr>
        <w:t xml:space="preserve">Agent-Billed Business </w:t>
      </w:r>
    </w:p>
    <w:p>
      <w:pPr>
        <w:pStyle w:val="TextBody"/>
        <w:jc w:val="both"/>
        <w:rPr>
          <w:sz w:val="20"/>
        </w:rPr>
      </w:pPr>
      <w:r>
        <w:rPr>
          <w:sz w:val="20"/>
        </w:rPr>
        <w:t xml:space="preserve">You shall remit to the Company all sums due to the Company, whether collected or not from the policyholder or a sub-producer, net of commissions, 35 days from the close of the business month as indicated by the Agency Account Billing Statement. </w:t>
      </w:r>
    </w:p>
    <w:p>
      <w:pPr>
        <w:pStyle w:val="TextBody"/>
        <w:jc w:val="both"/>
        <w:rPr>
          <w:sz w:val="20"/>
        </w:rPr>
      </w:pPr>
      <w:r>
        <w:rPr>
          <w:sz w:val="20"/>
        </w:rPr>
        <w:t>The Agency Account Billing Statement shall be provided to you by the 5</w:t>
      </w:r>
      <w:r>
        <w:rPr>
          <w:sz w:val="20"/>
          <w:vertAlign w:val="superscript"/>
        </w:rPr>
        <w:t>th</w:t>
      </w:r>
      <w:r>
        <w:rPr>
          <w:sz w:val="20"/>
        </w:rPr>
        <w:t xml:space="preserve"> day of each month. You shall remit payment (whether or not collected by you), less your commission, no later than fifteen (15) days after the submission of the Agency Account Billing Statement.</w:t>
      </w:r>
    </w:p>
    <w:p>
      <w:pPr>
        <w:pStyle w:val="Heading21"/>
        <w:jc w:val="both"/>
        <w:rPr>
          <w:sz w:val="23"/>
        </w:rPr>
      </w:pPr>
      <w:r>
        <w:rPr>
          <w:sz w:val="23"/>
        </w:rPr>
        <w:t>Account Bill</w:t>
      </w:r>
    </w:p>
    <w:p>
      <w:pPr>
        <w:pStyle w:val="Heading21"/>
        <w:jc w:val="both"/>
        <w:rPr>
          <w:b w:val="false"/>
          <w:b w:val="false"/>
          <w:sz w:val="20"/>
          <w:szCs w:val="20"/>
        </w:rPr>
      </w:pPr>
      <w:r>
        <w:rPr>
          <w:b w:val="false"/>
          <w:sz w:val="20"/>
          <w:szCs w:val="20"/>
        </w:rPr>
        <w:t>We reserve the right to change policy billing from agent-billed to direct-billed, on notice to you.</w:t>
      </w:r>
    </w:p>
    <w:p>
      <w:pPr>
        <w:pStyle w:val="Heading21"/>
        <w:jc w:val="both"/>
        <w:rPr>
          <w:sz w:val="23"/>
        </w:rPr>
      </w:pPr>
      <w:r>
        <w:rPr>
          <w:sz w:val="23"/>
        </w:rPr>
        <w:t xml:space="preserve">Other Responsibilities </w:t>
      </w:r>
    </w:p>
    <w:p>
      <w:pPr>
        <w:pStyle w:val="TextBody"/>
        <w:jc w:val="both"/>
        <w:rPr>
          <w:sz w:val="20"/>
        </w:rPr>
      </w:pPr>
      <w:r>
        <w:rPr>
          <w:sz w:val="20"/>
        </w:rPr>
        <w:t xml:space="preserve">You are responsible for all of your expenses, unless we have authorized otherwise. </w:t>
      </w:r>
    </w:p>
    <w:p>
      <w:pPr>
        <w:pStyle w:val="TextBody"/>
        <w:jc w:val="both"/>
        <w:rPr>
          <w:sz w:val="20"/>
        </w:rPr>
      </w:pPr>
      <w:r>
        <w:rPr>
          <w:sz w:val="20"/>
        </w:rPr>
        <w:t xml:space="preserve">You will refund premiums to the client for Agency Billed accounts, including unearned commission, whenever a policy is amended or cancelled. </w:t>
      </w:r>
    </w:p>
    <w:p>
      <w:pPr>
        <w:pStyle w:val="TextBody"/>
        <w:jc w:val="both"/>
        <w:rPr>
          <w:sz w:val="20"/>
        </w:rPr>
      </w:pPr>
      <w:r>
        <w:rPr>
          <w:sz w:val="20"/>
        </w:rPr>
        <w:t>You will obtain our prior written approval of any advertising, regardless of the medium of communication (electronic, written or otherwise) which includes reference to this Company, its parents, affiliates,</w:t>
      </w:r>
      <w:r>
        <w:rPr>
          <w:b/>
          <w:bCs/>
          <w:sz w:val="20"/>
        </w:rPr>
        <w:t xml:space="preserve"> </w:t>
      </w:r>
      <w:r>
        <w:rPr>
          <w:sz w:val="20"/>
        </w:rPr>
        <w:t>or subsidiaries</w:t>
      </w:r>
      <w:r>
        <w:rPr>
          <w:b/>
          <w:bCs/>
          <w:sz w:val="20"/>
        </w:rPr>
        <w:t xml:space="preserve"> </w:t>
      </w:r>
      <w:r>
        <w:rPr>
          <w:sz w:val="20"/>
        </w:rPr>
        <w:t xml:space="preserve">or any of their policies or services. </w:t>
      </w:r>
    </w:p>
    <w:p>
      <w:pPr>
        <w:pStyle w:val="Normal"/>
        <w:tabs>
          <w:tab w:val="clear" w:pos="720"/>
          <w:tab w:val="left" w:pos="2132" w:leader="none"/>
        </w:tabs>
        <w:spacing w:lineRule="auto" w:line="247"/>
        <w:ind w:left="-90" w:right="7" w:hanging="0"/>
        <w:rPr>
          <w:color w:val="050307"/>
        </w:rPr>
      </w:pPr>
      <w:r>
        <w:rPr>
          <w:color w:val="050307"/>
        </w:rPr>
        <w:t xml:space="preserve">The Agent shall maintain a staff of competent and trained personnel and such supplies and equipment necessary to </w:t>
      </w:r>
      <w:r>
        <w:rPr>
          <w:color w:val="050307"/>
          <w:spacing w:val="2"/>
        </w:rPr>
        <w:t>develop</w:t>
      </w:r>
      <w:r>
        <w:rPr>
          <w:color w:val="212123"/>
          <w:spacing w:val="2"/>
        </w:rPr>
        <w:t xml:space="preserve">, </w:t>
      </w:r>
      <w:r>
        <w:rPr>
          <w:color w:val="050307"/>
        </w:rPr>
        <w:t>produce and supervise the business covered by this</w:t>
      </w:r>
      <w:r>
        <w:rPr>
          <w:color w:val="050307"/>
          <w:spacing w:val="32"/>
        </w:rPr>
        <w:t xml:space="preserve"> </w:t>
      </w:r>
      <w:r>
        <w:rPr>
          <w:color w:val="050307"/>
        </w:rPr>
        <w:t>Agreement.</w:t>
      </w:r>
    </w:p>
    <w:p>
      <w:pPr>
        <w:pStyle w:val="Normal"/>
        <w:tabs>
          <w:tab w:val="clear" w:pos="720"/>
          <w:tab w:val="left" w:pos="2132" w:leader="none"/>
        </w:tabs>
        <w:spacing w:lineRule="auto" w:line="247"/>
        <w:ind w:left="-90" w:right="7" w:hanging="0"/>
        <w:rPr/>
      </w:pPr>
      <w:r>
        <w:rPr/>
      </w:r>
    </w:p>
    <w:p>
      <w:pPr>
        <w:pStyle w:val="TextBody"/>
        <w:jc w:val="both"/>
        <w:rPr/>
      </w:pPr>
      <w:r>
        <w:rPr>
          <w:sz w:val="20"/>
        </w:rPr>
        <w:t>Any policy forms or Company supplies we provide for your use are our property and must be returned to us or our authorized representatives promptly upon our request or upon termination of this Agreement.</w:t>
      </w:r>
      <w:r>
        <w:rPr/>
        <w:t xml:space="preserve"> </w:t>
      </w:r>
    </w:p>
    <w:p>
      <w:pPr>
        <w:pStyle w:val="TextBody"/>
        <w:jc w:val="both"/>
        <w:rPr>
          <w:sz w:val="20"/>
          <w:szCs w:val="20"/>
        </w:rPr>
      </w:pPr>
      <w:r>
        <w:rPr>
          <w:sz w:val="20"/>
          <w:szCs w:val="20"/>
        </w:rPr>
        <w:t>You shall maintain insurance agent’s errors and omissions liability insurance coverage with a minimum $1,000,000 limit of liability, each claim and in the aggregate, or such other limit of liability as we may require. You must notify us immediately upon becoming aware that you have become ineligible for insurance coverage against claims for errors and omissions liability.  Within ten (10) days after the effective date of this Agreement, you shall provide us with evidence of your errors and omissions insurance policy. The insurance agent’s errors and omissions insurance policy shall be underwritten by an insurer satisfactory to us and shall state that thirty (30) days prior written notice will be given to us before cancellation or nonrenewal of coverage.</w:t>
      </w:r>
    </w:p>
    <w:p>
      <w:pPr>
        <w:pStyle w:val="Heading1"/>
        <w:rPr>
          <w:sz w:val="23"/>
          <w:szCs w:val="24"/>
        </w:rPr>
      </w:pPr>
      <w:r>
        <w:rPr>
          <w:sz w:val="23"/>
        </w:rPr>
        <w:t>INDEMNITY, DEFENCE AND HOLD HARMLESS</w:t>
      </w:r>
      <w:r>
        <w:rPr>
          <w:sz w:val="23"/>
          <w:szCs w:val="24"/>
        </w:rPr>
        <w:tab/>
      </w:r>
    </w:p>
    <w:p>
      <w:pPr>
        <w:pStyle w:val="TextBody"/>
        <w:jc w:val="both"/>
        <w:rPr>
          <w:sz w:val="20"/>
        </w:rPr>
      </w:pPr>
      <w:r>
        <w:rPr>
          <w:sz w:val="20"/>
        </w:rPr>
      </w:r>
    </w:p>
    <w:p>
      <w:pPr>
        <w:pStyle w:val="Normal"/>
        <w:widowControl/>
        <w:rPr>
          <w:rFonts w:ascii="TimesNewRoman" w:hAnsi="TimesNewRoman" w:cs="TimesNewRoman"/>
          <w:lang w:val="en-GB"/>
        </w:rPr>
      </w:pPr>
      <w:r>
        <w:rPr>
          <w:rFonts w:cs="TimesNewRoman" w:ascii="TimesNewRoman" w:hAnsi="TimesNewRoman"/>
          <w:lang w:val="en-GB"/>
        </w:rPr>
        <w:t>The Producer shall indemnify, defend and hold the Company harmless against any claims, liabilities or costs (including reasonable attorneys’ fees and expenses) which the Company may pay as a result of loss to an insured or otherwise arising from or in connection with this Agreement, caused by or in any way relating to the acts or omissions of the Producer.</w:t>
      </w:r>
    </w:p>
    <w:p>
      <w:pPr>
        <w:pStyle w:val="TextBody"/>
        <w:jc w:val="both"/>
        <w:rPr>
          <w:sz w:val="20"/>
        </w:rPr>
      </w:pPr>
      <w:r>
        <w:rPr>
          <w:sz w:val="20"/>
        </w:rPr>
      </w:r>
    </w:p>
    <w:p>
      <w:pPr>
        <w:pStyle w:val="Normal"/>
        <w:widowControl/>
        <w:rPr>
          <w:rFonts w:ascii="TimesNewRoman" w:hAnsi="TimesNewRoman" w:cs="TimesNewRoman"/>
          <w:lang w:val="en-GB"/>
        </w:rPr>
      </w:pPr>
      <w:r>
        <w:rPr>
          <w:rFonts w:cs="TimesNewRoman" w:ascii="TimesNewRoman" w:hAnsi="TimesNewRoman"/>
          <w:lang w:val="en-GB"/>
        </w:rPr>
        <w:t>The Company shall indemnify, defend and hold the producer harmless against any claims, liabilities or costs (including reasonable attorneys’ fees and expenses) which the Producer may pay as a result of loss to an insured or otherwise arising from or in connection with this Agreement, caused by or in any way relating to the acts or omissions of the Company.</w:t>
      </w:r>
    </w:p>
    <w:p>
      <w:pPr>
        <w:pStyle w:val="Normal"/>
        <w:widowControl/>
        <w:rPr>
          <w:rFonts w:ascii="TimesNewRoman" w:hAnsi="TimesNewRoman" w:cs="TimesNewRoman"/>
          <w:lang w:val="en-GB"/>
        </w:rPr>
      </w:pPr>
      <w:r>
        <w:rPr>
          <w:rFonts w:cs="TimesNewRoman" w:ascii="TimesNewRoman" w:hAnsi="TimesNewRoman"/>
          <w:lang w:val="en-GB"/>
        </w:rPr>
      </w:r>
    </w:p>
    <w:p>
      <w:pPr>
        <w:pStyle w:val="TextBody"/>
        <w:jc w:val="both"/>
        <w:rPr>
          <w:b/>
          <w:b/>
          <w:bCs/>
          <w:u w:val="single"/>
        </w:rPr>
      </w:pPr>
      <w:r>
        <w:rPr>
          <w:b/>
          <w:bCs/>
          <w:u w:val="single"/>
        </w:rPr>
        <w:t>CONFIDENTIALITY</w:t>
        <w:tab/>
        <w:t>AND COMPUTER ACCESS</w:t>
        <w:tab/>
        <w:tab/>
        <w:tab/>
        <w:tab/>
        <w:tab/>
        <w:tab/>
      </w:r>
    </w:p>
    <w:p>
      <w:pPr>
        <w:pStyle w:val="TextBody"/>
        <w:rPr>
          <w:sz w:val="20"/>
          <w:szCs w:val="20"/>
        </w:rPr>
      </w:pPr>
      <w:r>
        <w:rPr>
          <w:sz w:val="20"/>
          <w:szCs w:val="20"/>
        </w:rPr>
        <w:t>You agree not to disclose to third parties without the Company’s prior written consent, except as necessary to solicit, bind (when authorized), or to deliver insurance policies on the Company’s behalf, and then only in conformity with the provisions of this Agreement, any of the Company’s confidential and proprietary information.</w:t>
      </w:r>
    </w:p>
    <w:p>
      <w:pPr>
        <w:pStyle w:val="TextBody"/>
        <w:jc w:val="both"/>
        <w:rPr>
          <w:sz w:val="20"/>
          <w:szCs w:val="20"/>
        </w:rPr>
      </w:pPr>
      <w:r>
        <w:rPr>
          <w:sz w:val="20"/>
          <w:szCs w:val="20"/>
        </w:rPr>
        <w:t>In the event that you become aware of, or believe you may be subject to, a court order requiring the disclosure of any of the Company’s confidential and proprietary information to a third party, you agree to provide the Company as much notice as possible so that the Company may, if desirable and at its own expense, intervene and seek a protective order or other appropriate relief from the court.</w:t>
      </w:r>
    </w:p>
    <w:p>
      <w:pPr>
        <w:pStyle w:val="TextBody"/>
        <w:jc w:val="both"/>
        <w:rPr>
          <w:sz w:val="20"/>
          <w:szCs w:val="20"/>
        </w:rPr>
      </w:pPr>
      <w:r>
        <w:rPr>
          <w:sz w:val="20"/>
          <w:szCs w:val="20"/>
        </w:rPr>
        <w:t xml:space="preserve">In the event that you become aware of the potential or actual unauthorized use or disclosure of the Company’s confidential and proprietary information, you shall immediately notify and cooperate with us in taking any and all reasonable measures to prevent or minimize the unauthorized use or disclosure of such information.  </w:t>
      </w:r>
    </w:p>
    <w:p>
      <w:pPr>
        <w:pStyle w:val="Bodybold"/>
        <w:rPr>
          <w:b w:val="false"/>
          <w:b w:val="false"/>
          <w:bCs w:val="false"/>
          <w:szCs w:val="24"/>
        </w:rPr>
      </w:pPr>
      <w:r>
        <w:rPr>
          <w:b w:val="false"/>
          <w:bCs w:val="false"/>
          <w:sz w:val="20"/>
        </w:rPr>
        <w:t>Your agreements and obligations under this Section will survive the termination of this Agreement.</w:t>
      </w:r>
    </w:p>
    <w:p>
      <w:pPr>
        <w:pStyle w:val="Heading1"/>
        <w:rPr>
          <w:sz w:val="23"/>
        </w:rPr>
      </w:pPr>
      <w:r>
        <w:rPr>
          <w:sz w:val="23"/>
        </w:rPr>
        <w:t>OWNERSHIP OF EXPIRATIONS</w:t>
      </w:r>
    </w:p>
    <w:p>
      <w:pPr>
        <w:pStyle w:val="Normal"/>
        <w:spacing w:lineRule="auto" w:line="240"/>
        <w:ind w:right="7" w:firstLine="9"/>
        <w:jc w:val="both"/>
        <w:rPr>
          <w:rFonts w:eastAsia="Arial"/>
        </w:rPr>
      </w:pPr>
      <w:r>
        <w:rPr>
          <w:color w:val="050307"/>
        </w:rPr>
        <w:t>In the event of termination of this Agreement,</w:t>
      </w:r>
      <w:r>
        <w:rPr>
          <w:color w:val="1F1D1F"/>
        </w:rPr>
        <w:t xml:space="preserve"> </w:t>
      </w:r>
      <w:r>
        <w:rPr>
          <w:color w:val="050307"/>
        </w:rPr>
        <w:t>the agent having promptly accounted for and paid over all amounts for which it is liable, the Producer</w:t>
      </w:r>
      <w:r>
        <w:rPr>
          <w:color w:val="1F1D1F"/>
        </w:rPr>
        <w:t>'</w:t>
      </w:r>
      <w:r>
        <w:rPr>
          <w:color w:val="050307"/>
        </w:rPr>
        <w:t xml:space="preserve">s records pertaining to the business contemplated hereunder and its use and control of expirations shall remain the property of the Producer and be left in its undisputed </w:t>
      </w:r>
      <w:r>
        <w:rPr>
          <w:color w:val="050307"/>
          <w:spacing w:val="2"/>
        </w:rPr>
        <w:t>possession</w:t>
      </w:r>
      <w:r>
        <w:rPr>
          <w:color w:val="1F1D1F"/>
          <w:spacing w:val="2"/>
        </w:rPr>
        <w:t xml:space="preserve">; </w:t>
      </w:r>
      <w:r>
        <w:rPr>
          <w:color w:val="050307"/>
        </w:rPr>
        <w:t xml:space="preserve">otherwise, all such </w:t>
      </w:r>
      <w:r>
        <w:rPr>
          <w:color w:val="050307"/>
          <w:spacing w:val="2"/>
        </w:rPr>
        <w:t>records</w:t>
      </w:r>
      <w:r>
        <w:rPr>
          <w:color w:val="1F1D1F"/>
          <w:spacing w:val="2"/>
        </w:rPr>
        <w:t xml:space="preserve">, </w:t>
      </w:r>
      <w:r>
        <w:rPr>
          <w:color w:val="050307"/>
        </w:rPr>
        <w:t>use and control of</w:t>
      </w:r>
      <w:r>
        <w:rPr>
          <w:color w:val="050307"/>
          <w:spacing w:val="-5"/>
        </w:rPr>
        <w:t xml:space="preserve"> </w:t>
      </w:r>
      <w:r>
        <w:rPr>
          <w:color w:val="050307"/>
        </w:rPr>
        <w:t>expirations</w:t>
      </w:r>
      <w:r>
        <w:rPr>
          <w:color w:val="050307"/>
          <w:spacing w:val="12"/>
        </w:rPr>
        <w:t xml:space="preserve"> </w:t>
      </w:r>
      <w:r>
        <w:rPr>
          <w:color w:val="050307"/>
        </w:rPr>
        <w:t>shall</w:t>
      </w:r>
      <w:r>
        <w:rPr>
          <w:color w:val="050307"/>
          <w:spacing w:val="2"/>
        </w:rPr>
        <w:t xml:space="preserve"> </w:t>
      </w:r>
      <w:r>
        <w:rPr>
          <w:color w:val="050307"/>
        </w:rPr>
        <w:t>be</w:t>
      </w:r>
      <w:r>
        <w:rPr>
          <w:color w:val="050307"/>
          <w:spacing w:val="-20"/>
        </w:rPr>
        <w:t xml:space="preserve"> </w:t>
      </w:r>
      <w:r>
        <w:rPr>
          <w:color w:val="050307"/>
        </w:rPr>
        <w:t>vested</w:t>
      </w:r>
      <w:r>
        <w:rPr>
          <w:color w:val="050307"/>
          <w:spacing w:val="10"/>
        </w:rPr>
        <w:t xml:space="preserve"> </w:t>
      </w:r>
      <w:r>
        <w:rPr>
          <w:color w:val="050307"/>
        </w:rPr>
        <w:t>in</w:t>
      </w:r>
      <w:r>
        <w:rPr>
          <w:color w:val="050307"/>
          <w:spacing w:val="-20"/>
        </w:rPr>
        <w:t xml:space="preserve"> </w:t>
      </w:r>
      <w:r>
        <w:rPr>
          <w:color w:val="050307"/>
        </w:rPr>
        <w:t>the</w:t>
      </w:r>
      <w:r>
        <w:rPr>
          <w:color w:val="050307"/>
          <w:spacing w:val="-3"/>
        </w:rPr>
        <w:t xml:space="preserve"> </w:t>
      </w:r>
      <w:r>
        <w:rPr>
          <w:color w:val="050307"/>
        </w:rPr>
        <w:t>Company</w:t>
      </w:r>
      <w:r>
        <w:rPr>
          <w:color w:val="050307"/>
          <w:spacing w:val="-36"/>
        </w:rPr>
        <w:t>.</w:t>
      </w:r>
    </w:p>
    <w:p>
      <w:pPr>
        <w:pStyle w:val="Heading1"/>
        <w:rPr>
          <w:sz w:val="23"/>
          <w:u w:val="none"/>
        </w:rPr>
      </w:pPr>
      <w:r>
        <w:rPr>
          <w:sz w:val="23"/>
          <w:u w:val="none"/>
        </w:rPr>
        <w:tab/>
      </w:r>
    </w:p>
    <w:p>
      <w:pPr>
        <w:pStyle w:val="Heading1"/>
        <w:rPr>
          <w:sz w:val="23"/>
          <w:szCs w:val="24"/>
        </w:rPr>
      </w:pPr>
      <w:r>
        <w:rPr>
          <w:sz w:val="23"/>
        </w:rPr>
        <w:t>TERMINATION</w:t>
      </w:r>
      <w:r>
        <w:rPr>
          <w:sz w:val="23"/>
          <w:szCs w:val="24"/>
        </w:rPr>
        <w:tab/>
      </w:r>
    </w:p>
    <w:p>
      <w:pPr>
        <w:pStyle w:val="Normal"/>
        <w:widowControl/>
        <w:spacing w:before="0" w:after="240"/>
        <w:ind w:left="720" w:hanging="0"/>
        <w:jc w:val="both"/>
        <w:rPr>
          <w:szCs w:val="23"/>
        </w:rPr>
      </w:pPr>
      <w:r>
        <w:rPr>
          <w:szCs w:val="23"/>
        </w:rPr>
        <w:t>(a)</w:t>
        <w:tab/>
        <w:t>You or we may terminate this Agreement, subject to any regulatory requirements that apply, with or without cause, upon thirty (30) days</w:t>
      </w:r>
      <w:r>
        <w:rPr>
          <w:b/>
          <w:bCs/>
          <w:szCs w:val="23"/>
        </w:rPr>
        <w:t xml:space="preserve"> </w:t>
      </w:r>
      <w:r>
        <w:rPr>
          <w:szCs w:val="23"/>
        </w:rPr>
        <w:t>prior written notice.</w:t>
      </w:r>
    </w:p>
    <w:p>
      <w:pPr>
        <w:pStyle w:val="Normal"/>
        <w:widowControl/>
        <w:spacing w:before="0" w:after="240"/>
        <w:ind w:left="720" w:hanging="0"/>
        <w:jc w:val="both"/>
        <w:rPr>
          <w:szCs w:val="23"/>
        </w:rPr>
      </w:pPr>
      <w:r>
        <w:rPr>
          <w:szCs w:val="23"/>
        </w:rPr>
        <w:t>(b)</w:t>
        <w:tab/>
        <w:t xml:space="preserve"> We may terminate this Agreement immediately, without prior written notice (unless otherwise specified), for the following reasons:</w:t>
      </w:r>
    </w:p>
    <w:p>
      <w:pPr>
        <w:pStyle w:val="ListParagraph"/>
        <w:widowControl/>
        <w:numPr>
          <w:ilvl w:val="0"/>
          <w:numId w:val="3"/>
        </w:numPr>
        <w:spacing w:before="0" w:after="240"/>
        <w:ind w:left="2160" w:right="547" w:hanging="360"/>
        <w:jc w:val="both"/>
        <w:rPr>
          <w:rFonts w:ascii="Arial" w:hAnsi="Arial" w:cs="Arial"/>
          <w:sz w:val="20"/>
          <w:szCs w:val="20"/>
        </w:rPr>
      </w:pPr>
      <w:r>
        <w:rPr>
          <w:rFonts w:cs="Arial" w:ascii="Arial" w:hAnsi="Arial"/>
          <w:sz w:val="20"/>
          <w:szCs w:val="20"/>
        </w:rPr>
        <w:t>You become ineligible for, or fail to maintain and provide evidence of, the errors and omissions liability coverage required in the Your Responsibilities section of this Agreement.</w:t>
      </w:r>
    </w:p>
    <w:p>
      <w:pPr>
        <w:pStyle w:val="ListParagraph"/>
        <w:widowControl/>
        <w:numPr>
          <w:ilvl w:val="0"/>
          <w:numId w:val="3"/>
        </w:numPr>
        <w:spacing w:before="0" w:after="240"/>
        <w:ind w:left="2160" w:right="518" w:hanging="360"/>
        <w:jc w:val="both"/>
        <w:rPr>
          <w:rFonts w:ascii="Arial" w:hAnsi="Arial" w:cs="Arial"/>
          <w:sz w:val="20"/>
          <w:szCs w:val="20"/>
        </w:rPr>
      </w:pPr>
      <w:r>
        <w:rPr>
          <w:rFonts w:cs="Arial" w:ascii="Arial" w:hAnsi="Arial"/>
          <w:sz w:val="20"/>
          <w:szCs w:val="20"/>
        </w:rPr>
        <w:t>You fail to maintain for any reason any licenses required by law for purposes of producing the business contemplated by this Agreement.</w:t>
      </w:r>
    </w:p>
    <w:p>
      <w:pPr>
        <w:pStyle w:val="ListParagraph"/>
        <w:widowControl/>
        <w:numPr>
          <w:ilvl w:val="0"/>
          <w:numId w:val="3"/>
        </w:numPr>
        <w:spacing w:before="0" w:after="240"/>
        <w:ind w:left="2160" w:right="518" w:hanging="360"/>
        <w:jc w:val="both"/>
        <w:rPr>
          <w:rFonts w:ascii="Arial" w:hAnsi="Arial" w:cs="Arial"/>
          <w:sz w:val="20"/>
          <w:szCs w:val="20"/>
        </w:rPr>
      </w:pPr>
      <w:r>
        <w:rPr>
          <w:rFonts w:cs="Arial" w:ascii="Arial" w:hAnsi="Arial"/>
          <w:sz w:val="20"/>
          <w:szCs w:val="20"/>
        </w:rPr>
        <w:t>At our election, upon written notice to you, if you become insolvent, make an assignment for the benefit of creditors, or if you file a petition for relief under the United States Bankruptcy Code, as amended, or if a petition is filed against you, or if a trustee, receiver or other custodian of your assets is appointed, or if any public authority which has jurisdiction over you, issues an order of liquidation, rehabilitation, receivership or similar action against you.</w:t>
      </w:r>
    </w:p>
    <w:p>
      <w:pPr>
        <w:pStyle w:val="ListParagraph"/>
        <w:widowControl/>
        <w:numPr>
          <w:ilvl w:val="0"/>
          <w:numId w:val="3"/>
        </w:numPr>
        <w:spacing w:before="0" w:after="240"/>
        <w:ind w:left="2160" w:right="518" w:hanging="360"/>
        <w:jc w:val="both"/>
        <w:rPr>
          <w:rFonts w:ascii="Arial" w:hAnsi="Arial" w:cs="Arial"/>
          <w:sz w:val="20"/>
          <w:szCs w:val="20"/>
        </w:rPr>
      </w:pPr>
      <w:r>
        <w:rPr>
          <w:rFonts w:cs="Arial" w:ascii="Arial" w:hAnsi="Arial"/>
          <w:sz w:val="20"/>
          <w:szCs w:val="20"/>
        </w:rPr>
        <w:t>At our election, upon written notice to you, if you commit any of the following acts or omissions: fraud, gross negligence or willful misconduct (including willful misconduct or willful violation of any provision of this Agreement or any instructions given to you in connection with this Agreement, or any willful violation of any applicable insurance statute or regulation).</w:t>
      </w:r>
    </w:p>
    <w:p>
      <w:pPr>
        <w:pStyle w:val="ListParagraph"/>
        <w:widowControl/>
        <w:numPr>
          <w:ilvl w:val="0"/>
          <w:numId w:val="3"/>
        </w:numPr>
        <w:spacing w:before="0" w:after="240"/>
        <w:ind w:left="2160" w:right="518" w:hanging="360"/>
        <w:jc w:val="both"/>
        <w:rPr>
          <w:rFonts w:ascii="Arial" w:hAnsi="Arial" w:cs="Arial"/>
          <w:sz w:val="20"/>
          <w:szCs w:val="20"/>
        </w:rPr>
      </w:pPr>
      <w:r>
        <w:rPr>
          <w:rFonts w:cs="Arial" w:ascii="Arial" w:hAnsi="Arial"/>
          <w:sz w:val="20"/>
          <w:szCs w:val="20"/>
        </w:rPr>
        <w:t>At our election, if you fail to perform any provision of this Agreement and you do not cure this failure within thirty (30) days after we give you notice of this failure.</w:t>
      </w:r>
    </w:p>
    <w:p>
      <w:pPr>
        <w:pStyle w:val="ListParagraph"/>
        <w:widowControl/>
        <w:numPr>
          <w:ilvl w:val="0"/>
          <w:numId w:val="3"/>
        </w:numPr>
        <w:spacing w:before="0" w:after="240"/>
        <w:ind w:left="2160" w:right="518" w:hanging="360"/>
        <w:jc w:val="both"/>
        <w:rPr>
          <w:rFonts w:ascii="Arial" w:hAnsi="Arial" w:cs="Arial"/>
          <w:sz w:val="20"/>
          <w:szCs w:val="20"/>
        </w:rPr>
      </w:pPr>
      <w:r>
        <w:rPr>
          <w:rFonts w:cs="Arial" w:ascii="Arial" w:hAnsi="Arial"/>
          <w:sz w:val="20"/>
          <w:szCs w:val="20"/>
        </w:rPr>
        <w:t>At our election, in the event of a breach of security of confidential or proprietary information.</w:t>
      </w:r>
    </w:p>
    <w:p>
      <w:pPr>
        <w:pStyle w:val="Heading1"/>
        <w:rPr>
          <w:sz w:val="23"/>
          <w:szCs w:val="24"/>
        </w:rPr>
      </w:pPr>
      <w:r>
        <w:rPr>
          <w:sz w:val="23"/>
          <w:szCs w:val="24"/>
        </w:rPr>
        <w:t xml:space="preserve">AFTER </w:t>
      </w:r>
      <w:r>
        <w:rPr>
          <w:sz w:val="23"/>
        </w:rPr>
        <w:t>TERMINATION</w:t>
      </w:r>
      <w:r>
        <w:rPr>
          <w:sz w:val="23"/>
          <w:szCs w:val="24"/>
        </w:rPr>
        <w:tab/>
      </w:r>
    </w:p>
    <w:p>
      <w:pPr>
        <w:pStyle w:val="TextBody"/>
        <w:jc w:val="both"/>
        <w:rPr>
          <w:sz w:val="20"/>
        </w:rPr>
      </w:pPr>
      <w:r>
        <w:rPr>
          <w:sz w:val="20"/>
        </w:rPr>
        <w:t xml:space="preserve">If, upon termination of this Agreement, you are entitled to the ownership, use and control of expirations and renewals, then we will continue policies for as long as required by law or until their normal expiration or anniversary date, whichever occurs first, subject to the following conditions: </w:t>
      </w:r>
    </w:p>
    <w:p>
      <w:pPr>
        <w:pStyle w:val="Normal"/>
        <w:widowControl/>
        <w:numPr>
          <w:ilvl w:val="0"/>
          <w:numId w:val="1"/>
        </w:numPr>
        <w:tabs>
          <w:tab w:val="left" w:pos="720" w:leader="none"/>
        </w:tabs>
        <w:spacing w:before="0" w:after="200"/>
        <w:ind w:left="1440" w:hanging="720"/>
        <w:jc w:val="both"/>
        <w:rPr>
          <w:szCs w:val="23"/>
        </w:rPr>
      </w:pPr>
      <w:r>
        <w:rPr>
          <w:szCs w:val="23"/>
        </w:rPr>
        <w:t xml:space="preserve">We are not obligated under this Section of the Agreement to continue in force or renew policies where prohibited by law or regulation. </w:t>
      </w:r>
    </w:p>
    <w:p>
      <w:pPr>
        <w:pStyle w:val="Normal"/>
        <w:widowControl/>
        <w:numPr>
          <w:ilvl w:val="0"/>
          <w:numId w:val="1"/>
        </w:numPr>
        <w:tabs>
          <w:tab w:val="left" w:pos="720" w:leader="none"/>
        </w:tabs>
        <w:spacing w:before="0" w:after="200"/>
        <w:ind w:left="1440" w:hanging="720"/>
        <w:jc w:val="both"/>
        <w:rPr>
          <w:szCs w:val="23"/>
        </w:rPr>
      </w:pPr>
      <w:r>
        <w:rPr>
          <w:szCs w:val="23"/>
        </w:rPr>
        <w:t xml:space="preserve">You will try to replace all policies with other insurers. For Company direct-billed business, at your request, we will notify all clients of our intent not to renew their policies. </w:t>
      </w:r>
    </w:p>
    <w:p>
      <w:pPr>
        <w:pStyle w:val="Normal"/>
        <w:widowControl/>
        <w:numPr>
          <w:ilvl w:val="0"/>
          <w:numId w:val="1"/>
        </w:numPr>
        <w:tabs>
          <w:tab w:val="left" w:pos="720" w:leader="none"/>
        </w:tabs>
        <w:spacing w:before="0" w:after="200"/>
        <w:ind w:left="1440" w:hanging="720"/>
        <w:jc w:val="both"/>
        <w:rPr>
          <w:szCs w:val="23"/>
        </w:rPr>
      </w:pPr>
      <w:r>
        <w:rPr>
          <w:szCs w:val="23"/>
        </w:rPr>
        <w:t xml:space="preserve">We reserve all of our rights to cancel or non-renew policies for nonpayment of premiums or for underwriting reasons. </w:t>
      </w:r>
    </w:p>
    <w:p>
      <w:pPr>
        <w:pStyle w:val="Normal"/>
        <w:widowControl/>
        <w:numPr>
          <w:ilvl w:val="0"/>
          <w:numId w:val="1"/>
        </w:numPr>
        <w:tabs>
          <w:tab w:val="left" w:pos="720" w:leader="none"/>
        </w:tabs>
        <w:spacing w:before="0" w:after="240"/>
        <w:ind w:left="1440" w:hanging="720"/>
        <w:jc w:val="both"/>
        <w:rPr>
          <w:szCs w:val="23"/>
        </w:rPr>
      </w:pPr>
      <w:r>
        <w:rPr>
          <w:szCs w:val="23"/>
        </w:rPr>
        <w:t xml:space="preserve">For policies continued in force or renewed after the cancellation of this Agreement, you will continue to be our authorized representative, subject to all the conditions of this Agreement.  However, you may not bind any new risk, renew any policy, or increase or extend the term of our liability under any policy. </w:t>
      </w:r>
    </w:p>
    <w:p>
      <w:pPr>
        <w:pStyle w:val="Heading1"/>
        <w:rPr>
          <w:sz w:val="23"/>
          <w:szCs w:val="24"/>
        </w:rPr>
      </w:pPr>
      <w:r>
        <w:rPr>
          <w:sz w:val="23"/>
        </w:rPr>
        <w:t xml:space="preserve">PROFIT SHARING </w:t>
      </w:r>
      <w:r>
        <w:rPr>
          <w:sz w:val="23"/>
          <w:szCs w:val="24"/>
        </w:rPr>
        <w:tab/>
      </w:r>
    </w:p>
    <w:p>
      <w:pPr>
        <w:pStyle w:val="TextBody"/>
        <w:spacing w:lineRule="auto" w:line="247"/>
        <w:rPr>
          <w:sz w:val="20"/>
        </w:rPr>
      </w:pPr>
      <w:r>
        <w:rPr>
          <w:sz w:val="20"/>
        </w:rPr>
        <w:t>If profit sharing is applicable to this Agreement, the profit sharing terms and conditions are attached as Exhibit D to this Agreement. Each signed Exhibit D is only valid for policies with effective dates within a one-year period of time.</w:t>
      </w:r>
    </w:p>
    <w:p>
      <w:pPr>
        <w:pStyle w:val="Heading1"/>
        <w:rPr>
          <w:sz w:val="23"/>
        </w:rPr>
      </w:pPr>
      <w:r>
        <w:rPr>
          <w:sz w:val="23"/>
        </w:rPr>
        <w:t>REVISION OF THIS AGREEMENT AND EXHIBIT A</w:t>
      </w:r>
    </w:p>
    <w:p>
      <w:pPr>
        <w:pStyle w:val="Normal"/>
        <w:ind w:right="7" w:hanging="0"/>
        <w:rPr>
          <w:rFonts w:eastAsia="Arial"/>
        </w:rPr>
      </w:pPr>
      <w:r>
        <w:rPr>
          <w:color w:val="050307"/>
          <w:sz w:val="22"/>
        </w:rPr>
        <w:t>Neither this Agreement nor any amendments nor terms thereto may be</w:t>
      </w:r>
      <w:r>
        <w:rPr>
          <w:color w:val="050307"/>
          <w:spacing w:val="-5"/>
          <w:sz w:val="22"/>
        </w:rPr>
        <w:t xml:space="preserve"> </w:t>
      </w:r>
      <w:r>
        <w:rPr>
          <w:color w:val="050307"/>
          <w:spacing w:val="2"/>
          <w:sz w:val="22"/>
        </w:rPr>
        <w:t>changed</w:t>
      </w:r>
      <w:r>
        <w:rPr>
          <w:color w:val="424244"/>
          <w:spacing w:val="2"/>
          <w:sz w:val="22"/>
        </w:rPr>
        <w:t>,</w:t>
      </w:r>
      <w:r>
        <w:rPr>
          <w:color w:val="424244"/>
          <w:spacing w:val="-23"/>
          <w:sz w:val="22"/>
        </w:rPr>
        <w:t xml:space="preserve"> </w:t>
      </w:r>
      <w:r>
        <w:rPr>
          <w:color w:val="050307"/>
          <w:sz w:val="22"/>
        </w:rPr>
        <w:t>waived,</w:t>
      </w:r>
      <w:r>
        <w:rPr>
          <w:color w:val="050307"/>
          <w:w w:val="96"/>
          <w:sz w:val="22"/>
        </w:rPr>
        <w:t xml:space="preserve"> </w:t>
      </w:r>
      <w:r>
        <w:rPr>
          <w:color w:val="050307"/>
          <w:sz w:val="22"/>
        </w:rPr>
        <w:t>or discharged except by written agreement between the Producer and the</w:t>
      </w:r>
      <w:r>
        <w:rPr>
          <w:color w:val="050307"/>
          <w:spacing w:val="-31"/>
          <w:sz w:val="22"/>
        </w:rPr>
        <w:t xml:space="preserve"> </w:t>
      </w:r>
      <w:r>
        <w:rPr>
          <w:color w:val="050307"/>
          <w:sz w:val="22"/>
        </w:rPr>
        <w:t>Company.</w:t>
      </w:r>
    </w:p>
    <w:p>
      <w:pPr>
        <w:pStyle w:val="ListParagraph"/>
        <w:ind w:right="1448" w:hanging="0"/>
        <w:rPr>
          <w:rFonts w:ascii="Arial" w:hAnsi="Arial" w:eastAsia="Times New Roman" w:cs="Arial"/>
          <w:color w:val="424244"/>
          <w:szCs w:val="20"/>
        </w:rPr>
      </w:pPr>
      <w:r>
        <w:rPr>
          <w:rFonts w:eastAsia="Times New Roman" w:cs="Arial" w:ascii="Arial" w:hAnsi="Arial"/>
          <w:color w:val="424244"/>
          <w:szCs w:val="20"/>
        </w:rPr>
      </w:r>
    </w:p>
    <w:p>
      <w:pPr>
        <w:pStyle w:val="Heading1"/>
        <w:rPr>
          <w:b w:val="false"/>
          <w:b w:val="false"/>
          <w:color w:val="08070A"/>
          <w:sz w:val="20"/>
          <w:szCs w:val="20"/>
          <w:u w:val="none"/>
        </w:rPr>
      </w:pPr>
      <w:r>
        <mc:AlternateContent>
          <mc:Choice Requires="wpg">
            <w:drawing>
              <wp:anchor behindDoc="0" distT="0" distB="0" distL="0" distR="0" simplePos="0" locked="0" layoutInCell="1" allowOverlap="1" relativeHeight="2" wp14:anchorId="54E38882">
                <wp:simplePos x="0" y="0"/>
                <wp:positionH relativeFrom="page">
                  <wp:posOffset>18415</wp:posOffset>
                </wp:positionH>
                <wp:positionV relativeFrom="page">
                  <wp:posOffset>10011410</wp:posOffset>
                </wp:positionV>
                <wp:extent cx="1783715" cy="2540"/>
                <wp:effectExtent l="8890" t="10160" r="8890" b="7620"/>
                <wp:wrapNone/>
                <wp:docPr id="1" name="Group 13"/>
                <a:graphic xmlns:a="http://schemas.openxmlformats.org/drawingml/2006/main">
                  <a:graphicData uri="http://schemas.microsoft.com/office/word/2010/wordprocessingGroup">
                    <wpg:wgp>
                      <wpg:cNvGrpSpPr/>
                      <wpg:grpSpPr>
                        <a:xfrm>
                          <a:off x="0" y="0"/>
                          <a:ext cx="1783080" cy="1800"/>
                        </a:xfrm>
                      </wpg:grpSpPr>
                      <wps:wsp>
                        <wps:cNvSpPr/>
                        <wps:spPr>
                          <a:xfrm>
                            <a:off x="0" y="0"/>
                            <a:ext cx="1783080" cy="1800"/>
                          </a:xfrm>
                          <a:custGeom>
                            <a:avLst/>
                            <a:gdLst/>
                            <a:ahLst/>
                            <a:rect l="l" t="t" r="r" b="b"/>
                            <a:pathLst>
                              <a:path w="2807" h="0">
                                <a:moveTo>
                                  <a:pt x="0" y="0"/>
                                </a:moveTo>
                                <a:lnTo>
                                  <a:pt x="2806" y="0"/>
                                </a:lnTo>
                              </a:path>
                            </a:pathLst>
                          </a:custGeom>
                          <a:noFill/>
                          <a:ln w="6480">
                            <a:solidFill>
                              <a:srgbClr val="c3c3c3"/>
                            </a:solidFill>
                            <a:round/>
                          </a:ln>
                        </wps:spPr>
                        <wps:style>
                          <a:lnRef idx="0"/>
                          <a:fillRef idx="0"/>
                          <a:effectRef idx="0"/>
                          <a:fontRef idx="minor"/>
                        </wps:style>
                        <wps:bodyPr/>
                      </wps:wsp>
                    </wpg:wgp>
                  </a:graphicData>
                </a:graphic>
              </wp:anchor>
            </w:drawing>
          </mc:Choice>
          <mc:Fallback>
            <w:pict>
              <v:group id="shape_0" alt="Group 13" style="position:absolute;margin-left:1.45pt;margin-top:788.3pt;width:140.4pt;height:0.15pt" coordorigin="29,15766" coordsize="2808,3"/>
            </w:pict>
          </mc:Fallback>
        </mc:AlternateContent>
        <mc:AlternateContent>
          <mc:Choice Requires="wpg">
            <w:drawing>
              <wp:anchor behindDoc="0" distT="0" distB="0" distL="0" distR="0" simplePos="0" locked="0" layoutInCell="1" allowOverlap="1" relativeHeight="3" wp14:anchorId="54E38884">
                <wp:simplePos x="0" y="0"/>
                <wp:positionH relativeFrom="page">
                  <wp:posOffset>2007235</wp:posOffset>
                </wp:positionH>
                <wp:positionV relativeFrom="page">
                  <wp:posOffset>10005060</wp:posOffset>
                </wp:positionV>
                <wp:extent cx="5733415" cy="2540"/>
                <wp:effectExtent l="6985" t="13335" r="4445" b="4445"/>
                <wp:wrapNone/>
                <wp:docPr id="2" name="Group 11"/>
                <a:graphic xmlns:a="http://schemas.openxmlformats.org/drawingml/2006/main">
                  <a:graphicData uri="http://schemas.microsoft.com/office/word/2010/wordprocessingGroup">
                    <wpg:wgp>
                      <wpg:cNvGrpSpPr/>
                      <wpg:grpSpPr>
                        <a:xfrm>
                          <a:off x="0" y="0"/>
                          <a:ext cx="5732640" cy="1800"/>
                        </a:xfrm>
                      </wpg:grpSpPr>
                      <wps:wsp>
                        <wps:cNvSpPr/>
                        <wps:spPr>
                          <a:xfrm>
                            <a:off x="0" y="0"/>
                            <a:ext cx="5732640" cy="1800"/>
                          </a:xfrm>
                          <a:custGeom>
                            <a:avLst/>
                            <a:gdLst/>
                            <a:ahLst/>
                            <a:rect l="l" t="t" r="r" b="b"/>
                            <a:pathLst>
                              <a:path w="9027" h="0">
                                <a:moveTo>
                                  <a:pt x="0" y="0"/>
                                </a:moveTo>
                                <a:lnTo>
                                  <a:pt x="9026" y="0"/>
                                </a:lnTo>
                              </a:path>
                            </a:pathLst>
                          </a:custGeom>
                          <a:noFill/>
                          <a:ln w="6480">
                            <a:solidFill>
                              <a:srgbClr val="afafac"/>
                            </a:solidFill>
                            <a:round/>
                          </a:ln>
                        </wps:spPr>
                        <wps:style>
                          <a:lnRef idx="0"/>
                          <a:fillRef idx="0"/>
                          <a:effectRef idx="0"/>
                          <a:fontRef idx="minor"/>
                        </wps:style>
                        <wps:bodyPr/>
                      </wps:wsp>
                    </wpg:wgp>
                  </a:graphicData>
                </a:graphic>
              </wp:anchor>
            </w:drawing>
          </mc:Choice>
          <mc:Fallback>
            <w:pict>
              <v:group id="shape_0" alt="Group 11" style="position:absolute;margin-left:158.05pt;margin-top:787.8pt;width:451.4pt;height:0.15pt" coordorigin="3161,15756" coordsize="9028,3"/>
            </w:pict>
          </mc:Fallback>
        </mc:AlternateContent>
      </w:r>
      <w:r>
        <w:rPr>
          <w:b w:val="false"/>
          <w:color w:val="050307"/>
          <w:sz w:val="20"/>
          <w:szCs w:val="20"/>
          <w:u w:val="none"/>
        </w:rPr>
        <w:t>In the event a court of competent jurisdiction modifies any provision of this Agreement</w:t>
      </w:r>
      <w:r>
        <w:rPr>
          <w:b w:val="false"/>
          <w:color w:val="1F1D1F"/>
          <w:sz w:val="20"/>
          <w:szCs w:val="20"/>
          <w:u w:val="none"/>
        </w:rPr>
        <w:t xml:space="preserve">, </w:t>
      </w:r>
      <w:r>
        <w:rPr>
          <w:b w:val="false"/>
          <w:color w:val="050307"/>
          <w:sz w:val="20"/>
          <w:szCs w:val="20"/>
          <w:u w:val="none"/>
        </w:rPr>
        <w:t xml:space="preserve">the remaining provisions of this Agreement shall remain in full force and effect and the modified provision shall be abided by the parties as so modified by the </w:t>
      </w:r>
      <w:r>
        <w:rPr>
          <w:b w:val="false"/>
          <w:color w:val="050307"/>
          <w:spacing w:val="3"/>
          <w:sz w:val="20"/>
          <w:szCs w:val="20"/>
          <w:u w:val="none"/>
        </w:rPr>
        <w:t>court</w:t>
      </w:r>
      <w:r>
        <w:rPr>
          <w:b w:val="false"/>
          <w:color w:val="1F1D1F"/>
          <w:spacing w:val="3"/>
          <w:sz w:val="20"/>
          <w:szCs w:val="20"/>
          <w:u w:val="none"/>
        </w:rPr>
        <w:t xml:space="preserve">. </w:t>
      </w:r>
      <w:r>
        <w:rPr>
          <w:b w:val="false"/>
          <w:color w:val="050307"/>
          <w:sz w:val="20"/>
          <w:szCs w:val="20"/>
          <w:u w:val="none"/>
        </w:rPr>
        <w:t xml:space="preserve">The </w:t>
      </w:r>
      <w:r>
        <w:rPr>
          <w:b w:val="false"/>
          <w:color w:val="1F1D1F"/>
          <w:sz w:val="20"/>
          <w:szCs w:val="20"/>
          <w:u w:val="none"/>
        </w:rPr>
        <w:t>i</w:t>
      </w:r>
      <w:r>
        <w:rPr>
          <w:b w:val="false"/>
          <w:color w:val="050307"/>
          <w:sz w:val="20"/>
          <w:szCs w:val="20"/>
          <w:u w:val="none"/>
        </w:rPr>
        <w:t xml:space="preserve">nvalidity or unenforceability of any </w:t>
      </w:r>
      <w:r>
        <w:rPr>
          <w:b w:val="false"/>
          <w:color w:val="050307"/>
          <w:spacing w:val="3"/>
          <w:sz w:val="20"/>
          <w:szCs w:val="20"/>
          <w:u w:val="none"/>
        </w:rPr>
        <w:t>te</w:t>
      </w:r>
      <w:r>
        <w:rPr>
          <w:b w:val="false"/>
          <w:color w:val="1F1D1F"/>
          <w:spacing w:val="3"/>
          <w:sz w:val="20"/>
          <w:szCs w:val="20"/>
          <w:u w:val="none"/>
        </w:rPr>
        <w:t>r</w:t>
      </w:r>
      <w:r>
        <w:rPr>
          <w:b w:val="false"/>
          <w:color w:val="050307"/>
          <w:spacing w:val="3"/>
          <w:sz w:val="20"/>
          <w:szCs w:val="20"/>
          <w:u w:val="none"/>
        </w:rPr>
        <w:t xml:space="preserve">m </w:t>
      </w:r>
      <w:r>
        <w:rPr>
          <w:b w:val="false"/>
          <w:color w:val="050307"/>
          <w:sz w:val="20"/>
          <w:szCs w:val="20"/>
          <w:u w:val="none"/>
        </w:rPr>
        <w:t>or provision</w:t>
      </w:r>
      <w:r>
        <w:rPr>
          <w:b w:val="false"/>
          <w:color w:val="1F1D1F"/>
          <w:sz w:val="20"/>
          <w:szCs w:val="20"/>
          <w:u w:val="none"/>
        </w:rPr>
        <w:t xml:space="preserve">, </w:t>
      </w:r>
      <w:r>
        <w:rPr>
          <w:b w:val="false"/>
          <w:color w:val="050307"/>
          <w:sz w:val="20"/>
          <w:szCs w:val="20"/>
          <w:u w:val="none"/>
        </w:rPr>
        <w:t>or any clause or port</w:t>
      </w:r>
      <w:r>
        <w:rPr>
          <w:b w:val="false"/>
          <w:color w:val="1F1D1F"/>
          <w:sz w:val="20"/>
          <w:szCs w:val="20"/>
          <w:u w:val="none"/>
        </w:rPr>
        <w:t>i</w:t>
      </w:r>
      <w:r>
        <w:rPr>
          <w:b w:val="false"/>
          <w:color w:val="050307"/>
          <w:sz w:val="20"/>
          <w:szCs w:val="20"/>
          <w:u w:val="none"/>
        </w:rPr>
        <w:t xml:space="preserve">on thereof, of this Agreement in no way  impairs  or affects the validity  or enforceability  of  any </w:t>
      </w:r>
      <w:r>
        <w:rPr>
          <w:b w:val="false"/>
          <w:color w:val="050307"/>
          <w:spacing w:val="53"/>
          <w:sz w:val="20"/>
          <w:szCs w:val="20"/>
          <w:u w:val="none"/>
        </w:rPr>
        <w:t xml:space="preserve"> </w:t>
      </w:r>
      <w:r>
        <w:rPr>
          <w:b w:val="false"/>
          <w:color w:val="050307"/>
          <w:sz w:val="20"/>
          <w:szCs w:val="20"/>
          <w:u w:val="none"/>
        </w:rPr>
        <w:t xml:space="preserve">other </w:t>
      </w:r>
      <w:r>
        <w:rPr>
          <w:b w:val="false"/>
          <w:color w:val="08070A"/>
          <w:sz w:val="20"/>
          <w:szCs w:val="20"/>
          <w:u w:val="none"/>
        </w:rPr>
        <w:t>provision</w:t>
      </w:r>
      <w:r>
        <w:rPr>
          <w:b w:val="false"/>
          <w:color w:val="08070A"/>
          <w:spacing w:val="-3"/>
          <w:sz w:val="20"/>
          <w:szCs w:val="20"/>
          <w:u w:val="none"/>
        </w:rPr>
        <w:t xml:space="preserve"> </w:t>
      </w:r>
      <w:r>
        <w:rPr>
          <w:b w:val="false"/>
          <w:color w:val="08070A"/>
          <w:sz w:val="20"/>
          <w:szCs w:val="20"/>
          <w:u w:val="none"/>
        </w:rPr>
        <w:t>of</w:t>
      </w:r>
      <w:r>
        <w:rPr>
          <w:b w:val="false"/>
          <w:color w:val="08070A"/>
          <w:spacing w:val="-12"/>
          <w:sz w:val="20"/>
          <w:szCs w:val="20"/>
          <w:u w:val="none"/>
        </w:rPr>
        <w:t xml:space="preserve"> </w:t>
      </w:r>
      <w:r>
        <w:rPr>
          <w:b w:val="false"/>
          <w:color w:val="08070A"/>
          <w:sz w:val="20"/>
          <w:szCs w:val="20"/>
          <w:u w:val="none"/>
        </w:rPr>
        <w:t>this</w:t>
      </w:r>
      <w:r>
        <w:rPr>
          <w:b w:val="false"/>
          <w:color w:val="08070A"/>
          <w:spacing w:val="-11"/>
          <w:sz w:val="20"/>
          <w:szCs w:val="20"/>
          <w:u w:val="none"/>
        </w:rPr>
        <w:t xml:space="preserve"> </w:t>
      </w:r>
      <w:r>
        <w:rPr>
          <w:b w:val="false"/>
          <w:color w:val="08070A"/>
          <w:sz w:val="20"/>
          <w:szCs w:val="20"/>
          <w:u w:val="none"/>
        </w:rPr>
        <w:t>Agreement</w:t>
      </w:r>
      <w:r>
        <w:rPr>
          <w:b w:val="false"/>
          <w:color w:val="08070A"/>
          <w:spacing w:val="-27"/>
          <w:sz w:val="20"/>
          <w:szCs w:val="20"/>
          <w:u w:val="none"/>
        </w:rPr>
        <w:t xml:space="preserve"> </w:t>
      </w:r>
      <w:r>
        <w:rPr>
          <w:b w:val="false"/>
          <w:color w:val="282628"/>
          <w:sz w:val="20"/>
          <w:szCs w:val="20"/>
          <w:u w:val="none"/>
        </w:rPr>
        <w:t>,</w:t>
      </w:r>
      <w:r>
        <w:rPr>
          <w:b w:val="false"/>
          <w:color w:val="282628"/>
          <w:spacing w:val="-20"/>
          <w:sz w:val="20"/>
          <w:szCs w:val="20"/>
          <w:u w:val="none"/>
        </w:rPr>
        <w:t xml:space="preserve"> </w:t>
      </w:r>
      <w:r>
        <w:rPr>
          <w:b w:val="false"/>
          <w:color w:val="08070A"/>
          <w:sz w:val="20"/>
          <w:szCs w:val="20"/>
          <w:u w:val="none"/>
        </w:rPr>
        <w:t>which</w:t>
      </w:r>
      <w:r>
        <w:rPr>
          <w:b w:val="false"/>
          <w:color w:val="08070A"/>
          <w:spacing w:val="5"/>
          <w:sz w:val="20"/>
          <w:szCs w:val="20"/>
          <w:u w:val="none"/>
        </w:rPr>
        <w:t xml:space="preserve"> </w:t>
      </w:r>
      <w:r>
        <w:rPr>
          <w:b w:val="false"/>
          <w:color w:val="08070A"/>
          <w:sz w:val="20"/>
          <w:szCs w:val="20"/>
          <w:u w:val="none"/>
        </w:rPr>
        <w:t>shall</w:t>
      </w:r>
      <w:r>
        <w:rPr>
          <w:b w:val="false"/>
          <w:color w:val="08070A"/>
          <w:spacing w:val="2"/>
          <w:sz w:val="20"/>
          <w:szCs w:val="20"/>
          <w:u w:val="none"/>
        </w:rPr>
        <w:t xml:space="preserve"> </w:t>
      </w:r>
      <w:r>
        <w:rPr>
          <w:b w:val="false"/>
          <w:color w:val="08070A"/>
          <w:sz w:val="20"/>
          <w:szCs w:val="20"/>
          <w:u w:val="none"/>
        </w:rPr>
        <w:t>remain</w:t>
      </w:r>
      <w:r>
        <w:rPr>
          <w:b w:val="false"/>
          <w:color w:val="08070A"/>
          <w:spacing w:val="-7"/>
          <w:sz w:val="20"/>
          <w:szCs w:val="20"/>
          <w:u w:val="none"/>
        </w:rPr>
        <w:t xml:space="preserve"> </w:t>
      </w:r>
      <w:r>
        <w:rPr>
          <w:b w:val="false"/>
          <w:color w:val="08070A"/>
          <w:sz w:val="20"/>
          <w:szCs w:val="20"/>
          <w:u w:val="none"/>
        </w:rPr>
        <w:t>in</w:t>
      </w:r>
      <w:r>
        <w:rPr>
          <w:b w:val="false"/>
          <w:color w:val="08070A"/>
          <w:spacing w:val="-20"/>
          <w:sz w:val="20"/>
          <w:szCs w:val="20"/>
          <w:u w:val="none"/>
        </w:rPr>
        <w:t xml:space="preserve"> </w:t>
      </w:r>
      <w:r>
        <w:rPr>
          <w:b w:val="false"/>
          <w:color w:val="08070A"/>
          <w:sz w:val="20"/>
          <w:szCs w:val="20"/>
          <w:u w:val="none"/>
        </w:rPr>
        <w:t>full</w:t>
      </w:r>
      <w:r>
        <w:rPr>
          <w:b w:val="false"/>
          <w:color w:val="08070A"/>
          <w:spacing w:val="-9"/>
          <w:sz w:val="20"/>
          <w:szCs w:val="20"/>
          <w:u w:val="none"/>
        </w:rPr>
        <w:t xml:space="preserve"> </w:t>
      </w:r>
      <w:r>
        <w:rPr>
          <w:b w:val="false"/>
          <w:color w:val="08070A"/>
          <w:sz w:val="20"/>
          <w:szCs w:val="20"/>
          <w:u w:val="none"/>
        </w:rPr>
        <w:t>force</w:t>
      </w:r>
      <w:r>
        <w:rPr>
          <w:b w:val="false"/>
          <w:color w:val="08070A"/>
          <w:spacing w:val="1"/>
          <w:sz w:val="20"/>
          <w:szCs w:val="20"/>
          <w:u w:val="none"/>
        </w:rPr>
        <w:t xml:space="preserve"> </w:t>
      </w:r>
      <w:r>
        <w:rPr>
          <w:b w:val="false"/>
          <w:color w:val="08070A"/>
          <w:sz w:val="20"/>
          <w:szCs w:val="20"/>
          <w:u w:val="none"/>
        </w:rPr>
        <w:t>and</w:t>
      </w:r>
      <w:r>
        <w:rPr>
          <w:b w:val="false"/>
          <w:color w:val="08070A"/>
          <w:spacing w:val="-11"/>
          <w:sz w:val="20"/>
          <w:szCs w:val="20"/>
          <w:u w:val="none"/>
        </w:rPr>
        <w:t xml:space="preserve"> </w:t>
      </w:r>
      <w:r>
        <w:rPr>
          <w:b w:val="false"/>
          <w:color w:val="08070A"/>
          <w:sz w:val="20"/>
          <w:szCs w:val="20"/>
          <w:u w:val="none"/>
        </w:rPr>
        <w:t>effect.</w:t>
      </w:r>
    </w:p>
    <w:p>
      <w:pPr>
        <w:pStyle w:val="Heading1"/>
        <w:rPr>
          <w:sz w:val="23"/>
        </w:rPr>
      </w:pPr>
      <w:r>
        <w:rPr>
          <w:sz w:val="23"/>
        </w:rPr>
        <w:t>ENTIRE AGREEMENT</w:t>
        <w:tab/>
      </w:r>
    </w:p>
    <w:p>
      <w:pPr>
        <w:pStyle w:val="TextBody"/>
        <w:jc w:val="both"/>
        <w:rPr>
          <w:sz w:val="20"/>
        </w:rPr>
      </w:pPr>
      <w:r>
        <w:rPr>
          <w:sz w:val="20"/>
        </w:rPr>
        <w:t xml:space="preserve">This Agreement, together with the Exhibits attached, and any written instructions which may be amended or changed from time to time, constitute the entire agreement between you and us, and replace all previous agreements, whether oral or written, between you and us. However, this Agreement does not affect indebtedness under the conditions contained in previous oral or written agreements. </w:t>
      </w:r>
    </w:p>
    <w:p>
      <w:pPr>
        <w:pStyle w:val="Heading1"/>
        <w:rPr>
          <w:sz w:val="23"/>
          <w:szCs w:val="24"/>
        </w:rPr>
      </w:pPr>
      <w:r>
        <w:rPr>
          <w:sz w:val="23"/>
        </w:rPr>
        <w:t>AGENT</w:t>
      </w:r>
      <w:r>
        <w:rPr>
          <w:sz w:val="23"/>
          <w:szCs w:val="24"/>
        </w:rPr>
        <w:t xml:space="preserve"> </w:t>
      </w:r>
      <w:r>
        <w:rPr>
          <w:sz w:val="23"/>
        </w:rPr>
        <w:t>AS</w:t>
      </w:r>
      <w:r>
        <w:rPr>
          <w:sz w:val="23"/>
          <w:szCs w:val="24"/>
        </w:rPr>
        <w:t xml:space="preserve"> </w:t>
      </w:r>
      <w:r>
        <w:rPr>
          <w:sz w:val="23"/>
        </w:rPr>
        <w:t>INDEPENDENT</w:t>
      </w:r>
      <w:r>
        <w:rPr>
          <w:sz w:val="23"/>
          <w:szCs w:val="24"/>
        </w:rPr>
        <w:t xml:space="preserve"> </w:t>
      </w:r>
      <w:r>
        <w:rPr>
          <w:sz w:val="23"/>
        </w:rPr>
        <w:t>CONTRACTOR</w:t>
      </w:r>
      <w:r>
        <w:rPr>
          <w:sz w:val="23"/>
          <w:szCs w:val="24"/>
        </w:rPr>
        <w:tab/>
      </w:r>
    </w:p>
    <w:p>
      <w:pPr>
        <w:pStyle w:val="TextBody"/>
        <w:jc w:val="both"/>
        <w:rPr>
          <w:sz w:val="20"/>
        </w:rPr>
      </w:pPr>
      <w:r>
        <w:rPr>
          <w:sz w:val="20"/>
        </w:rPr>
        <w:t>The Agent shall be considered an independent contractor and not an employee of the Company for any purpose.</w:t>
      </w:r>
    </w:p>
    <w:p>
      <w:pPr>
        <w:pStyle w:val="Heading1"/>
        <w:rPr>
          <w:sz w:val="23"/>
          <w:szCs w:val="24"/>
        </w:rPr>
      </w:pPr>
      <w:r>
        <w:rPr>
          <w:sz w:val="23"/>
        </w:rPr>
        <w:t>APPLICABLE</w:t>
      </w:r>
      <w:r>
        <w:rPr>
          <w:sz w:val="23"/>
          <w:szCs w:val="24"/>
        </w:rPr>
        <w:t xml:space="preserve"> </w:t>
      </w:r>
      <w:r>
        <w:rPr>
          <w:sz w:val="23"/>
        </w:rPr>
        <w:t>LAW AND JURISDICTION</w:t>
      </w:r>
      <w:r>
        <w:rPr>
          <w:sz w:val="23"/>
          <w:szCs w:val="24"/>
        </w:rPr>
        <w:tab/>
      </w:r>
    </w:p>
    <w:p>
      <w:pPr>
        <w:pStyle w:val="Normal"/>
        <w:widowControl/>
        <w:spacing w:before="0" w:after="120"/>
        <w:jc w:val="both"/>
        <w:rPr>
          <w:szCs w:val="23"/>
        </w:rPr>
      </w:pPr>
      <w:r>
        <w:rPr>
          <w:szCs w:val="23"/>
        </w:rPr>
        <w:t xml:space="preserve">This Agreement shall be governed by and construed in accordance with the law of the State of New Jersey without regard to principles of conflicts of law or choice of law.  Except as set forth in the Arbitration Provision of this Agreement, any disputes arising under this Agreement, including but not limited to actions to compel arbitration or to enforce an arbitral award, shall be subject to the exclusive jurisdiction of the United States District Court for the District of New Jersey. </w:t>
      </w:r>
    </w:p>
    <w:p>
      <w:pPr>
        <w:pStyle w:val="Heading1"/>
        <w:rPr>
          <w:sz w:val="23"/>
          <w:szCs w:val="24"/>
        </w:rPr>
      </w:pPr>
      <w:r>
        <w:rPr>
          <w:sz w:val="23"/>
        </w:rPr>
        <w:t>NOTICES</w:t>
      </w:r>
      <w:r>
        <w:rPr>
          <w:sz w:val="23"/>
          <w:szCs w:val="24"/>
        </w:rPr>
        <w:tab/>
      </w:r>
    </w:p>
    <w:p>
      <w:pPr>
        <w:pStyle w:val="Normal"/>
        <w:widowControl/>
        <w:jc w:val="both"/>
        <w:rPr/>
      </w:pPr>
      <w:r>
        <w:rPr/>
        <w:t>Any notice you or we give or are required to give under this Agreement shall be given in person, by electronic mail, by facsimile, by registered mail, or by certified mail, return receipt requested to the individual named at the address set forth below or to an individual and address as you or we may later designate in writing:</w:t>
      </w:r>
    </w:p>
    <w:p>
      <w:pPr>
        <w:pStyle w:val="Normal"/>
        <w:widowControl/>
        <w:jc w:val="both"/>
        <w:rPr>
          <w:b/>
          <w:b/>
          <w:bCs/>
          <w:szCs w:val="23"/>
        </w:rPr>
      </w:pPr>
      <w:r>
        <w:rPr>
          <w:b/>
          <w:bCs/>
          <w:szCs w:val="23"/>
        </w:rPr>
      </w:r>
    </w:p>
    <w:p>
      <w:pPr>
        <w:pStyle w:val="Normal"/>
        <w:widowControl/>
        <w:jc w:val="both"/>
        <w:rPr>
          <w:b/>
          <w:b/>
          <w:bCs/>
          <w:szCs w:val="23"/>
        </w:rPr>
      </w:pPr>
      <w:r>
        <w:rPr>
          <w:b/>
          <w:bCs/>
          <w:szCs w:val="23"/>
        </w:rPr>
        <w:t>If to the Company:</w:t>
      </w:r>
      <w:r>
        <w:rPr>
          <w:szCs w:val="23"/>
        </w:rPr>
        <w:tab/>
        <w:tab/>
        <w:tab/>
        <w:tab/>
        <w:tab/>
        <w:tab/>
      </w:r>
      <w:r>
        <w:rPr>
          <w:b/>
          <w:bCs/>
          <w:szCs w:val="23"/>
        </w:rPr>
        <w:t>If to the Agent:</w:t>
      </w:r>
    </w:p>
    <w:p>
      <w:pPr>
        <w:pStyle w:val="Normal"/>
        <w:widowControl/>
        <w:jc w:val="both"/>
        <w:rPr>
          <w:szCs w:val="23"/>
        </w:rPr>
      </w:pPr>
      <w:r>
        <w:rPr>
          <w:szCs w:val="23"/>
        </w:rPr>
        <w:t>Bascule Insurance Services, LLC</w:t>
        <w:tab/>
        <w:tab/>
        <w:tab/>
        <w:tab/>
      </w:r>
      <w:r>
        <w:rPr>
          <w:szCs w:val="23"/>
        </w:rPr>
        <w:t>Max Smith</w:t>
      </w:r>
    </w:p>
    <w:p>
      <w:pPr>
        <w:pStyle w:val="Normal"/>
        <w:widowControl/>
        <w:jc w:val="both"/>
        <w:rPr>
          <w:sz w:val="16"/>
          <w:szCs w:val="16"/>
        </w:rPr>
      </w:pPr>
      <w:r>
        <w:rPr>
          <w:szCs w:val="23"/>
        </w:rPr>
        <w:tab/>
        <w:tab/>
        <w:tab/>
        <w:tab/>
        <w:tab/>
        <w:tab/>
        <w:tab/>
        <w:tab/>
      </w:r>
    </w:p>
    <w:p>
      <w:pPr>
        <w:pStyle w:val="Normal"/>
        <w:widowControl/>
        <w:jc w:val="both"/>
        <w:rPr>
          <w:szCs w:val="23"/>
        </w:rPr>
      </w:pPr>
      <w:r>
        <w:rPr>
          <w:szCs w:val="23"/>
        </w:rPr>
        <w:t>P.O Box 2502</w:t>
        <w:tab/>
        <w:tab/>
        <w:tab/>
        <w:tab/>
        <w:tab/>
        <w:tab/>
        <w:tab/>
      </w:r>
      <w:r>
        <w:rPr>
          <w:szCs w:val="23"/>
        </w:rPr>
        <w:t>san-frensico 5564 Lane</w:t>
      </w:r>
    </w:p>
    <w:p>
      <w:pPr>
        <w:pStyle w:val="Normal"/>
        <w:widowControl/>
        <w:jc w:val="both"/>
        <w:rPr>
          <w:szCs w:val="23"/>
        </w:rPr>
      </w:pPr>
      <w:r>
        <w:rPr>
          <w:szCs w:val="23"/>
        </w:rPr>
        <w:t>Westfield, NJ 07204</w:t>
        <w:tab/>
        <w:tab/>
        <w:tab/>
        <w:tab/>
        <w:tab/>
        <w:tab/>
      </w:r>
      <w:r>
        <w:rPr>
          <w:szCs w:val="23"/>
        </w:rPr>
        <w:t>Califonia, Sans Frensico, 445598</w:t>
      </w:r>
    </w:p>
    <w:p>
      <w:pPr>
        <w:pStyle w:val="Normal"/>
        <w:widowControl/>
        <w:jc w:val="both"/>
        <w:rPr>
          <w:szCs w:val="23"/>
        </w:rPr>
      </w:pPr>
      <w:r>
        <w:rPr>
          <w:szCs w:val="23"/>
        </w:rPr>
      </w:r>
    </w:p>
    <w:p>
      <w:pPr>
        <w:pStyle w:val="Normal"/>
        <w:widowControl/>
        <w:jc w:val="both"/>
        <w:rPr>
          <w:szCs w:val="23"/>
        </w:rPr>
      </w:pPr>
      <w:r>
        <w:rPr>
          <w:szCs w:val="23"/>
        </w:rPr>
        <w:t>Attn: Sarah Moore</w:t>
      </w:r>
    </w:p>
    <w:p>
      <w:pPr>
        <w:pStyle w:val="Normal"/>
        <w:widowControl/>
        <w:jc w:val="both"/>
        <w:rPr>
          <w:szCs w:val="23"/>
        </w:rPr>
      </w:pPr>
      <w:r>
        <w:rPr>
          <w:szCs w:val="23"/>
        </w:rPr>
        <w:t>Phone: 646-921-1220</w:t>
      </w:r>
    </w:p>
    <w:p>
      <w:pPr>
        <w:pStyle w:val="Normal"/>
        <w:widowControl/>
        <w:jc w:val="both"/>
        <w:rPr>
          <w:szCs w:val="23"/>
        </w:rPr>
      </w:pPr>
      <w:r>
        <w:rPr>
          <w:szCs w:val="23"/>
        </w:rPr>
        <w:t>Email: sarah.moore@basculeuw.com</w:t>
      </w:r>
    </w:p>
    <w:p>
      <w:pPr>
        <w:pStyle w:val="Heading1"/>
        <w:rPr>
          <w:sz w:val="23"/>
        </w:rPr>
      </w:pPr>
      <w:r>
        <w:rPr>
          <w:sz w:val="23"/>
        </w:rPr>
      </w:r>
    </w:p>
    <w:p>
      <w:pPr>
        <w:pStyle w:val="Normal"/>
        <w:rPr/>
      </w:pPr>
      <w:r>
        <w:rPr/>
      </w:r>
    </w:p>
    <w:p>
      <w:pPr>
        <w:pStyle w:val="Normal"/>
        <w:rPr/>
      </w:pPr>
      <w:r>
        <w:rPr/>
      </w:r>
    </w:p>
    <w:p>
      <w:pPr>
        <w:pStyle w:val="Heading1"/>
        <w:rPr>
          <w:sz w:val="23"/>
          <w:szCs w:val="24"/>
        </w:rPr>
      </w:pPr>
      <w:r>
        <w:rPr>
          <w:sz w:val="23"/>
        </w:rPr>
        <w:t>ASSIGNMENT</w:t>
      </w:r>
      <w:r>
        <w:rPr>
          <w:sz w:val="23"/>
          <w:szCs w:val="24"/>
        </w:rPr>
        <w:tab/>
      </w:r>
    </w:p>
    <w:p>
      <w:pPr>
        <w:pStyle w:val="TextBody"/>
        <w:jc w:val="both"/>
        <w:rPr>
          <w:sz w:val="20"/>
        </w:rPr>
      </w:pPr>
      <w:r>
        <w:rPr>
          <w:sz w:val="20"/>
        </w:rPr>
        <w:t>You may not sell, assign, or transfer any of your obligations under this Agreement.</w:t>
      </w:r>
    </w:p>
    <w:p>
      <w:pPr>
        <w:pStyle w:val="TextBody"/>
        <w:jc w:val="both"/>
        <w:rPr>
          <w:sz w:val="22"/>
          <w:u w:val="single"/>
        </w:rPr>
      </w:pPr>
      <w:r>
        <w:rPr>
          <w:b/>
          <w:bCs/>
          <w:sz w:val="22"/>
          <w:u w:val="single"/>
        </w:rPr>
        <w:t xml:space="preserve">CHANGE OF OWNERSHIP OR MANAGEMENT </w:t>
      </w:r>
      <w:r>
        <w:rPr>
          <w:sz w:val="22"/>
          <w:u w:val="single"/>
        </w:rPr>
        <w:t>____________________</w:t>
        <w:tab/>
        <w:tab/>
        <w:tab/>
      </w:r>
    </w:p>
    <w:p>
      <w:pPr>
        <w:pStyle w:val="TextBody"/>
        <w:jc w:val="both"/>
        <w:rPr>
          <w:sz w:val="20"/>
        </w:rPr>
      </w:pPr>
      <w:r>
        <w:rPr>
          <w:sz w:val="20"/>
        </w:rPr>
        <w:t xml:space="preserve">You shall provide us with written notice of any merger or acquisition of your Agency with a non-affiliated party in which you are not the surviving entity as soon as reasonably practicable, but in no event later than sixty (60) days after the date of such merger or acquisition.  In the event of any such merger or acquisition, we reserve the right to immediately terminate this Agreement at our sole discretion.  </w:t>
      </w:r>
    </w:p>
    <w:p>
      <w:pPr>
        <w:pStyle w:val="Heading1"/>
        <w:rPr>
          <w:sz w:val="23"/>
          <w:szCs w:val="24"/>
        </w:rPr>
      </w:pPr>
      <w:r>
        <w:rPr>
          <w:sz w:val="23"/>
        </w:rPr>
        <w:t>EFFECTIVE DATE</w:t>
      </w:r>
      <w:r>
        <w:rPr>
          <w:sz w:val="23"/>
          <w:szCs w:val="24"/>
        </w:rPr>
        <w:tab/>
      </w:r>
    </w:p>
    <w:p>
      <w:pPr>
        <w:pStyle w:val="TextBody"/>
        <w:jc w:val="both"/>
        <w:rPr>
          <w:b/>
          <w:b/>
          <w:bCs/>
          <w:sz w:val="20"/>
          <w:u w:val="single"/>
        </w:rPr>
      </w:pPr>
      <w:r>
        <w:rPr>
          <w:sz w:val="20"/>
        </w:rPr>
        <w:t xml:space="preserve">This Agreement shall be effective as of </w:t>
      </w:r>
      <w:r>
        <w:rPr>
          <w:sz w:val="20"/>
          <w:u w:val="single"/>
        </w:rPr>
        <w:t>20-09-1999</w:t>
      </w:r>
      <w:r>
        <w:rPr>
          <w:sz w:val="20"/>
        </w:rPr>
        <w:t xml:space="preserve"> </w:t>
      </w:r>
    </w:p>
    <w:p>
      <w:pPr>
        <w:pStyle w:val="Heading1"/>
        <w:rPr>
          <w:sz w:val="23"/>
          <w:szCs w:val="24"/>
        </w:rPr>
      </w:pPr>
      <w:r>
        <w:rPr>
          <w:sz w:val="23"/>
        </w:rPr>
        <w:t>SEVERABILITY</w:t>
      </w:r>
      <w:r>
        <w:rPr>
          <w:sz w:val="23"/>
          <w:szCs w:val="24"/>
        </w:rPr>
        <w:tab/>
      </w:r>
    </w:p>
    <w:p>
      <w:pPr>
        <w:pStyle w:val="TextBody"/>
        <w:jc w:val="both"/>
        <w:rPr>
          <w:sz w:val="20"/>
        </w:rPr>
      </w:pPr>
      <w:r>
        <w:rPr>
          <w:sz w:val="20"/>
        </w:rPr>
        <w:t>If any provision of this Agreement is determined to be void or unenforceable under applicable law, rule, or regulation, all other provisions of this Agreement shall still be valid and enforceable.</w:t>
      </w:r>
    </w:p>
    <w:p>
      <w:pPr>
        <w:pStyle w:val="Heading1"/>
        <w:rPr>
          <w:sz w:val="23"/>
        </w:rPr>
      </w:pPr>
      <w:r>
        <w:rPr>
          <w:sz w:val="23"/>
        </w:rPr>
        <w:t>CONFORMITY TO LAW</w:t>
        <w:tab/>
      </w:r>
    </w:p>
    <w:p>
      <w:pPr>
        <w:pStyle w:val="TextBody"/>
        <w:jc w:val="both"/>
        <w:rPr>
          <w:sz w:val="20"/>
        </w:rPr>
      </w:pPr>
      <w:r>
        <w:rPr>
          <w:sz w:val="20"/>
        </w:rPr>
        <w:t xml:space="preserve">Any portion of this Agreement that is found to be in contravention of applicable statute or regulation shall, without further action by the parties, be deemed modified to the extent necessary to conform to such statute or regulation. </w:t>
      </w:r>
    </w:p>
    <w:p>
      <w:pPr>
        <w:pStyle w:val="TextBody"/>
        <w:jc w:val="both"/>
        <w:rPr>
          <w:sz w:val="20"/>
        </w:rPr>
      </w:pPr>
      <w:r>
        <w:rPr>
          <w:b/>
          <w:bCs/>
          <w:u w:val="single"/>
        </w:rPr>
        <w:t>SECTION HEADINGS</w:t>
        <w:tab/>
        <w:tab/>
        <w:tab/>
        <w:tab/>
        <w:tab/>
        <w:tab/>
        <w:tab/>
        <w:tab/>
        <w:tab/>
        <w:tab/>
      </w:r>
    </w:p>
    <w:p>
      <w:pPr>
        <w:pStyle w:val="TextBody"/>
        <w:spacing w:before="0" w:after="0"/>
        <w:jc w:val="both"/>
        <w:rPr>
          <w:sz w:val="20"/>
          <w:szCs w:val="20"/>
        </w:rPr>
      </w:pPr>
      <w:r>
        <w:rPr>
          <w:sz w:val="20"/>
          <w:szCs w:val="20"/>
        </w:rPr>
        <w:t>The section headings used in this Agreement are for reference and convenience only and shall not affect the interpretation of this Agreement.</w:t>
      </w:r>
    </w:p>
    <w:p>
      <w:pPr>
        <w:pStyle w:val="TextBody"/>
        <w:spacing w:before="0" w:after="0"/>
        <w:jc w:val="both"/>
        <w:rPr>
          <w:sz w:val="20"/>
          <w:szCs w:val="20"/>
        </w:rPr>
      </w:pPr>
      <w:r>
        <w:rPr>
          <w:sz w:val="20"/>
          <w:szCs w:val="20"/>
        </w:rPr>
      </w:r>
    </w:p>
    <w:p>
      <w:pPr>
        <w:pStyle w:val="TextBody"/>
        <w:spacing w:before="0" w:after="0"/>
        <w:jc w:val="center"/>
        <w:rPr>
          <w:sz w:val="20"/>
          <w:szCs w:val="20"/>
        </w:rPr>
      </w:pPr>
      <w:r>
        <w:rPr>
          <w:i/>
          <w:sz w:val="20"/>
          <w:szCs w:val="20"/>
        </w:rPr>
        <w:t>The remainder of this page is intentionally left blank.</w:t>
      </w:r>
      <w:r>
        <w:br w:type="page"/>
      </w:r>
    </w:p>
    <w:p>
      <w:pPr>
        <w:pStyle w:val="TextBody"/>
        <w:spacing w:before="0" w:after="0"/>
        <w:jc w:val="both"/>
        <w:rPr>
          <w:szCs w:val="24"/>
        </w:rPr>
      </w:pPr>
      <w:r>
        <w:rPr>
          <w:b/>
          <w:bCs/>
          <w:u w:val="single"/>
        </w:rPr>
        <w:t xml:space="preserve">                                                                                                                                                 </w:t>
      </w:r>
      <w:r>
        <w:rPr>
          <w:szCs w:val="24"/>
        </w:rPr>
        <w:tab/>
      </w:r>
    </w:p>
    <w:p>
      <w:pPr>
        <w:pStyle w:val="TextBody"/>
        <w:jc w:val="both"/>
        <w:rPr>
          <w:sz w:val="20"/>
        </w:rPr>
      </w:pPr>
      <w:r>
        <w:rPr>
          <w:sz w:val="20"/>
        </w:rPr>
        <w:t xml:space="preserve">Signed by us, the Company, and accepted by you, the Agent, on the date shown below. </w:t>
      </w:r>
    </w:p>
    <w:p>
      <w:pPr>
        <w:pStyle w:val="Normal"/>
        <w:widowControl/>
        <w:spacing w:lineRule="exact" w:line="259"/>
        <w:jc w:val="both"/>
        <w:rPr/>
      </w:pPr>
      <w:r>
        <w:rPr>
          <w:b/>
          <w:szCs w:val="23"/>
        </w:rPr>
        <w:t>Max</w:t>
      </w:r>
    </w:p>
    <w:p>
      <w:pPr>
        <w:pStyle w:val="Normal"/>
        <w:widowControl/>
        <w:jc w:val="both"/>
        <w:rPr>
          <w:szCs w:val="23"/>
        </w:rPr>
      </w:pPr>
      <w:r>
        <w:rPr>
          <w:szCs w:val="23"/>
        </w:rPr>
        <w:t xml:space="preserve">_______________________________ </w:t>
        <w:tab/>
        <w:tab/>
        <w:tab/>
      </w:r>
    </w:p>
    <w:p>
      <w:pPr>
        <w:pStyle w:val="Normal"/>
        <w:widowControl/>
        <w:jc w:val="both"/>
        <w:rPr>
          <w:szCs w:val="23"/>
        </w:rPr>
      </w:pPr>
      <w:r>
        <w:rPr>
          <w:szCs w:val="23"/>
        </w:rPr>
        <w:t xml:space="preserve">Agent </w:t>
        <w:tab/>
        <w:tab/>
        <w:tab/>
        <w:tab/>
        <w:tab/>
        <w:tab/>
        <w:tab/>
        <w:tab/>
      </w:r>
    </w:p>
    <w:p>
      <w:pPr>
        <w:pStyle w:val="Normal"/>
        <w:widowControl/>
        <w:spacing w:lineRule="exact" w:line="259"/>
        <w:jc w:val="both"/>
        <w:rPr>
          <w:szCs w:val="23"/>
        </w:rPr>
      </w:pPr>
      <w:r>
        <w:rPr>
          <w:szCs w:val="23"/>
        </w:rPr>
      </w:r>
    </w:p>
    <w:p>
      <w:pPr>
        <w:pStyle w:val="Normal"/>
        <w:widowControl/>
        <w:spacing w:lineRule="exact" w:line="259"/>
        <w:jc w:val="both"/>
        <w:rPr>
          <w:szCs w:val="23"/>
        </w:rPr>
      </w:pPr>
      <w:r>
        <w:rPr>
          <w:szCs w:val="23"/>
        </w:rPr>
        <w:t>_______________________________</w:t>
      </w:r>
    </w:p>
    <w:p>
      <w:pPr>
        <w:pStyle w:val="Normal"/>
        <w:widowControl/>
        <w:spacing w:lineRule="exact" w:line="259"/>
        <w:jc w:val="both"/>
        <w:rPr>
          <w:szCs w:val="23"/>
        </w:rPr>
      </w:pPr>
      <w:r>
        <w:rPr>
          <w:szCs w:val="23"/>
        </w:rPr>
        <w:t>Signature</w:t>
      </w:r>
    </w:p>
    <w:p>
      <w:pPr>
        <w:pStyle w:val="Normal"/>
        <w:widowControl/>
        <w:spacing w:lineRule="exact" w:line="259"/>
        <w:jc w:val="both"/>
        <w:rPr>
          <w:szCs w:val="23"/>
        </w:rPr>
      </w:pPr>
      <w:r>
        <w:rPr>
          <w:szCs w:val="23"/>
        </w:rPr>
      </w:r>
    </w:p>
    <w:p>
      <w:pPr>
        <w:pStyle w:val="Normal"/>
        <w:widowControl/>
        <w:spacing w:lineRule="exact" w:line="259"/>
        <w:jc w:val="both"/>
        <w:rPr>
          <w:szCs w:val="23"/>
        </w:rPr>
      </w:pPr>
      <w:r>
        <w:rPr>
          <w:szCs w:val="23"/>
        </w:rPr>
        <w:t>_______________________________</w:t>
        <w:tab/>
        <w:tab/>
        <w:tab/>
      </w:r>
    </w:p>
    <w:p>
      <w:pPr>
        <w:pStyle w:val="Normal"/>
        <w:widowControl/>
        <w:spacing w:lineRule="exact" w:line="259"/>
        <w:jc w:val="both"/>
        <w:rPr>
          <w:szCs w:val="23"/>
        </w:rPr>
      </w:pPr>
      <w:r>
        <w:rPr>
          <w:szCs w:val="23"/>
        </w:rPr>
        <w:t>Typed Name and Title:</w:t>
        <w:tab/>
        <w:tab/>
        <w:tab/>
        <w:tab/>
        <w:tab/>
        <w:tab/>
      </w:r>
    </w:p>
    <w:p>
      <w:pPr>
        <w:pStyle w:val="Header"/>
        <w:widowControl/>
        <w:tabs>
          <w:tab w:val="clear" w:pos="4320"/>
          <w:tab w:val="clear" w:pos="8640"/>
        </w:tabs>
        <w:spacing w:lineRule="exact" w:line="259"/>
        <w:jc w:val="both"/>
        <w:rPr/>
      </w:pPr>
      <w:r>
        <w:rPr/>
      </w:r>
    </w:p>
    <w:p>
      <w:pPr>
        <w:pStyle w:val="Normal"/>
        <w:widowControl/>
        <w:spacing w:lineRule="exact" w:line="259"/>
        <w:jc w:val="both"/>
        <w:rPr>
          <w:szCs w:val="23"/>
        </w:rPr>
      </w:pPr>
      <w:r>
        <w:rPr>
          <w:szCs w:val="23"/>
        </w:rPr>
        <w:t>_______________________________</w:t>
      </w:r>
    </w:p>
    <w:p>
      <w:pPr>
        <w:pStyle w:val="Normal"/>
        <w:widowControl/>
        <w:spacing w:lineRule="exact" w:line="259"/>
        <w:jc w:val="both"/>
        <w:rPr>
          <w:szCs w:val="23"/>
        </w:rPr>
      </w:pPr>
      <w:r>
        <w:rPr>
          <w:szCs w:val="23"/>
        </w:rPr>
        <w:t xml:space="preserve">Date: </w:t>
      </w:r>
    </w:p>
    <w:p>
      <w:pPr>
        <w:pStyle w:val="Header"/>
        <w:widowControl/>
        <w:tabs>
          <w:tab w:val="clear" w:pos="4320"/>
          <w:tab w:val="clear" w:pos="8640"/>
        </w:tabs>
        <w:spacing w:lineRule="exact" w:line="259"/>
        <w:jc w:val="both"/>
        <w:rPr/>
      </w:pPr>
      <w:r>
        <w:rPr/>
      </w:r>
    </w:p>
    <w:p>
      <w:pPr>
        <w:pStyle w:val="Normal"/>
        <w:widowControl/>
        <w:spacing w:lineRule="exact" w:line="259"/>
        <w:jc w:val="both"/>
        <w:rPr>
          <w:szCs w:val="23"/>
        </w:rPr>
      </w:pPr>
      <w:r>
        <w:rPr>
          <w:szCs w:val="23"/>
        </w:rPr>
        <w:t xml:space="preserve"> </w:t>
      </w:r>
    </w:p>
    <w:p>
      <w:pPr>
        <w:pStyle w:val="Normal"/>
        <w:widowControl/>
        <w:spacing w:lineRule="exact" w:line="278"/>
        <w:jc w:val="both"/>
        <w:rPr>
          <w:b/>
          <w:b/>
          <w:bCs/>
          <w:szCs w:val="23"/>
        </w:rPr>
      </w:pPr>
      <w:r>
        <w:rPr>
          <w:b/>
          <w:bCs/>
          <w:szCs w:val="23"/>
        </w:rPr>
        <w:t>Bascule Insurance Services, LLC</w:t>
      </w:r>
    </w:p>
    <w:p>
      <w:pPr>
        <w:pStyle w:val="Normal"/>
        <w:widowControl/>
        <w:spacing w:lineRule="exact" w:line="278"/>
        <w:jc w:val="both"/>
        <w:rPr/>
      </w:pPr>
      <w:r>
        <w:rPr/>
      </w:r>
    </w:p>
    <w:p>
      <w:pPr>
        <w:pStyle w:val="Normal"/>
        <w:widowControl/>
        <w:spacing w:lineRule="exact" w:line="259"/>
        <w:jc w:val="both"/>
        <w:rPr>
          <w:szCs w:val="23"/>
        </w:rPr>
      </w:pPr>
      <w:r>
        <w:rPr>
          <w:szCs w:val="23"/>
        </w:rPr>
        <w:t>_______________________________</w:t>
      </w:r>
    </w:p>
    <w:p>
      <w:pPr>
        <w:pStyle w:val="Normal"/>
        <w:widowControl/>
        <w:spacing w:lineRule="exact" w:line="259"/>
        <w:jc w:val="both"/>
        <w:rPr>
          <w:szCs w:val="23"/>
        </w:rPr>
      </w:pPr>
      <w:r>
        <w:rPr>
          <w:szCs w:val="23"/>
        </w:rPr>
        <w:t>Signature</w:t>
      </w:r>
    </w:p>
    <w:p>
      <w:pPr>
        <w:pStyle w:val="Normal"/>
        <w:widowControl/>
        <w:spacing w:lineRule="exact" w:line="259"/>
        <w:jc w:val="both"/>
        <w:rPr>
          <w:szCs w:val="23"/>
        </w:rPr>
      </w:pPr>
      <w:r>
        <w:rPr>
          <w:szCs w:val="23"/>
        </w:rPr>
      </w:r>
    </w:p>
    <w:p>
      <w:pPr>
        <w:pStyle w:val="Normal"/>
        <w:widowControl/>
        <w:spacing w:lineRule="exact" w:line="259"/>
        <w:jc w:val="both"/>
        <w:rPr>
          <w:szCs w:val="23"/>
        </w:rPr>
      </w:pPr>
      <w:r>
        <w:rPr>
          <w:szCs w:val="23"/>
        </w:rPr>
        <w:t>_______________________________</w:t>
      </w:r>
    </w:p>
    <w:p>
      <w:pPr>
        <w:pStyle w:val="Normal"/>
        <w:widowControl/>
        <w:spacing w:lineRule="exact" w:line="259"/>
        <w:jc w:val="both"/>
        <w:rPr>
          <w:szCs w:val="23"/>
        </w:rPr>
      </w:pPr>
      <w:r>
        <w:rPr>
          <w:szCs w:val="23"/>
        </w:rPr>
        <w:t xml:space="preserve">Typed Name and Title: </w:t>
      </w:r>
    </w:p>
    <w:p>
      <w:pPr>
        <w:pStyle w:val="Header"/>
        <w:widowControl/>
        <w:tabs>
          <w:tab w:val="clear" w:pos="4320"/>
          <w:tab w:val="clear" w:pos="8640"/>
          <w:tab w:val="left" w:pos="5400" w:leader="none"/>
        </w:tabs>
        <w:spacing w:lineRule="exact" w:line="259"/>
        <w:jc w:val="both"/>
        <w:rPr/>
      </w:pPr>
      <w:r>
        <w:rPr/>
        <w:tab/>
      </w:r>
    </w:p>
    <w:p>
      <w:pPr>
        <w:pStyle w:val="Normal"/>
        <w:widowControl/>
        <w:spacing w:lineRule="exact" w:line="259"/>
        <w:jc w:val="both"/>
        <w:rPr>
          <w:szCs w:val="23"/>
        </w:rPr>
      </w:pPr>
      <w:r>
        <w:rPr>
          <w:szCs w:val="23"/>
        </w:rPr>
        <w:t>_______________________________</w:t>
      </w:r>
    </w:p>
    <w:p>
      <w:pPr>
        <w:pStyle w:val="Normal"/>
        <w:widowControl/>
        <w:spacing w:lineRule="exact" w:line="259"/>
        <w:jc w:val="both"/>
        <w:rPr>
          <w:szCs w:val="23"/>
        </w:rPr>
      </w:pPr>
      <w:r>
        <w:rPr>
          <w:szCs w:val="23"/>
        </w:rPr>
        <w:t xml:space="preserve">Date: </w:t>
      </w:r>
    </w:p>
    <w:p>
      <w:pPr>
        <w:sectPr>
          <w:headerReference w:type="default" r:id="rId4"/>
          <w:footerReference w:type="default" r:id="rId5"/>
          <w:type w:val="nextPage"/>
          <w:pgSz w:w="12326" w:h="15840"/>
          <w:pgMar w:left="1440" w:right="1339" w:header="720" w:top="777" w:footer="720" w:bottom="1080" w:gutter="0"/>
          <w:pgNumType w:fmt="decimal"/>
          <w:formProt w:val="false"/>
          <w:textDirection w:val="lrTb"/>
          <w:docGrid w:type="default" w:linePitch="100" w:charSpace="8192"/>
        </w:sectPr>
        <w:pStyle w:val="Header"/>
        <w:widowControl/>
        <w:tabs>
          <w:tab w:val="clear" w:pos="4320"/>
          <w:tab w:val="clear" w:pos="8640"/>
        </w:tabs>
        <w:spacing w:lineRule="exact" w:line="259"/>
        <w:jc w:val="both"/>
        <w:rPr/>
      </w:pPr>
      <w:r>
        <w:rPr/>
      </w:r>
    </w:p>
    <w:p>
      <w:pPr>
        <w:pStyle w:val="Schedule"/>
        <w:rPr>
          <w:sz w:val="28"/>
        </w:rPr>
      </w:pPr>
      <w:r>
        <w:rPr>
          <w:sz w:val="28"/>
        </w:rPr>
        <w:t>Exhibit A - Classes of Business</w:t>
      </w:r>
    </w:p>
    <w:p>
      <w:pPr>
        <w:pStyle w:val="Schedule"/>
        <w:rPr>
          <w:szCs w:val="23"/>
        </w:rPr>
      </w:pPr>
      <w:r>
        <w:rPr>
          <w:sz w:val="28"/>
        </w:rPr>
        <w:t xml:space="preserve">Effective:  </w:t>
      </w:r>
      <w:r>
        <w:rPr>
          <w:sz w:val="28"/>
          <w:u w:val="single"/>
        </w:rPr>
        <w:t>20-09-1999</w:t>
      </w:r>
    </w:p>
    <w:p>
      <w:pPr>
        <w:pStyle w:val="TextBody"/>
        <w:jc w:val="both"/>
        <w:rPr>
          <w:sz w:val="20"/>
        </w:rPr>
      </w:pPr>
      <w:r>
        <w:rPr>
          <w:sz w:val="20"/>
        </w:rPr>
        <w:t xml:space="preserve">You may receive applications for the classes of business shown below, and submit them to The Company for approval. Your commissions will be as indicated or as individually negotiated. </w:t>
      </w:r>
    </w:p>
    <w:tbl>
      <w:tblPr>
        <w:tblW w:w="9374" w:type="dxa"/>
        <w:jc w:val="left"/>
        <w:tblInd w:w="0" w:type="dxa"/>
        <w:tblCellMar>
          <w:top w:w="0" w:type="dxa"/>
          <w:left w:w="108" w:type="dxa"/>
          <w:bottom w:w="0" w:type="dxa"/>
          <w:right w:w="108" w:type="dxa"/>
        </w:tblCellMar>
        <w:tblLook w:val="0000" w:noHBand="0" w:noVBand="0" w:firstColumn="0" w:lastRow="0" w:lastColumn="0" w:firstRow="0"/>
      </w:tblPr>
      <w:tblGrid>
        <w:gridCol w:w="4968"/>
        <w:gridCol w:w="4405"/>
      </w:tblGrid>
      <w:tr>
        <w:trPr/>
        <w:tc>
          <w:tcPr>
            <w:tcW w:w="4968" w:type="dxa"/>
            <w:tcBorders>
              <w:top w:val="single" w:sz="4" w:space="0" w:color="000000"/>
              <w:left w:val="single" w:sz="4" w:space="0" w:color="000000"/>
              <w:bottom w:val="single" w:sz="4" w:space="0" w:color="000000"/>
              <w:right w:val="single" w:sz="4" w:space="0" w:color="000000"/>
            </w:tcBorders>
          </w:tcPr>
          <w:p>
            <w:pPr>
              <w:pStyle w:val="Header"/>
              <w:widowControl/>
              <w:tabs>
                <w:tab w:val="clear" w:pos="4320"/>
                <w:tab w:val="clear" w:pos="8640"/>
              </w:tabs>
              <w:spacing w:lineRule="exact" w:line="240" w:before="40" w:after="160"/>
              <w:jc w:val="center"/>
              <w:rPr>
                <w:b/>
                <w:b/>
                <w:bCs/>
                <w:szCs w:val="23"/>
              </w:rPr>
            </w:pPr>
            <w:r>
              <w:rPr>
                <w:b/>
                <w:bCs/>
                <w:szCs w:val="23"/>
              </w:rPr>
              <w:t xml:space="preserve">Class of Business </w:t>
            </w:r>
          </w:p>
        </w:tc>
        <w:tc>
          <w:tcPr>
            <w:tcW w:w="4405" w:type="dxa"/>
            <w:tcBorders>
              <w:top w:val="single" w:sz="4" w:space="0" w:color="000000"/>
              <w:left w:val="single" w:sz="4" w:space="0" w:color="000000"/>
              <w:bottom w:val="single" w:sz="4" w:space="0" w:color="000000"/>
              <w:right w:val="single" w:sz="4" w:space="0" w:color="000000"/>
            </w:tcBorders>
          </w:tcPr>
          <w:p>
            <w:pPr>
              <w:pStyle w:val="Header"/>
              <w:widowControl/>
              <w:tabs>
                <w:tab w:val="clear" w:pos="4320"/>
                <w:tab w:val="clear" w:pos="8640"/>
              </w:tabs>
              <w:spacing w:lineRule="exact" w:line="240" w:before="40" w:after="160"/>
              <w:jc w:val="center"/>
              <w:rPr>
                <w:b/>
                <w:b/>
                <w:bCs/>
                <w:szCs w:val="23"/>
              </w:rPr>
            </w:pPr>
            <w:r>
              <w:rPr>
                <w:b/>
                <w:bCs/>
                <w:szCs w:val="23"/>
              </w:rPr>
              <w:t>Rate of Commission</w:t>
            </w:r>
          </w:p>
        </w:tc>
      </w:tr>
      <w:tr>
        <w:trPr>
          <w:trHeight w:val="350" w:hRule="atLeast"/>
        </w:trPr>
        <w:tc>
          <w:tcPr>
            <w:tcW w:w="4968" w:type="dxa"/>
            <w:tcBorders>
              <w:top w:val="single" w:sz="4" w:space="0" w:color="000000"/>
              <w:left w:val="single" w:sz="4" w:space="0" w:color="000000"/>
              <w:bottom w:val="single" w:sz="4" w:space="0" w:color="000000"/>
              <w:right w:val="single" w:sz="4" w:space="0" w:color="000000"/>
            </w:tcBorders>
          </w:tcPr>
          <w:p>
            <w:pPr>
              <w:pStyle w:val="Header"/>
              <w:widowControl/>
              <w:tabs>
                <w:tab w:val="clear" w:pos="4320"/>
                <w:tab w:val="clear" w:pos="8640"/>
              </w:tabs>
              <w:spacing w:lineRule="exact" w:line="240" w:before="40" w:after="160"/>
              <w:jc w:val="both"/>
              <w:rPr>
                <w:szCs w:val="23"/>
              </w:rPr>
            </w:pPr>
            <w:r>
              <w:rPr>
                <w:szCs w:val="23"/>
              </w:rPr>
              <w:t>Equine Insurance</w:t>
            </w:r>
          </w:p>
        </w:tc>
        <w:tc>
          <w:tcPr>
            <w:tcW w:w="4405" w:type="dxa"/>
            <w:tcBorders>
              <w:top w:val="single" w:sz="4" w:space="0" w:color="000000"/>
              <w:left w:val="single" w:sz="4" w:space="0" w:color="000000"/>
              <w:bottom w:val="single" w:sz="4" w:space="0" w:color="000000"/>
              <w:right w:val="single" w:sz="4" w:space="0" w:color="000000"/>
            </w:tcBorders>
          </w:tcPr>
          <w:p>
            <w:pPr>
              <w:pStyle w:val="Header"/>
              <w:widowControl/>
              <w:tabs>
                <w:tab w:val="clear" w:pos="4320"/>
                <w:tab w:val="clear" w:pos="8640"/>
              </w:tabs>
              <w:spacing w:lineRule="exact" w:line="240" w:before="40" w:after="160"/>
              <w:jc w:val="both"/>
              <w:rPr>
                <w:b/>
                <w:b/>
                <w:bCs/>
                <w:szCs w:val="23"/>
              </w:rPr>
            </w:pPr>
            <w:r>
              <w:t>As negotiated but not to exceed __20_%</w:t>
            </w:r>
          </w:p>
        </w:tc>
      </w:tr>
    </w:tbl>
    <w:p>
      <w:pPr>
        <w:pStyle w:val="Header"/>
        <w:widowControl/>
        <w:tabs>
          <w:tab w:val="clear" w:pos="4320"/>
          <w:tab w:val="clear" w:pos="8640"/>
        </w:tabs>
        <w:spacing w:lineRule="exact" w:line="259"/>
        <w:jc w:val="both"/>
        <w:rPr>
          <w:sz w:val="23"/>
          <w:szCs w:val="23"/>
        </w:rPr>
      </w:pPr>
      <w:r>
        <w:rPr>
          <w:szCs w:val="23"/>
        </w:rPr>
        <w:t>____________________________________________________________________________________</w:t>
      </w:r>
    </w:p>
    <w:p>
      <w:pPr>
        <w:pStyle w:val="Normal"/>
        <w:widowControl/>
        <w:spacing w:lineRule="exact" w:line="307"/>
        <w:ind w:right="608" w:hanging="0"/>
        <w:jc w:val="both"/>
        <w:rPr>
          <w:sz w:val="23"/>
          <w:szCs w:val="23"/>
        </w:rPr>
      </w:pPr>
      <w:r>
        <w:rPr>
          <w:szCs w:val="23"/>
        </w:rPr>
        <w:t xml:space="preserve">Signed by us, the Company, and accepted by you, the Agent, on the date shown below. </w:t>
      </w:r>
    </w:p>
    <w:p>
      <w:pPr>
        <w:pStyle w:val="Normal"/>
        <w:widowControl/>
        <w:spacing w:lineRule="exact" w:line="259"/>
        <w:jc w:val="both"/>
        <w:rPr>
          <w:szCs w:val="23"/>
        </w:rPr>
      </w:pPr>
      <w:r>
        <w:rPr>
          <w:szCs w:val="23"/>
        </w:rPr>
      </w:r>
    </w:p>
    <w:p>
      <w:pPr>
        <w:pStyle w:val="Normal"/>
        <w:widowControl/>
        <w:spacing w:lineRule="exact" w:line="278"/>
        <w:ind w:left="5040" w:hanging="0"/>
        <w:rPr>
          <w:b/>
          <w:b/>
          <w:bCs/>
          <w:szCs w:val="23"/>
        </w:rPr>
      </w:pPr>
      <w:r>
        <w:rPr>
          <w:b/>
          <w:bCs/>
          <w:szCs w:val="23"/>
        </w:rPr>
        <w:t>Bascule Insurance Services, LLC</w:t>
      </w:r>
    </w:p>
    <w:p>
      <w:pPr>
        <w:pStyle w:val="Normal"/>
        <w:widowControl/>
        <w:spacing w:lineRule="exact" w:line="259"/>
        <w:jc w:val="both"/>
        <w:rPr/>
      </w:pPr>
      <w:r>
        <w:rPr>
          <w:b/>
          <w:szCs w:val="23"/>
        </w:rPr>
        <w:t>Max</w:t>
      </w:r>
    </w:p>
    <w:p>
      <w:pPr>
        <w:pStyle w:val="Normal"/>
        <w:widowControl/>
        <w:spacing w:lineRule="exact" w:line="259"/>
        <w:jc w:val="both"/>
        <w:rPr>
          <w:szCs w:val="23"/>
        </w:rPr>
      </w:pPr>
      <w:r>
        <w:rPr>
          <w:szCs w:val="23"/>
        </w:rPr>
        <w:t xml:space="preserve">_______________________________ </w:t>
        <w:tab/>
        <w:tab/>
        <w:tab/>
      </w:r>
    </w:p>
    <w:p>
      <w:pPr>
        <w:pStyle w:val="Normal"/>
        <w:widowControl/>
        <w:spacing w:lineRule="exact" w:line="259"/>
        <w:jc w:val="both"/>
        <w:rPr>
          <w:szCs w:val="23"/>
        </w:rPr>
      </w:pPr>
      <w:r>
        <w:rPr>
          <w:szCs w:val="23"/>
        </w:rPr>
        <w:t>Agent</w:t>
      </w:r>
    </w:p>
    <w:p>
      <w:pPr>
        <w:pStyle w:val="Normal"/>
        <w:widowControl/>
        <w:spacing w:lineRule="exact" w:line="259"/>
        <w:jc w:val="both"/>
        <w:rPr>
          <w:szCs w:val="23"/>
        </w:rPr>
      </w:pPr>
      <w:r>
        <w:rPr>
          <w:szCs w:val="23"/>
        </w:rPr>
      </w:r>
    </w:p>
    <w:p>
      <w:pPr>
        <w:pStyle w:val="Normal"/>
        <w:widowControl/>
        <w:spacing w:lineRule="exact" w:line="259"/>
        <w:jc w:val="both"/>
        <w:rPr>
          <w:szCs w:val="23"/>
        </w:rPr>
      </w:pPr>
      <w:r>
        <w:rPr>
          <w:szCs w:val="23"/>
        </w:rPr>
      </w:r>
    </w:p>
    <w:p>
      <w:pPr>
        <w:pStyle w:val="Normal"/>
        <w:widowControl/>
        <w:spacing w:lineRule="exact" w:line="259"/>
        <w:jc w:val="both"/>
        <w:rPr>
          <w:szCs w:val="23"/>
        </w:rPr>
      </w:pPr>
      <w:r>
        <w:rPr>
          <w:szCs w:val="23"/>
        </w:rPr>
        <w:t>_______________________________</w:t>
        <w:tab/>
        <w:tab/>
        <w:tab/>
        <w:t>_______________________________</w:t>
      </w:r>
    </w:p>
    <w:p>
      <w:pPr>
        <w:pStyle w:val="Normal"/>
        <w:widowControl/>
        <w:spacing w:lineRule="exact" w:line="259"/>
        <w:jc w:val="both"/>
        <w:rPr>
          <w:szCs w:val="23"/>
        </w:rPr>
      </w:pPr>
      <w:r>
        <w:rPr>
          <w:szCs w:val="23"/>
        </w:rPr>
        <w:t>Signature</w:t>
        <w:tab/>
        <w:tab/>
        <w:tab/>
        <w:tab/>
        <w:tab/>
        <w:tab/>
        <w:t>Signature</w:t>
      </w:r>
    </w:p>
    <w:p>
      <w:pPr>
        <w:pStyle w:val="Normal"/>
        <w:widowControl/>
        <w:spacing w:lineRule="exact" w:line="259"/>
        <w:jc w:val="both"/>
        <w:rPr>
          <w:szCs w:val="23"/>
        </w:rPr>
      </w:pPr>
      <w:r>
        <w:rPr>
          <w:szCs w:val="23"/>
        </w:rPr>
      </w:r>
    </w:p>
    <w:p>
      <w:pPr>
        <w:pStyle w:val="Normal"/>
        <w:widowControl/>
        <w:spacing w:lineRule="exact" w:line="259"/>
        <w:jc w:val="both"/>
        <w:rPr>
          <w:szCs w:val="23"/>
        </w:rPr>
      </w:pPr>
      <w:r>
        <w:rPr>
          <w:szCs w:val="23"/>
        </w:rPr>
      </w:r>
    </w:p>
    <w:p>
      <w:pPr>
        <w:pStyle w:val="Normal"/>
        <w:widowControl/>
        <w:spacing w:lineRule="exact" w:line="259"/>
        <w:jc w:val="both"/>
        <w:rPr>
          <w:szCs w:val="23"/>
        </w:rPr>
      </w:pPr>
      <w:r>
        <w:rPr>
          <w:szCs w:val="23"/>
        </w:rPr>
        <w:t>_______________________________</w:t>
        <w:tab/>
        <w:tab/>
        <w:tab/>
        <w:t>_______________________________</w:t>
      </w:r>
    </w:p>
    <w:p>
      <w:pPr>
        <w:pStyle w:val="Normal"/>
        <w:widowControl/>
        <w:spacing w:lineRule="exact" w:line="259"/>
        <w:jc w:val="both"/>
        <w:rPr>
          <w:szCs w:val="23"/>
        </w:rPr>
      </w:pPr>
      <w:r>
        <w:rPr>
          <w:szCs w:val="23"/>
        </w:rPr>
        <w:t>Typed Name and Title:</w:t>
        <w:tab/>
        <w:tab/>
        <w:tab/>
        <w:tab/>
        <w:tab/>
        <w:t xml:space="preserve">Typed Name and Title: </w:t>
      </w:r>
    </w:p>
    <w:p>
      <w:pPr>
        <w:pStyle w:val="Header"/>
        <w:widowControl/>
        <w:tabs>
          <w:tab w:val="clear" w:pos="4320"/>
          <w:tab w:val="clear" w:pos="8640"/>
        </w:tabs>
        <w:spacing w:lineRule="exact" w:line="259"/>
        <w:jc w:val="both"/>
        <w:rPr>
          <w:sz w:val="23"/>
          <w:szCs w:val="23"/>
        </w:rPr>
      </w:pPr>
      <w:r>
        <w:rPr>
          <w:sz w:val="23"/>
          <w:szCs w:val="23"/>
        </w:rPr>
      </w:r>
    </w:p>
    <w:p>
      <w:pPr>
        <w:pStyle w:val="Header"/>
        <w:widowControl/>
        <w:tabs>
          <w:tab w:val="clear" w:pos="4320"/>
          <w:tab w:val="clear" w:pos="8640"/>
        </w:tabs>
        <w:spacing w:lineRule="exact" w:line="259"/>
        <w:jc w:val="both"/>
        <w:rPr>
          <w:sz w:val="23"/>
          <w:szCs w:val="23"/>
        </w:rPr>
      </w:pPr>
      <w:r>
        <w:rPr>
          <w:sz w:val="23"/>
          <w:szCs w:val="23"/>
        </w:rPr>
      </w:r>
    </w:p>
    <w:p>
      <w:pPr>
        <w:pStyle w:val="Normal"/>
        <w:widowControl/>
        <w:spacing w:lineRule="exact" w:line="259"/>
        <w:jc w:val="both"/>
        <w:rPr>
          <w:szCs w:val="23"/>
        </w:rPr>
      </w:pPr>
      <w:r>
        <w:rPr>
          <w:szCs w:val="23"/>
        </w:rPr>
        <w:t>_______________________________</w:t>
        <w:tab/>
        <w:tab/>
        <w:tab/>
        <w:t>_______________________________</w:t>
      </w:r>
    </w:p>
    <w:p>
      <w:pPr>
        <w:sectPr>
          <w:headerReference w:type="default" r:id="rId6"/>
          <w:footerReference w:type="default" r:id="rId7"/>
          <w:type w:val="nextPage"/>
          <w:pgSz w:w="12326" w:h="15840"/>
          <w:pgMar w:left="1440" w:right="1440" w:header="720" w:top="777" w:footer="720" w:bottom="777" w:gutter="0"/>
          <w:pgNumType w:fmt="decimal"/>
          <w:formProt w:val="false"/>
          <w:textDirection w:val="lrTb"/>
          <w:docGrid w:type="default" w:linePitch="100" w:charSpace="8192"/>
        </w:sectPr>
        <w:pStyle w:val="Normal"/>
        <w:widowControl/>
        <w:spacing w:lineRule="exact" w:line="259"/>
        <w:jc w:val="both"/>
        <w:rPr>
          <w:szCs w:val="23"/>
        </w:rPr>
      </w:pPr>
      <w:r>
        <w:rPr>
          <w:szCs w:val="23"/>
        </w:rPr>
        <w:t xml:space="preserve">Date: </w:t>
        <w:tab/>
        <w:tab/>
        <w:tab/>
        <w:tab/>
        <w:tab/>
        <w:tab/>
        <w:tab/>
        <w:t xml:space="preserve">Date: </w:t>
      </w:r>
    </w:p>
    <w:p>
      <w:pPr>
        <w:pStyle w:val="Normal"/>
        <w:tabs>
          <w:tab w:val="clear" w:pos="720"/>
          <w:tab w:val="center" w:pos="4680" w:leader="none"/>
        </w:tabs>
        <w:spacing w:lineRule="auto" w:line="360"/>
        <w:ind w:right="-360" w:hanging="0"/>
        <w:rPr>
          <w:b/>
          <w:b/>
        </w:rPr>
      </w:pPr>
      <w:r>
        <w:rPr>
          <w:b/>
          <w:bCs/>
          <w:sz w:val="24"/>
        </w:rPr>
        <w:tab/>
      </w:r>
      <w:r>
        <w:rPr>
          <w:b/>
        </w:rPr>
        <w:t>Exhibit B</w:t>
      </w:r>
    </w:p>
    <w:p>
      <w:pPr>
        <w:pStyle w:val="Normal"/>
        <w:spacing w:lineRule="auto" w:line="348"/>
        <w:ind w:left="270" w:right="300" w:hanging="0"/>
        <w:jc w:val="center"/>
        <w:rPr>
          <w:sz w:val="23"/>
          <w:szCs w:val="23"/>
        </w:rPr>
      </w:pPr>
      <w:r>
        <w:rPr/>
        <w:t>Bascule Insurance Services, LLC ("The Company") and</w:t>
      </w:r>
    </w:p>
    <w:p>
      <w:pPr>
        <w:pStyle w:val="Normal"/>
        <w:spacing w:before="4" w:after="0"/>
        <w:ind w:left="360" w:right="300" w:hanging="0"/>
        <w:jc w:val="center"/>
        <w:rPr>
          <w:sz w:val="23"/>
          <w:szCs w:val="23"/>
        </w:rPr>
      </w:pPr>
      <w:r>
        <w:rPr/>
        <w:t>Max</w:t>
      </w:r>
      <w:r>
        <w:rPr/>
        <w:t xml:space="preserve"> ("The Agent")</w:t>
      </w:r>
    </w:p>
    <w:p>
      <w:pPr>
        <w:pStyle w:val="Normal"/>
        <w:tabs>
          <w:tab w:val="clear" w:pos="720"/>
          <w:tab w:val="center" w:pos="4680" w:leader="none"/>
        </w:tabs>
        <w:spacing w:lineRule="auto" w:line="360"/>
        <w:ind w:left="-360" w:right="-360" w:hanging="0"/>
        <w:rPr>
          <w:sz w:val="28"/>
          <w:szCs w:val="28"/>
        </w:rPr>
      </w:pPr>
      <w:r>
        <w:rPr>
          <w:sz w:val="28"/>
          <w:szCs w:val="28"/>
        </w:rPr>
      </w:r>
    </w:p>
    <w:p>
      <w:pPr>
        <w:pStyle w:val="Normal"/>
        <w:spacing w:lineRule="auto" w:line="360"/>
        <w:ind w:left="-360" w:right="-360" w:hanging="0"/>
        <w:rPr>
          <w:sz w:val="23"/>
          <w:szCs w:val="23"/>
        </w:rPr>
      </w:pPr>
      <w:r>
        <w:rPr/>
        <w:t>The Agent is permitted to hold covered, on behalf of the Company, for a period of not more than 72 hours the “Hold Covered Period”), any business that satisfies the criteria detailed in the Rating Schedules attached at Exhibit C, at the rates specified in that Exhibit C, subject to the following:</w:t>
      </w:r>
    </w:p>
    <w:p>
      <w:pPr>
        <w:pStyle w:val="Normal"/>
        <w:spacing w:lineRule="auto" w:line="360"/>
        <w:ind w:left="-360" w:right="-360" w:hanging="0"/>
        <w:rPr>
          <w:sz w:val="23"/>
          <w:szCs w:val="23"/>
        </w:rPr>
      </w:pPr>
      <w:r>
        <w:rPr>
          <w:sz w:val="23"/>
          <w:szCs w:val="23"/>
        </w:rPr>
      </w:r>
    </w:p>
    <w:p>
      <w:pPr>
        <w:pStyle w:val="Normal"/>
        <w:numPr>
          <w:ilvl w:val="0"/>
          <w:numId w:val="4"/>
        </w:numPr>
        <w:spacing w:lineRule="auto" w:line="360"/>
        <w:ind w:right="-360" w:hanging="360"/>
        <w:rPr>
          <w:sz w:val="23"/>
          <w:szCs w:val="23"/>
        </w:rPr>
      </w:pPr>
      <w:r>
        <w:rPr/>
        <w:t>The Agent may only hold covered in respect to the following coverages:</w:t>
      </w:r>
    </w:p>
    <w:p>
      <w:pPr>
        <w:pStyle w:val="Normal"/>
        <w:numPr>
          <w:ilvl w:val="1"/>
          <w:numId w:val="4"/>
        </w:numPr>
        <w:spacing w:lineRule="auto" w:line="360"/>
        <w:ind w:left="720" w:right="-360" w:hanging="360"/>
        <w:rPr>
          <w:sz w:val="23"/>
          <w:szCs w:val="23"/>
        </w:rPr>
      </w:pPr>
      <w:r>
        <w:rPr/>
        <w:t>All Risk of Mortality including Theft</w:t>
      </w:r>
    </w:p>
    <w:p>
      <w:pPr>
        <w:pStyle w:val="Normal"/>
        <w:numPr>
          <w:ilvl w:val="1"/>
          <w:numId w:val="4"/>
        </w:numPr>
        <w:spacing w:lineRule="auto" w:line="360"/>
        <w:ind w:left="720" w:right="-360" w:hanging="360"/>
        <w:rPr>
          <w:sz w:val="23"/>
          <w:szCs w:val="23"/>
        </w:rPr>
      </w:pPr>
      <w:r>
        <w:rPr/>
        <w:t>Major Medical, Medical Assistance, Emergency Colic Surgery, Colic Coverage and Surgical coverages.</w:t>
      </w:r>
    </w:p>
    <w:p>
      <w:pPr>
        <w:pStyle w:val="Normal"/>
        <w:numPr>
          <w:ilvl w:val="0"/>
          <w:numId w:val="4"/>
        </w:numPr>
        <w:spacing w:lineRule="auto" w:line="360"/>
        <w:ind w:right="-360" w:hanging="360"/>
        <w:rPr>
          <w:sz w:val="23"/>
          <w:szCs w:val="23"/>
        </w:rPr>
      </w:pPr>
      <w:r>
        <w:rPr/>
        <w:t>The Agent must have written evidence of an insurable interest, before any hold coverage provision is effective.</w:t>
      </w:r>
    </w:p>
    <w:p>
      <w:pPr>
        <w:pStyle w:val="Normal"/>
        <w:numPr>
          <w:ilvl w:val="0"/>
          <w:numId w:val="4"/>
        </w:numPr>
        <w:spacing w:lineRule="auto" w:line="360"/>
        <w:ind w:right="-360" w:hanging="360"/>
        <w:rPr>
          <w:sz w:val="23"/>
          <w:szCs w:val="23"/>
        </w:rPr>
      </w:pPr>
      <w:r>
        <w:rPr/>
        <w:t>The sum insured of any individual animal must not exceed USD250, 000 representing a 100% ownership interest.</w:t>
      </w:r>
    </w:p>
    <w:p>
      <w:pPr>
        <w:pStyle w:val="Normal"/>
        <w:numPr>
          <w:ilvl w:val="0"/>
          <w:numId w:val="4"/>
        </w:numPr>
        <w:spacing w:lineRule="auto" w:line="360"/>
        <w:ind w:right="-360" w:hanging="360"/>
        <w:rPr>
          <w:sz w:val="23"/>
          <w:szCs w:val="23"/>
        </w:rPr>
      </w:pPr>
      <w:r>
        <w:rPr/>
        <w:t>No Stallion shares must be held covered; and</w:t>
      </w:r>
    </w:p>
    <w:p>
      <w:pPr>
        <w:pStyle w:val="Normal"/>
        <w:numPr>
          <w:ilvl w:val="0"/>
          <w:numId w:val="4"/>
        </w:numPr>
        <w:spacing w:lineRule="auto" w:line="360"/>
        <w:ind w:right="-360" w:hanging="360"/>
        <w:rPr>
          <w:sz w:val="23"/>
          <w:szCs w:val="23"/>
        </w:rPr>
      </w:pPr>
      <w:r>
        <w:rPr/>
        <w:t>The Agent may only hold covered those horse(s) aged between 90 days through to 15 years inclusive.</w:t>
      </w:r>
    </w:p>
    <w:p>
      <w:pPr>
        <w:pStyle w:val="Normal"/>
        <w:spacing w:lineRule="auto" w:line="360"/>
        <w:ind w:right="-360" w:hanging="0"/>
        <w:rPr>
          <w:sz w:val="23"/>
          <w:szCs w:val="23"/>
        </w:rPr>
      </w:pPr>
      <w:r>
        <w:rPr>
          <w:sz w:val="23"/>
          <w:szCs w:val="23"/>
        </w:rPr>
      </w:r>
    </w:p>
    <w:p>
      <w:pPr>
        <w:pStyle w:val="Normal"/>
        <w:spacing w:lineRule="auto" w:line="360"/>
        <w:ind w:left="-360" w:right="-360" w:hanging="0"/>
        <w:rPr>
          <w:sz w:val="23"/>
          <w:szCs w:val="23"/>
        </w:rPr>
      </w:pPr>
      <w:r>
        <w:rPr/>
        <w:t>Continued coverage at the expiry of the Hold Covered Period is subject to the receipt of an application form and health documentation satisfactory to Underwriters.</w:t>
      </w:r>
    </w:p>
    <w:p>
      <w:pPr>
        <w:pStyle w:val="Normal"/>
        <w:spacing w:lineRule="auto" w:line="360"/>
        <w:ind w:left="-360" w:right="-360" w:hanging="0"/>
        <w:rPr>
          <w:sz w:val="23"/>
          <w:szCs w:val="23"/>
        </w:rPr>
      </w:pPr>
      <w:r>
        <w:rPr>
          <w:sz w:val="23"/>
          <w:szCs w:val="23"/>
        </w:rPr>
      </w:r>
    </w:p>
    <w:p>
      <w:pPr>
        <w:pStyle w:val="Normal"/>
        <w:spacing w:lineRule="auto" w:line="360"/>
        <w:ind w:left="-360" w:right="-360" w:hanging="0"/>
        <w:rPr>
          <w:sz w:val="23"/>
          <w:szCs w:val="23"/>
        </w:rPr>
      </w:pPr>
      <w:r>
        <w:rPr/>
        <w:t>Notwithstanding anything above, if at any time qualified health documentation is received by the agent, this must be submitted for Underwriters approval within 72 hours. Failure to do so, will render the hold covered provision null and void.</w:t>
      </w:r>
    </w:p>
    <w:p>
      <w:pPr>
        <w:pStyle w:val="Normal"/>
        <w:spacing w:lineRule="auto" w:line="360"/>
        <w:ind w:right="-360" w:hanging="0"/>
        <w:jc w:val="center"/>
        <w:rPr>
          <w:sz w:val="23"/>
          <w:szCs w:val="23"/>
        </w:rPr>
      </w:pPr>
      <w:r>
        <w:rPr>
          <w:sz w:val="23"/>
          <w:szCs w:val="23"/>
        </w:rPr>
      </w:r>
    </w:p>
    <w:p>
      <w:pPr>
        <w:pStyle w:val="Normal"/>
        <w:spacing w:lineRule="auto" w:line="360"/>
        <w:ind w:left="-360" w:right="-360" w:hanging="0"/>
        <w:jc w:val="center"/>
        <w:rPr>
          <w:sz w:val="23"/>
          <w:szCs w:val="23"/>
        </w:rPr>
      </w:pPr>
      <w:r>
        <w:rPr>
          <w:b/>
          <w:bCs/>
        </w:rPr>
        <w:t>Accepted By:</w:t>
      </w:r>
    </w:p>
    <w:p>
      <w:pPr>
        <w:pStyle w:val="Normal"/>
        <w:spacing w:lineRule="auto" w:line="360"/>
        <w:ind w:left="-360" w:right="-360" w:hanging="0"/>
        <w:jc w:val="center"/>
        <w:rPr>
          <w:sz w:val="23"/>
          <w:szCs w:val="23"/>
        </w:rPr>
      </w:pPr>
      <w:r>
        <w:rPr>
          <w:b/>
        </w:rPr>
        <w:t>Company: Bascule Insurance Services, LLC</w:t>
      </w:r>
    </w:p>
    <w:p>
      <w:pPr>
        <w:pStyle w:val="Normal"/>
        <w:ind w:left="-360" w:right="-360" w:hanging="0"/>
        <w:jc w:val="center"/>
        <w:rPr>
          <w:sz w:val="23"/>
          <w:szCs w:val="23"/>
        </w:rPr>
      </w:pPr>
      <w:r>
        <w:rPr>
          <w:sz w:val="23"/>
          <w:szCs w:val="23"/>
        </w:rPr>
      </w:r>
    </w:p>
    <w:p>
      <w:pPr>
        <w:pStyle w:val="Normal"/>
        <w:ind w:left="-360" w:right="-360" w:hanging="0"/>
        <w:jc w:val="center"/>
        <w:rPr>
          <w:sz w:val="23"/>
          <w:szCs w:val="23"/>
        </w:rPr>
      </w:pPr>
      <w:r>
        <w:rPr/>
        <w:t>By:</w:t>
        <w:tab/>
        <w:t>__________________________________</w:t>
      </w:r>
    </w:p>
    <w:p>
      <w:pPr>
        <w:pStyle w:val="Normal"/>
        <w:ind w:left="-360" w:right="-360" w:firstLine="1440"/>
        <w:jc w:val="center"/>
        <w:rPr>
          <w:sz w:val="23"/>
          <w:szCs w:val="23"/>
        </w:rPr>
      </w:pPr>
      <w:r>
        <w:rPr/>
        <w:t>(Signature)</w:t>
      </w:r>
    </w:p>
    <w:p>
      <w:pPr>
        <w:pStyle w:val="Normal"/>
        <w:ind w:left="-360" w:right="-360" w:hanging="0"/>
        <w:jc w:val="center"/>
        <w:rPr>
          <w:sz w:val="23"/>
          <w:szCs w:val="23"/>
        </w:rPr>
      </w:pPr>
      <w:r>
        <w:rPr>
          <w:sz w:val="23"/>
          <w:szCs w:val="23"/>
        </w:rPr>
      </w:r>
    </w:p>
    <w:p>
      <w:pPr>
        <w:pStyle w:val="Normal"/>
        <w:ind w:right="-360" w:hanging="0"/>
        <w:rPr>
          <w:sz w:val="23"/>
          <w:szCs w:val="23"/>
        </w:rPr>
      </w:pPr>
      <w:r>
        <w:rPr>
          <w:sz w:val="23"/>
          <w:szCs w:val="23"/>
        </w:rPr>
      </w:r>
    </w:p>
    <w:p>
      <w:pPr>
        <w:pStyle w:val="Normal"/>
        <w:jc w:val="center"/>
        <w:rPr>
          <w:sz w:val="23"/>
          <w:szCs w:val="23"/>
        </w:rPr>
      </w:pPr>
      <w:r>
        <w:rPr/>
        <w:t>Date:</w:t>
        <w:tab/>
        <w:t>__________________________</w:t>
      </w:r>
    </w:p>
    <w:p>
      <w:pPr>
        <w:pStyle w:val="Normal"/>
        <w:jc w:val="center"/>
        <w:rPr>
          <w:sz w:val="23"/>
          <w:szCs w:val="23"/>
        </w:rPr>
      </w:pPr>
      <w:r>
        <w:rPr>
          <w:sz w:val="23"/>
          <w:szCs w:val="23"/>
        </w:rPr>
      </w:r>
    </w:p>
    <w:p>
      <w:pPr>
        <w:pStyle w:val="Normal"/>
        <w:jc w:val="center"/>
        <w:rPr>
          <w:sz w:val="23"/>
          <w:szCs w:val="23"/>
        </w:rPr>
      </w:pPr>
      <w:r>
        <w:rPr>
          <w:sz w:val="23"/>
          <w:szCs w:val="23"/>
        </w:rPr>
      </w:r>
    </w:p>
    <w:p>
      <w:pPr>
        <w:pStyle w:val="Normal"/>
        <w:widowControl/>
        <w:spacing w:lineRule="exact" w:line="259"/>
        <w:ind w:left="2160" w:firstLine="720"/>
        <w:jc w:val="both"/>
        <w:rPr>
          <w:b/>
          <w:b/>
          <w:szCs w:val="23"/>
        </w:rPr>
      </w:pPr>
      <w:r>
        <w:rPr>
          <w:b/>
        </w:rPr>
        <w:t xml:space="preserve">Agent: </w:t>
      </w:r>
      <w:r>
        <w:rPr>
          <w:b/>
          <w:szCs w:val="23"/>
        </w:rPr>
        <w:t xml:space="preserve">(Agency Name) </w:t>
      </w:r>
    </w:p>
    <w:p>
      <w:pPr>
        <w:pStyle w:val="Normal"/>
        <w:ind w:left="-360" w:right="-360" w:hanging="0"/>
        <w:jc w:val="center"/>
        <w:rPr>
          <w:b/>
          <w:b/>
        </w:rPr>
      </w:pPr>
      <w:r>
        <w:rPr>
          <w:b/>
        </w:rPr>
      </w:r>
    </w:p>
    <w:p>
      <w:pPr>
        <w:pStyle w:val="Normal"/>
        <w:ind w:left="-360" w:right="-360" w:hanging="0"/>
        <w:jc w:val="center"/>
        <w:rPr>
          <w:sz w:val="23"/>
          <w:szCs w:val="23"/>
        </w:rPr>
      </w:pPr>
      <w:r>
        <w:rPr>
          <w:sz w:val="23"/>
          <w:szCs w:val="23"/>
        </w:rPr>
      </w:r>
    </w:p>
    <w:p>
      <w:pPr>
        <w:pStyle w:val="Normal"/>
        <w:ind w:left="-360" w:right="-360" w:hanging="0"/>
        <w:jc w:val="center"/>
        <w:rPr>
          <w:sz w:val="23"/>
          <w:szCs w:val="23"/>
        </w:rPr>
      </w:pPr>
      <w:r>
        <w:rPr/>
        <w:t>By: ___________________________________</w:t>
      </w:r>
    </w:p>
    <w:p>
      <w:pPr>
        <w:pStyle w:val="Normal"/>
        <w:ind w:left="-360" w:right="-360" w:hanging="0"/>
        <w:jc w:val="center"/>
        <w:rPr>
          <w:sz w:val="23"/>
          <w:szCs w:val="23"/>
        </w:rPr>
      </w:pPr>
      <w:r>
        <w:rPr/>
        <w:t>(Signature)</w:t>
      </w:r>
    </w:p>
    <w:p>
      <w:pPr>
        <w:pStyle w:val="Normal"/>
        <w:ind w:left="-360" w:right="-360" w:hanging="0"/>
        <w:jc w:val="center"/>
        <w:rPr>
          <w:sz w:val="23"/>
          <w:szCs w:val="23"/>
        </w:rPr>
      </w:pPr>
      <w:r>
        <w:rPr>
          <w:sz w:val="23"/>
          <w:szCs w:val="23"/>
        </w:rPr>
      </w:r>
    </w:p>
    <w:p>
      <w:pPr>
        <w:pStyle w:val="Normal"/>
        <w:ind w:left="-360" w:right="-360" w:hanging="0"/>
        <w:jc w:val="center"/>
        <w:rPr>
          <w:sz w:val="23"/>
          <w:szCs w:val="23"/>
        </w:rPr>
      </w:pPr>
      <w:r>
        <w:rPr>
          <w:sz w:val="23"/>
          <w:szCs w:val="23"/>
        </w:rPr>
      </w:r>
    </w:p>
    <w:p>
      <w:pPr>
        <w:sectPr>
          <w:headerReference w:type="default" r:id="rId8"/>
          <w:footerReference w:type="default" r:id="rId9"/>
          <w:type w:val="nextPage"/>
          <w:pgSz w:w="12240" w:h="15840"/>
          <w:pgMar w:left="1440" w:right="1440" w:header="1008" w:top="1065" w:footer="432" w:bottom="489" w:gutter="0"/>
          <w:pgNumType w:fmt="decimal"/>
          <w:formProt w:val="false"/>
          <w:textDirection w:val="lrTb"/>
          <w:docGrid w:type="default" w:linePitch="100" w:charSpace="8192"/>
        </w:sectPr>
        <w:pStyle w:val="Normal"/>
        <w:ind w:left="-360" w:right="-360" w:hanging="0"/>
        <w:jc w:val="center"/>
        <w:rPr>
          <w:sz w:val="23"/>
          <w:szCs w:val="23"/>
        </w:rPr>
      </w:pPr>
      <w:r>
        <w:rPr/>
        <w:t>Date: ______________________________</w:t>
      </w:r>
    </w:p>
    <w:p>
      <w:pPr>
        <w:pStyle w:val="Normal"/>
        <w:jc w:val="center"/>
        <w:rPr>
          <w:b/>
          <w:b/>
        </w:rPr>
      </w:pPr>
      <w:r>
        <w:rPr>
          <w:b/>
        </w:rPr>
        <w:t>EXHIBIT C</w:t>
      </w:r>
    </w:p>
    <w:p>
      <w:pPr>
        <w:pStyle w:val="Normal"/>
        <w:jc w:val="center"/>
        <w:rPr>
          <w:b/>
          <w:b/>
        </w:rPr>
      </w:pPr>
      <w:r>
        <w:rPr>
          <w:b/>
        </w:rPr>
      </w:r>
    </w:p>
    <w:p>
      <w:pPr>
        <w:pStyle w:val="Normal"/>
        <w:rPr>
          <w:sz w:val="23"/>
          <w:szCs w:val="23"/>
        </w:rPr>
      </w:pPr>
      <w:r>
        <w:rPr>
          <w:sz w:val="23"/>
          <w:szCs w:val="23"/>
        </w:rPr>
      </w:r>
    </w:p>
    <w:tbl>
      <w:tblPr>
        <w:tblpPr w:vertAnchor="page" w:horzAnchor="margin" w:leftFromText="180" w:rightFromText="180" w:tblpX="0" w:tblpY="2602"/>
        <w:tblW w:w="7900" w:type="dxa"/>
        <w:jc w:val="left"/>
        <w:tblInd w:w="0" w:type="dxa"/>
        <w:tblCellMar>
          <w:top w:w="0" w:type="dxa"/>
          <w:left w:w="108" w:type="dxa"/>
          <w:bottom w:w="0" w:type="dxa"/>
          <w:right w:w="108" w:type="dxa"/>
        </w:tblCellMar>
        <w:tblLook w:val="04a0" w:noHBand="0" w:noVBand="1" w:firstColumn="1" w:lastRow="0" w:lastColumn="0" w:firstRow="1"/>
      </w:tblPr>
      <w:tblGrid>
        <w:gridCol w:w="736"/>
        <w:gridCol w:w="734"/>
        <w:gridCol w:w="738"/>
        <w:gridCol w:w="4432"/>
        <w:gridCol w:w="1260"/>
      </w:tblGrid>
      <w:tr>
        <w:trPr>
          <w:trHeight w:val="342" w:hRule="atLeast"/>
        </w:trPr>
        <w:tc>
          <w:tcPr>
            <w:tcW w:w="7900" w:type="dxa"/>
            <w:gridSpan w:val="5"/>
            <w:vMerge w:val="restart"/>
            <w:tcBorders/>
            <w:shd w:color="000000" w:fill="9BC2E6" w:val="clear"/>
            <w:vAlign w:val="center"/>
          </w:tcPr>
          <w:p>
            <w:pPr>
              <w:pStyle w:val="Normal"/>
              <w:rPr>
                <w:rFonts w:ascii="Calibri" w:hAnsi="Calibri" w:cs="Calibri"/>
                <w:color w:val="000000"/>
                <w:sz w:val="28"/>
                <w:szCs w:val="28"/>
              </w:rPr>
            </w:pPr>
            <w:r>
              <w:rPr>
                <w:rFonts w:cs="Calibri" w:ascii="Calibri" w:hAnsi="Calibri"/>
                <w:color w:val="000000"/>
                <w:sz w:val="28"/>
                <w:szCs w:val="28"/>
              </w:rPr>
              <w:t>Arabians/ Paso Finos and Saddlebreds</w:t>
              <w:br/>
            </w:r>
            <w:r>
              <w:rPr>
                <w:rFonts w:cs="Calibri" w:ascii="Calibri" w:hAnsi="Calibri"/>
                <w:i/>
                <w:iCs/>
                <w:color w:val="000000"/>
                <w:sz w:val="18"/>
                <w:szCs w:val="18"/>
              </w:rPr>
              <w:t>*all rates include 20% commission</w:t>
            </w:r>
          </w:p>
        </w:tc>
      </w:tr>
      <w:tr>
        <w:trPr>
          <w:trHeight w:val="342" w:hRule="atLeast"/>
        </w:trPr>
        <w:tc>
          <w:tcPr>
            <w:tcW w:w="7900" w:type="dxa"/>
            <w:gridSpan w:val="5"/>
            <w:vMerge w:val="continue"/>
            <w:tcBorders/>
            <w:vAlign w:val="center"/>
          </w:tcPr>
          <w:p>
            <w:pPr>
              <w:pStyle w:val="Normal"/>
              <w:rPr>
                <w:rFonts w:ascii="Calibri" w:hAnsi="Calibri" w:cs="Calibri"/>
                <w:color w:val="000000"/>
                <w:sz w:val="28"/>
                <w:szCs w:val="28"/>
              </w:rPr>
            </w:pPr>
            <w:r>
              <w:rPr>
                <w:rFonts w:cs="Calibri" w:ascii="Calibri" w:hAnsi="Calibri"/>
                <w:color w:val="000000"/>
                <w:sz w:val="28"/>
                <w:szCs w:val="28"/>
              </w:rPr>
            </w:r>
          </w:p>
        </w:tc>
      </w:tr>
      <w:tr>
        <w:trPr>
          <w:trHeight w:val="342" w:hRule="atLeast"/>
        </w:trPr>
        <w:tc>
          <w:tcPr>
            <w:tcW w:w="7900" w:type="dxa"/>
            <w:gridSpan w:val="5"/>
            <w:vMerge w:val="continue"/>
            <w:tcBorders/>
            <w:vAlign w:val="center"/>
          </w:tcPr>
          <w:p>
            <w:pPr>
              <w:pStyle w:val="Normal"/>
              <w:rPr>
                <w:rFonts w:ascii="Calibri" w:hAnsi="Calibri" w:cs="Calibri"/>
                <w:color w:val="000000"/>
                <w:sz w:val="28"/>
                <w:szCs w:val="28"/>
              </w:rPr>
            </w:pPr>
            <w:r>
              <w:rPr>
                <w:rFonts w:cs="Calibri" w:ascii="Calibri" w:hAnsi="Calibri"/>
                <w:color w:val="000000"/>
                <w:sz w:val="28"/>
                <w:szCs w:val="28"/>
              </w:rPr>
            </w:r>
          </w:p>
        </w:tc>
      </w:tr>
      <w:tr>
        <w:trPr>
          <w:trHeight w:val="315" w:hRule="atLeast"/>
        </w:trPr>
        <w:tc>
          <w:tcPr>
            <w:tcW w:w="2208" w:type="dxa"/>
            <w:gridSpan w:val="3"/>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t>Arabians / Paso Finos:</w:t>
            </w:r>
          </w:p>
        </w:tc>
        <w:tc>
          <w:tcPr>
            <w:tcW w:w="4432" w:type="dxa"/>
            <w:tcBorders>
              <w:bottom w:val="single" w:sz="4"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r>
          </w:p>
        </w:tc>
        <w:tc>
          <w:tcPr>
            <w:tcW w:w="126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208" w:type="dxa"/>
            <w:gridSpan w:val="3"/>
            <w:vMerge w:val="restart"/>
            <w:tcBorders>
              <w:top w:val="single" w:sz="8" w:space="0" w:color="000000"/>
              <w:left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xml:space="preserve">Foals and Yearlings: </w:t>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24 hours to 7 days</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6.00%</w:t>
            </w:r>
          </w:p>
        </w:tc>
      </w:tr>
      <w:tr>
        <w:trPr>
          <w:trHeight w:val="300" w:hRule="atLeast"/>
        </w:trPr>
        <w:tc>
          <w:tcPr>
            <w:tcW w:w="2208" w:type="dxa"/>
            <w:gridSpan w:val="3"/>
            <w:vMerge w:val="continue"/>
            <w:tcBorders>
              <w:top w:val="single" w:sz="8" w:space="0" w:color="000000"/>
              <w:left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8 days to 30 days</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5.00%</w:t>
            </w:r>
          </w:p>
        </w:tc>
      </w:tr>
      <w:tr>
        <w:trPr>
          <w:trHeight w:val="300" w:hRule="atLeast"/>
        </w:trPr>
        <w:tc>
          <w:tcPr>
            <w:tcW w:w="2208" w:type="dxa"/>
            <w:gridSpan w:val="3"/>
            <w:vMerge w:val="continue"/>
            <w:tcBorders>
              <w:top w:val="single" w:sz="8" w:space="0" w:color="000000"/>
              <w:left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31 days and over</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3.15%</w:t>
            </w:r>
          </w:p>
        </w:tc>
      </w:tr>
      <w:tr>
        <w:trPr>
          <w:trHeight w:val="315" w:hRule="atLeast"/>
        </w:trPr>
        <w:tc>
          <w:tcPr>
            <w:tcW w:w="2208" w:type="dxa"/>
            <w:gridSpan w:val="3"/>
            <w:vMerge w:val="continue"/>
            <w:tcBorders>
              <w:top w:val="single" w:sz="8" w:space="0" w:color="000000"/>
              <w:left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Yearlings - January 1 to December 31</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2.85%</w:t>
            </w:r>
          </w:p>
        </w:tc>
      </w:tr>
      <w:tr>
        <w:trPr>
          <w:trHeight w:val="300" w:hRule="atLeast"/>
        </w:trPr>
        <w:tc>
          <w:tcPr>
            <w:tcW w:w="2208"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Age : 2 years to 15 years</w:t>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Show, Pleasure</w:t>
            </w:r>
            <w:r>
              <w:rPr>
                <w:rFonts w:cs="Calibri" w:ascii="Calibri" w:hAnsi="Calibri"/>
                <w:i/>
                <w:iCs/>
                <w:color w:val="000000"/>
                <w:sz w:val="18"/>
                <w:szCs w:val="18"/>
              </w:rPr>
              <w:t xml:space="preserve"> (excluding hunter / jumpers)</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2.85%</w:t>
            </w:r>
          </w:p>
        </w:tc>
      </w:tr>
      <w:tr>
        <w:trPr>
          <w:trHeight w:val="315" w:hRule="atLeast"/>
        </w:trPr>
        <w:tc>
          <w:tcPr>
            <w:tcW w:w="220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Breeding</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2.85%</w:t>
            </w:r>
          </w:p>
        </w:tc>
      </w:tr>
      <w:tr>
        <w:trPr>
          <w:trHeight w:val="300" w:hRule="atLeast"/>
        </w:trPr>
        <w:tc>
          <w:tcPr>
            <w:tcW w:w="2208"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Overage Rates</w:t>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16</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3.75%</w:t>
            </w:r>
          </w:p>
        </w:tc>
      </w:tr>
      <w:tr>
        <w:trPr>
          <w:trHeight w:val="300" w:hRule="atLeast"/>
        </w:trPr>
        <w:tc>
          <w:tcPr>
            <w:tcW w:w="220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17</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5.25%</w:t>
            </w:r>
          </w:p>
        </w:tc>
      </w:tr>
      <w:tr>
        <w:trPr>
          <w:trHeight w:val="300" w:hRule="atLeast"/>
        </w:trPr>
        <w:tc>
          <w:tcPr>
            <w:tcW w:w="220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18</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8.00%</w:t>
            </w:r>
          </w:p>
        </w:tc>
      </w:tr>
      <w:tr>
        <w:trPr>
          <w:trHeight w:val="300" w:hRule="atLeast"/>
        </w:trPr>
        <w:tc>
          <w:tcPr>
            <w:tcW w:w="220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19</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10.75%</w:t>
            </w:r>
          </w:p>
        </w:tc>
      </w:tr>
      <w:tr>
        <w:trPr>
          <w:trHeight w:val="300" w:hRule="atLeast"/>
        </w:trPr>
        <w:tc>
          <w:tcPr>
            <w:tcW w:w="220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20</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14.00%</w:t>
            </w:r>
          </w:p>
        </w:tc>
      </w:tr>
      <w:tr>
        <w:trPr>
          <w:trHeight w:val="315" w:hRule="atLeast"/>
        </w:trPr>
        <w:tc>
          <w:tcPr>
            <w:tcW w:w="220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21</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submit</w:t>
            </w:r>
          </w:p>
        </w:tc>
      </w:tr>
      <w:tr>
        <w:trPr>
          <w:trHeight w:val="315" w:hRule="exact"/>
        </w:trPr>
        <w:tc>
          <w:tcPr>
            <w:tcW w:w="736" w:type="dxa"/>
            <w:tcBorders/>
            <w:shd w:color="auto" w:fill="auto" w:val="clear"/>
            <w:vAlign w:val="center"/>
          </w:tcPr>
          <w:p>
            <w:pPr>
              <w:pStyle w:val="Normal"/>
              <w:rPr>
                <w:rFonts w:ascii="Calibri" w:hAnsi="Calibri" w:cs="Calibri"/>
                <w:color w:val="000000"/>
              </w:rPr>
            </w:pPr>
            <w:r>
              <w:rPr>
                <w:rFonts w:cs="Calibri" w:ascii="Calibri" w:hAnsi="Calibri"/>
                <w:color w:val="000000"/>
              </w:rPr>
            </w:r>
          </w:p>
        </w:tc>
        <w:tc>
          <w:tcPr>
            <w:tcW w:w="734" w:type="dxa"/>
            <w:tcBorders/>
            <w:shd w:color="auto" w:fill="auto" w:val="clear"/>
            <w:vAlign w:val="center"/>
          </w:tcPr>
          <w:p>
            <w:pPr>
              <w:pStyle w:val="Normal"/>
              <w:jc w:val="center"/>
              <w:rPr>
                <w:rFonts w:ascii="Times New Roman" w:hAnsi="Times New Roman" w:cs="Times New Roman"/>
              </w:rPr>
            </w:pPr>
            <w:r>
              <w:rPr>
                <w:rFonts w:cs="Times New Roman" w:ascii="Times New Roman" w:hAnsi="Times New Roman"/>
              </w:rPr>
            </w:r>
          </w:p>
        </w:tc>
        <w:tc>
          <w:tcPr>
            <w:tcW w:w="738" w:type="dxa"/>
            <w:tcBorders/>
            <w:shd w:color="auto" w:fill="auto" w:val="clear"/>
            <w:vAlign w:val="center"/>
          </w:tcPr>
          <w:p>
            <w:pPr>
              <w:pStyle w:val="Normal"/>
              <w:jc w:val="center"/>
              <w:rPr>
                <w:rFonts w:ascii="Times New Roman" w:hAnsi="Times New Roman" w:cs="Times New Roman"/>
              </w:rPr>
            </w:pPr>
            <w:r>
              <w:rPr>
                <w:rFonts w:cs="Times New Roman" w:ascii="Times New Roman" w:hAnsi="Times New Roman"/>
              </w:rPr>
            </w:r>
          </w:p>
        </w:tc>
        <w:tc>
          <w:tcPr>
            <w:tcW w:w="4432" w:type="dxa"/>
            <w:tcBorders>
              <w:top w:val="single" w:sz="4" w:space="0" w:color="000000"/>
            </w:tcBorders>
            <w:shd w:color="auto" w:fill="auto" w:val="clear"/>
            <w:vAlign w:val="bottom"/>
          </w:tcPr>
          <w:p>
            <w:pPr>
              <w:pStyle w:val="Normal"/>
              <w:jc w:val="center"/>
              <w:rPr>
                <w:rFonts w:ascii="Times New Roman" w:hAnsi="Times New Roman" w:cs="Times New Roman"/>
              </w:rPr>
            </w:pPr>
            <w:r>
              <w:rPr>
                <w:rFonts w:cs="Times New Roman" w:ascii="Times New Roman" w:hAnsi="Times New Roman"/>
              </w:rPr>
            </w:r>
          </w:p>
        </w:tc>
        <w:tc>
          <w:tcPr>
            <w:tcW w:w="1260" w:type="dxa"/>
            <w:tcBorders>
              <w:top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15" w:hRule="atLeast"/>
        </w:trPr>
        <w:tc>
          <w:tcPr>
            <w:tcW w:w="2208" w:type="dxa"/>
            <w:gridSpan w:val="3"/>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t>Saddlebreds:</w:t>
            </w:r>
          </w:p>
        </w:tc>
        <w:tc>
          <w:tcPr>
            <w:tcW w:w="4432" w:type="dxa"/>
            <w:tcBorders>
              <w:bottom w:val="single" w:sz="4"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r>
          </w:p>
        </w:tc>
        <w:tc>
          <w:tcPr>
            <w:tcW w:w="126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208" w:type="dxa"/>
            <w:gridSpan w:val="3"/>
            <w:vMerge w:val="restart"/>
            <w:tcBorders>
              <w:top w:val="single" w:sz="8" w:space="0" w:color="000000"/>
              <w:left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xml:space="preserve">Foals and Yearlings: </w:t>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24 hours to 7 days</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5.50%</w:t>
            </w:r>
          </w:p>
        </w:tc>
      </w:tr>
      <w:tr>
        <w:trPr>
          <w:trHeight w:val="300" w:hRule="atLeast"/>
        </w:trPr>
        <w:tc>
          <w:tcPr>
            <w:tcW w:w="2208" w:type="dxa"/>
            <w:gridSpan w:val="3"/>
            <w:vMerge w:val="continue"/>
            <w:tcBorders>
              <w:top w:val="single" w:sz="8" w:space="0" w:color="000000"/>
              <w:left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8 days to 30 days</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4.50%</w:t>
            </w:r>
          </w:p>
        </w:tc>
      </w:tr>
      <w:tr>
        <w:trPr>
          <w:trHeight w:val="300" w:hRule="atLeast"/>
        </w:trPr>
        <w:tc>
          <w:tcPr>
            <w:tcW w:w="2208" w:type="dxa"/>
            <w:gridSpan w:val="3"/>
            <w:vMerge w:val="continue"/>
            <w:tcBorders>
              <w:top w:val="single" w:sz="8" w:space="0" w:color="000000"/>
              <w:left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31 days and over</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3.25%</w:t>
            </w:r>
          </w:p>
        </w:tc>
      </w:tr>
      <w:tr>
        <w:trPr>
          <w:trHeight w:val="315" w:hRule="atLeast"/>
        </w:trPr>
        <w:tc>
          <w:tcPr>
            <w:tcW w:w="2208" w:type="dxa"/>
            <w:gridSpan w:val="3"/>
            <w:vMerge w:val="continue"/>
            <w:tcBorders>
              <w:top w:val="single" w:sz="8" w:space="0" w:color="000000"/>
              <w:left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Yearlings - January 1 to December 31</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3.25%</w:t>
            </w:r>
          </w:p>
        </w:tc>
      </w:tr>
      <w:tr>
        <w:trPr>
          <w:trHeight w:val="300" w:hRule="atLeast"/>
        </w:trPr>
        <w:tc>
          <w:tcPr>
            <w:tcW w:w="2208"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Age : 2 years to 15 years</w:t>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Show, Pleasure</w:t>
            </w:r>
            <w:r>
              <w:rPr>
                <w:rFonts w:cs="Calibri" w:ascii="Calibri" w:hAnsi="Calibri"/>
                <w:i/>
                <w:iCs/>
                <w:color w:val="000000"/>
                <w:sz w:val="18"/>
                <w:szCs w:val="18"/>
              </w:rPr>
              <w:t xml:space="preserve"> (excluding hunter / jumpers)</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3.25%</w:t>
            </w:r>
          </w:p>
        </w:tc>
      </w:tr>
      <w:tr>
        <w:trPr>
          <w:trHeight w:val="315" w:hRule="atLeast"/>
        </w:trPr>
        <w:tc>
          <w:tcPr>
            <w:tcW w:w="2208" w:type="dxa"/>
            <w:gridSpan w:val="3"/>
            <w:vMerge w:val="continue"/>
            <w:tcBorders>
              <w:top w:val="single" w:sz="8" w:space="0" w:color="000000"/>
              <w:left w:val="single" w:sz="8"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Breeding</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3.25%</w:t>
            </w:r>
          </w:p>
        </w:tc>
      </w:tr>
      <w:tr>
        <w:trPr>
          <w:trHeight w:val="300" w:hRule="atLeast"/>
        </w:trPr>
        <w:tc>
          <w:tcPr>
            <w:tcW w:w="220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Overage Rates</w:t>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16</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Plus 1.50%</w:t>
            </w:r>
          </w:p>
        </w:tc>
      </w:tr>
      <w:tr>
        <w:trPr>
          <w:trHeight w:val="300" w:hRule="atLeast"/>
        </w:trPr>
        <w:tc>
          <w:tcPr>
            <w:tcW w:w="220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17</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7.00%</w:t>
            </w:r>
          </w:p>
        </w:tc>
      </w:tr>
      <w:tr>
        <w:trPr>
          <w:trHeight w:val="300" w:hRule="atLeast"/>
        </w:trPr>
        <w:tc>
          <w:tcPr>
            <w:tcW w:w="220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18</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9.00%</w:t>
            </w:r>
          </w:p>
        </w:tc>
      </w:tr>
      <w:tr>
        <w:trPr>
          <w:trHeight w:val="300" w:hRule="atLeast"/>
        </w:trPr>
        <w:tc>
          <w:tcPr>
            <w:tcW w:w="220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19</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12.00%</w:t>
            </w:r>
          </w:p>
        </w:tc>
      </w:tr>
      <w:tr>
        <w:trPr>
          <w:trHeight w:val="300" w:hRule="atLeast"/>
        </w:trPr>
        <w:tc>
          <w:tcPr>
            <w:tcW w:w="220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20</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15.50%</w:t>
            </w:r>
          </w:p>
        </w:tc>
      </w:tr>
      <w:tr>
        <w:trPr>
          <w:trHeight w:val="315" w:hRule="atLeast"/>
        </w:trPr>
        <w:tc>
          <w:tcPr>
            <w:tcW w:w="220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21</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submit</w:t>
            </w:r>
          </w:p>
        </w:tc>
      </w:tr>
      <w:tr>
        <w:trPr>
          <w:trHeight w:val="300" w:hRule="atLeast"/>
        </w:trPr>
        <w:tc>
          <w:tcPr>
            <w:tcW w:w="6640" w:type="dxa"/>
            <w:gridSpan w:val="4"/>
            <w:tcBorders>
              <w:top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r>
          </w:p>
        </w:tc>
        <w:tc>
          <w:tcPr>
            <w:tcW w:w="1260" w:type="dxa"/>
            <w:tcBorders>
              <w:top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r>
          </w:p>
        </w:tc>
      </w:tr>
      <w:tr>
        <w:trPr>
          <w:trHeight w:val="300" w:hRule="atLeast"/>
        </w:trPr>
        <w:tc>
          <w:tcPr>
            <w:tcW w:w="6640" w:type="dxa"/>
            <w:gridSpan w:val="4"/>
            <w:tcBorders>
              <w:bottom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r>
          </w:p>
        </w:tc>
        <w:tc>
          <w:tcPr>
            <w:tcW w:w="1260" w:type="dxa"/>
            <w:tcBorders>
              <w:bottom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r>
          </w:p>
        </w:tc>
      </w:tr>
      <w:tr>
        <w:trPr>
          <w:trHeight w:val="300" w:hRule="atLeast"/>
        </w:trPr>
        <w:tc>
          <w:tcPr>
            <w:tcW w:w="6640"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Elective Surgery Under General Anesthesia</w:t>
            </w:r>
          </w:p>
        </w:tc>
        <w:tc>
          <w:tcPr>
            <w:tcW w:w="1260" w:type="dxa"/>
            <w:vMerge w:val="restart"/>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0.50%</w:t>
            </w:r>
          </w:p>
        </w:tc>
      </w:tr>
      <w:tr>
        <w:trPr>
          <w:trHeight w:val="315" w:hRule="atLeast"/>
        </w:trPr>
        <w:tc>
          <w:tcPr>
            <w:tcW w:w="6640"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12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r>
      <w:tr>
        <w:trPr>
          <w:trHeight w:val="300" w:hRule="atLeast"/>
        </w:trPr>
        <w:tc>
          <w:tcPr>
            <w:tcW w:w="6640"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Territorial Extension / Transit outside the Continental USA</w:t>
            </w:r>
          </w:p>
        </w:tc>
        <w:tc>
          <w:tcPr>
            <w:tcW w:w="1260" w:type="dxa"/>
            <w:vMerge w:val="restart"/>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submit</w:t>
            </w:r>
          </w:p>
        </w:tc>
      </w:tr>
      <w:tr>
        <w:trPr>
          <w:trHeight w:val="315" w:hRule="atLeast"/>
        </w:trPr>
        <w:tc>
          <w:tcPr>
            <w:tcW w:w="6640"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12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r>
    </w:tbl>
    <w:p>
      <w:pPr>
        <w:pStyle w:val="Normal"/>
        <w:rPr>
          <w:sz w:val="23"/>
          <w:szCs w:val="23"/>
        </w:rPr>
      </w:pPr>
      <w:r/>
      <w:r>
        <w:rPr/>
        <w:t>Mortality Rating Plans</w:t>
      </w:r>
    </w:p>
    <w:p>
      <w:pPr>
        <w:pStyle w:val="Normal"/>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widowControl/>
        <w:spacing w:lineRule="exact" w:line="259"/>
        <w:ind w:left="360" w:right="-634" w:hanging="360"/>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tbl>
      <w:tblPr>
        <w:tblpPr w:vertAnchor="page" w:horzAnchor="margin" w:leftFromText="180" w:rightFromText="180" w:tblpX="0" w:tblpY="2097"/>
        <w:tblW w:w="7900" w:type="dxa"/>
        <w:jc w:val="left"/>
        <w:tblInd w:w="0" w:type="dxa"/>
        <w:tblCellMar>
          <w:top w:w="0" w:type="dxa"/>
          <w:left w:w="108" w:type="dxa"/>
          <w:bottom w:w="0" w:type="dxa"/>
          <w:right w:w="108" w:type="dxa"/>
        </w:tblCellMar>
        <w:tblLook w:val="04a0" w:noHBand="0" w:noVBand="1" w:firstColumn="1" w:lastRow="0" w:lastColumn="0" w:firstRow="1"/>
      </w:tblPr>
      <w:tblGrid>
        <w:gridCol w:w="827"/>
        <w:gridCol w:w="798"/>
        <w:gridCol w:w="781"/>
        <w:gridCol w:w="4233"/>
        <w:gridCol w:w="1261"/>
      </w:tblGrid>
      <w:tr>
        <w:trPr>
          <w:trHeight w:val="342" w:hRule="atLeast"/>
        </w:trPr>
        <w:tc>
          <w:tcPr>
            <w:tcW w:w="7900" w:type="dxa"/>
            <w:gridSpan w:val="5"/>
            <w:vMerge w:val="restart"/>
            <w:tcBorders/>
            <w:shd w:color="000000" w:fill="9BC2E6" w:val="clear"/>
            <w:vAlign w:val="center"/>
          </w:tcPr>
          <w:p>
            <w:pPr>
              <w:pStyle w:val="Normal"/>
              <w:rPr>
                <w:rFonts w:ascii="Calibri" w:hAnsi="Calibri" w:cs="Calibri"/>
                <w:color w:val="000000"/>
                <w:sz w:val="28"/>
                <w:szCs w:val="28"/>
              </w:rPr>
            </w:pPr>
            <w:r>
              <w:rPr>
                <w:rFonts w:cs="Calibri" w:ascii="Calibri" w:hAnsi="Calibri"/>
                <w:color w:val="000000"/>
                <w:sz w:val="28"/>
                <w:szCs w:val="28"/>
              </w:rPr>
              <w:t>Sport Horse (English) and Arabians</w:t>
              <w:br/>
            </w:r>
            <w:r>
              <w:rPr>
                <w:rFonts w:cs="Calibri" w:ascii="Calibri" w:hAnsi="Calibri"/>
                <w:i/>
                <w:iCs/>
                <w:color w:val="000000"/>
              </w:rPr>
              <w:t>*all rates include 20% commission</w:t>
            </w:r>
          </w:p>
        </w:tc>
      </w:tr>
      <w:tr>
        <w:trPr>
          <w:trHeight w:val="342" w:hRule="atLeast"/>
        </w:trPr>
        <w:tc>
          <w:tcPr>
            <w:tcW w:w="7900" w:type="dxa"/>
            <w:gridSpan w:val="5"/>
            <w:vMerge w:val="continue"/>
            <w:tcBorders/>
            <w:vAlign w:val="center"/>
          </w:tcPr>
          <w:p>
            <w:pPr>
              <w:pStyle w:val="Normal"/>
              <w:rPr>
                <w:rFonts w:ascii="Calibri" w:hAnsi="Calibri" w:cs="Calibri"/>
                <w:color w:val="000000"/>
                <w:sz w:val="28"/>
                <w:szCs w:val="28"/>
              </w:rPr>
            </w:pPr>
            <w:r>
              <w:rPr>
                <w:rFonts w:cs="Calibri" w:ascii="Calibri" w:hAnsi="Calibri"/>
                <w:color w:val="000000"/>
                <w:sz w:val="28"/>
                <w:szCs w:val="28"/>
              </w:rPr>
            </w:r>
          </w:p>
        </w:tc>
      </w:tr>
      <w:tr>
        <w:trPr>
          <w:trHeight w:val="342" w:hRule="atLeast"/>
        </w:trPr>
        <w:tc>
          <w:tcPr>
            <w:tcW w:w="7900" w:type="dxa"/>
            <w:gridSpan w:val="5"/>
            <w:vMerge w:val="continue"/>
            <w:tcBorders/>
            <w:vAlign w:val="center"/>
          </w:tcPr>
          <w:p>
            <w:pPr>
              <w:pStyle w:val="Normal"/>
              <w:rPr>
                <w:rFonts w:ascii="Calibri" w:hAnsi="Calibri" w:cs="Calibri"/>
                <w:color w:val="000000"/>
                <w:sz w:val="28"/>
                <w:szCs w:val="28"/>
              </w:rPr>
            </w:pPr>
            <w:r>
              <w:rPr>
                <w:rFonts w:cs="Calibri" w:ascii="Calibri" w:hAnsi="Calibri"/>
                <w:color w:val="000000"/>
                <w:sz w:val="28"/>
                <w:szCs w:val="28"/>
              </w:rPr>
            </w:r>
          </w:p>
        </w:tc>
      </w:tr>
      <w:tr>
        <w:trPr>
          <w:trHeight w:val="315" w:hRule="exact"/>
        </w:trPr>
        <w:tc>
          <w:tcPr>
            <w:tcW w:w="827" w:type="dxa"/>
            <w:tcBorders/>
            <w:shd w:color="auto" w:fill="auto" w:val="clear"/>
            <w:vAlign w:val="bottom"/>
          </w:tcPr>
          <w:p>
            <w:pPr>
              <w:pStyle w:val="Normal"/>
              <w:rPr>
                <w:rFonts w:ascii="Calibri" w:hAnsi="Calibri" w:cs="Calibri"/>
                <w:color w:val="000000"/>
                <w:sz w:val="28"/>
                <w:szCs w:val="28"/>
              </w:rPr>
            </w:pPr>
            <w:r>
              <w:rPr>
                <w:rFonts w:cs="Calibri" w:ascii="Calibri" w:hAnsi="Calibri"/>
                <w:color w:val="000000"/>
                <w:sz w:val="28"/>
                <w:szCs w:val="28"/>
              </w:rPr>
            </w:r>
          </w:p>
        </w:tc>
        <w:tc>
          <w:tcPr>
            <w:tcW w:w="798"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781"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4233"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1261"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15" w:hRule="atLeast"/>
        </w:trPr>
        <w:tc>
          <w:tcPr>
            <w:tcW w:w="827" w:type="dxa"/>
            <w:tcBorders/>
            <w:shd w:color="auto" w:fill="auto" w:val="clear"/>
            <w:vAlign w:val="bottom"/>
          </w:tcPr>
          <w:p>
            <w:pPr>
              <w:pStyle w:val="Normal"/>
              <w:rPr>
                <w:rFonts w:ascii="Calibri" w:hAnsi="Calibri" w:cs="Calibri"/>
                <w:color w:val="000000"/>
                <w:sz w:val="28"/>
                <w:szCs w:val="28"/>
              </w:rPr>
            </w:pPr>
            <w:r>
              <w:rPr>
                <w:rFonts w:cs="Calibri" w:ascii="Calibri" w:hAnsi="Calibri"/>
                <w:color w:val="000000"/>
                <w:sz w:val="28"/>
                <w:szCs w:val="28"/>
              </w:rPr>
            </w:r>
          </w:p>
        </w:tc>
        <w:tc>
          <w:tcPr>
            <w:tcW w:w="798"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781"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4233"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1261"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15" w:hRule="atLeast"/>
        </w:trPr>
        <w:tc>
          <w:tcPr>
            <w:tcW w:w="827" w:type="dxa"/>
            <w:tcBorders/>
            <w:shd w:color="auto" w:fill="auto" w:val="clear"/>
            <w:vAlign w:val="bottom"/>
          </w:tcPr>
          <w:p>
            <w:pPr>
              <w:pStyle w:val="Normal"/>
              <w:rPr>
                <w:rFonts w:ascii="Calibri" w:hAnsi="Calibri" w:cs="Calibri"/>
                <w:color w:val="000000"/>
                <w:sz w:val="28"/>
                <w:szCs w:val="28"/>
              </w:rPr>
            </w:pPr>
            <w:r>
              <w:rPr>
                <w:rFonts w:cs="Calibri" w:ascii="Calibri" w:hAnsi="Calibri"/>
                <w:color w:val="000000"/>
                <w:sz w:val="28"/>
                <w:szCs w:val="28"/>
              </w:rPr>
            </w:r>
          </w:p>
        </w:tc>
        <w:tc>
          <w:tcPr>
            <w:tcW w:w="798"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781"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4233"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1261"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15" w:hRule="atLeast"/>
        </w:trPr>
        <w:tc>
          <w:tcPr>
            <w:tcW w:w="2406" w:type="dxa"/>
            <w:gridSpan w:val="3"/>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t>Sport Horse:</w:t>
            </w:r>
          </w:p>
        </w:tc>
        <w:tc>
          <w:tcPr>
            <w:tcW w:w="4233" w:type="dxa"/>
            <w:tcBorders>
              <w:bottom w:val="single" w:sz="8"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r>
          </w:p>
        </w:tc>
        <w:tc>
          <w:tcPr>
            <w:tcW w:w="1261" w:type="dxa"/>
            <w:tcBorders>
              <w:bottom w:val="single" w:sz="8"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406" w:type="dxa"/>
            <w:gridSpan w:val="3"/>
            <w:vMerge w:val="restart"/>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xml:space="preserve">Foals and Yearlings: </w:t>
            </w:r>
          </w:p>
        </w:tc>
        <w:tc>
          <w:tcPr>
            <w:tcW w:w="4233" w:type="dxa"/>
            <w:tcBorders>
              <w:top w:val="single" w:sz="8"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24 hours to 7 days</w:t>
            </w:r>
          </w:p>
        </w:tc>
        <w:tc>
          <w:tcPr>
            <w:tcW w:w="1261" w:type="dxa"/>
            <w:tcBorders>
              <w:top w:val="single" w:sz="8"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5.95%</w:t>
            </w:r>
          </w:p>
        </w:tc>
      </w:tr>
      <w:tr>
        <w:trPr>
          <w:trHeight w:val="300" w:hRule="atLeast"/>
        </w:trPr>
        <w:tc>
          <w:tcPr>
            <w:tcW w:w="2406" w:type="dxa"/>
            <w:gridSpan w:val="3"/>
            <w:vMerge w:val="continue"/>
            <w:tcBorders>
              <w:top w:val="single" w:sz="8" w:space="0" w:color="000000"/>
              <w:left w:val="single" w:sz="8"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8 days to 30 days</w:t>
            </w:r>
          </w:p>
        </w:tc>
        <w:tc>
          <w:tcPr>
            <w:tcW w:w="1261"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5.50%</w:t>
            </w:r>
          </w:p>
        </w:tc>
      </w:tr>
      <w:tr>
        <w:trPr>
          <w:trHeight w:val="300" w:hRule="atLeast"/>
        </w:trPr>
        <w:tc>
          <w:tcPr>
            <w:tcW w:w="2406" w:type="dxa"/>
            <w:gridSpan w:val="3"/>
            <w:vMerge w:val="continue"/>
            <w:tcBorders>
              <w:top w:val="single" w:sz="8" w:space="0" w:color="000000"/>
              <w:left w:val="single" w:sz="8"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31 days to 90 days</w:t>
            </w:r>
          </w:p>
        </w:tc>
        <w:tc>
          <w:tcPr>
            <w:tcW w:w="1261"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5.00%</w:t>
            </w:r>
          </w:p>
        </w:tc>
      </w:tr>
      <w:tr>
        <w:trPr>
          <w:trHeight w:val="300" w:hRule="atLeast"/>
        </w:trPr>
        <w:tc>
          <w:tcPr>
            <w:tcW w:w="2406" w:type="dxa"/>
            <w:gridSpan w:val="3"/>
            <w:vMerge w:val="continue"/>
            <w:tcBorders>
              <w:top w:val="single" w:sz="8" w:space="0" w:color="000000"/>
              <w:left w:val="single" w:sz="8"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91 days and over</w:t>
            </w:r>
          </w:p>
        </w:tc>
        <w:tc>
          <w:tcPr>
            <w:tcW w:w="1261"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3.25%</w:t>
            </w:r>
          </w:p>
        </w:tc>
      </w:tr>
      <w:tr>
        <w:trPr>
          <w:trHeight w:val="315" w:hRule="atLeast"/>
        </w:trPr>
        <w:tc>
          <w:tcPr>
            <w:tcW w:w="2406" w:type="dxa"/>
            <w:gridSpan w:val="3"/>
            <w:vMerge w:val="continue"/>
            <w:tcBorders>
              <w:top w:val="single" w:sz="8" w:space="0" w:color="000000"/>
              <w:left w:val="single" w:sz="8"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Yearlings - January 1 to December 31</w:t>
            </w:r>
          </w:p>
        </w:tc>
        <w:tc>
          <w:tcPr>
            <w:tcW w:w="1261"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3.25%</w:t>
            </w:r>
          </w:p>
        </w:tc>
      </w:tr>
      <w:tr>
        <w:trPr>
          <w:trHeight w:val="300" w:hRule="atLeast"/>
        </w:trPr>
        <w:tc>
          <w:tcPr>
            <w:tcW w:w="2406" w:type="dxa"/>
            <w:gridSpan w:val="3"/>
            <w:tcBorders>
              <w:top w:val="single" w:sz="8" w:space="0" w:color="000000"/>
              <w:left w:val="single" w:sz="8" w:space="0" w:color="000000"/>
              <w:right w:val="single" w:sz="8"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Breeding</w:t>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Mares</w:t>
            </w:r>
          </w:p>
        </w:tc>
        <w:tc>
          <w:tcPr>
            <w:tcW w:w="1261"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3.25%</w:t>
            </w:r>
          </w:p>
        </w:tc>
      </w:tr>
      <w:tr>
        <w:trPr>
          <w:trHeight w:val="315" w:hRule="atLeast"/>
        </w:trPr>
        <w:tc>
          <w:tcPr>
            <w:tcW w:w="2406" w:type="dxa"/>
            <w:gridSpan w:val="3"/>
            <w:tcBorders>
              <w:left w:val="single" w:sz="8" w:space="0" w:color="000000"/>
              <w:bottom w:val="single" w:sz="8" w:space="0" w:color="000000"/>
              <w:right w:val="single" w:sz="8"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Age: 2 years to 15 years</w:t>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Stallions</w:t>
            </w:r>
          </w:p>
        </w:tc>
        <w:tc>
          <w:tcPr>
            <w:tcW w:w="1261"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3.25%</w:t>
            </w:r>
          </w:p>
        </w:tc>
      </w:tr>
      <w:tr>
        <w:trPr>
          <w:trHeight w:val="300" w:hRule="atLeast"/>
        </w:trPr>
        <w:tc>
          <w:tcPr>
            <w:tcW w:w="2406" w:type="dxa"/>
            <w:gridSpan w:val="3"/>
            <w:vMerge w:val="restart"/>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Age: 2 years to 15 years</w:t>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Show, Pleasure, no jumping</w:t>
            </w:r>
          </w:p>
        </w:tc>
        <w:tc>
          <w:tcPr>
            <w:tcW w:w="1261"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3.00%</w:t>
            </w:r>
          </w:p>
        </w:tc>
      </w:tr>
      <w:tr>
        <w:trPr>
          <w:trHeight w:val="300" w:hRule="atLeast"/>
        </w:trPr>
        <w:tc>
          <w:tcPr>
            <w:tcW w:w="2406" w:type="dxa"/>
            <w:gridSpan w:val="3"/>
            <w:vMerge w:val="continue"/>
            <w:tcBorders>
              <w:top w:val="single" w:sz="8" w:space="0" w:color="000000"/>
              <w:left w:val="single" w:sz="8"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Dressage, Driving</w:t>
            </w:r>
          </w:p>
        </w:tc>
        <w:tc>
          <w:tcPr>
            <w:tcW w:w="1261"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3.00%</w:t>
            </w:r>
          </w:p>
        </w:tc>
      </w:tr>
      <w:tr>
        <w:trPr>
          <w:trHeight w:val="300" w:hRule="atLeast"/>
        </w:trPr>
        <w:tc>
          <w:tcPr>
            <w:tcW w:w="2406" w:type="dxa"/>
            <w:gridSpan w:val="3"/>
            <w:vMerge w:val="continue"/>
            <w:tcBorders>
              <w:top w:val="single" w:sz="8" w:space="0" w:color="000000"/>
              <w:left w:val="single" w:sz="8"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Show Hunter (includes jumping)</w:t>
            </w:r>
          </w:p>
        </w:tc>
        <w:tc>
          <w:tcPr>
            <w:tcW w:w="1261"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3.40%</w:t>
            </w:r>
          </w:p>
        </w:tc>
      </w:tr>
      <w:tr>
        <w:trPr>
          <w:trHeight w:val="300" w:hRule="atLeast"/>
        </w:trPr>
        <w:tc>
          <w:tcPr>
            <w:tcW w:w="2406" w:type="dxa"/>
            <w:gridSpan w:val="3"/>
            <w:vMerge w:val="continue"/>
            <w:tcBorders>
              <w:top w:val="single" w:sz="8" w:space="0" w:color="000000"/>
              <w:left w:val="single" w:sz="8"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Show Jumper</w:t>
            </w:r>
          </w:p>
        </w:tc>
        <w:tc>
          <w:tcPr>
            <w:tcW w:w="1261"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3.60%</w:t>
            </w:r>
          </w:p>
        </w:tc>
      </w:tr>
      <w:tr>
        <w:trPr>
          <w:trHeight w:val="300" w:hRule="atLeast"/>
        </w:trPr>
        <w:tc>
          <w:tcPr>
            <w:tcW w:w="2406" w:type="dxa"/>
            <w:gridSpan w:val="3"/>
            <w:vMerge w:val="continue"/>
            <w:tcBorders>
              <w:top w:val="single" w:sz="8" w:space="0" w:color="000000"/>
              <w:left w:val="single" w:sz="8"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Eventing</w:t>
            </w:r>
          </w:p>
        </w:tc>
        <w:tc>
          <w:tcPr>
            <w:tcW w:w="1261"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4.50%</w:t>
            </w:r>
          </w:p>
        </w:tc>
      </w:tr>
      <w:tr>
        <w:trPr>
          <w:trHeight w:val="300" w:hRule="atLeast"/>
        </w:trPr>
        <w:tc>
          <w:tcPr>
            <w:tcW w:w="2406" w:type="dxa"/>
            <w:gridSpan w:val="3"/>
            <w:vMerge w:val="continue"/>
            <w:tcBorders>
              <w:top w:val="single" w:sz="8" w:space="0" w:color="000000"/>
              <w:left w:val="single" w:sz="8"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Polo</w:t>
            </w:r>
          </w:p>
        </w:tc>
        <w:tc>
          <w:tcPr>
            <w:tcW w:w="1261"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5.25%</w:t>
            </w:r>
          </w:p>
        </w:tc>
      </w:tr>
      <w:tr>
        <w:trPr>
          <w:trHeight w:val="315" w:hRule="atLeast"/>
        </w:trPr>
        <w:tc>
          <w:tcPr>
            <w:tcW w:w="2406" w:type="dxa"/>
            <w:gridSpan w:val="3"/>
            <w:vMerge w:val="continue"/>
            <w:tcBorders>
              <w:top w:val="single" w:sz="8" w:space="0" w:color="000000"/>
              <w:left w:val="single" w:sz="8" w:space="0" w:color="000000"/>
              <w:bottom w:val="single" w:sz="4"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Foxhunting</w:t>
            </w:r>
          </w:p>
        </w:tc>
        <w:tc>
          <w:tcPr>
            <w:tcW w:w="1261"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3.50%</w:t>
            </w:r>
          </w:p>
        </w:tc>
      </w:tr>
      <w:tr>
        <w:trPr>
          <w:trHeight w:val="300" w:hRule="atLeast"/>
        </w:trPr>
        <w:tc>
          <w:tcPr>
            <w:tcW w:w="2406" w:type="dxa"/>
            <w:gridSpan w:val="3"/>
            <w:vMerge w:val="restart"/>
            <w:tcBorders>
              <w:top w:val="single" w:sz="4" w:space="0" w:color="000000"/>
              <w:left w:val="single" w:sz="4" w:space="0" w:color="000000"/>
              <w:bottom w:val="single" w:sz="8" w:space="0" w:color="000000"/>
              <w:right w:val="single" w:sz="8"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Overage Rates</w:t>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16</w:t>
            </w:r>
          </w:p>
        </w:tc>
        <w:tc>
          <w:tcPr>
            <w:tcW w:w="12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Plus 1.50%</w:t>
            </w:r>
          </w:p>
        </w:tc>
      </w:tr>
      <w:tr>
        <w:trPr>
          <w:trHeight w:val="300" w:hRule="atLeast"/>
        </w:trPr>
        <w:tc>
          <w:tcPr>
            <w:tcW w:w="2406" w:type="dxa"/>
            <w:gridSpan w:val="3"/>
            <w:vMerge w:val="continue"/>
            <w:tcBorders>
              <w:top w:val="single" w:sz="8" w:space="0" w:color="000000"/>
              <w:left w:val="single" w:sz="4"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17</w:t>
            </w:r>
          </w:p>
        </w:tc>
        <w:tc>
          <w:tcPr>
            <w:tcW w:w="12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7.00%</w:t>
            </w:r>
          </w:p>
        </w:tc>
      </w:tr>
      <w:tr>
        <w:trPr>
          <w:trHeight w:val="300" w:hRule="atLeast"/>
        </w:trPr>
        <w:tc>
          <w:tcPr>
            <w:tcW w:w="2406" w:type="dxa"/>
            <w:gridSpan w:val="3"/>
            <w:vMerge w:val="continue"/>
            <w:tcBorders>
              <w:top w:val="single" w:sz="8" w:space="0" w:color="000000"/>
              <w:left w:val="single" w:sz="4"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18</w:t>
            </w:r>
          </w:p>
        </w:tc>
        <w:tc>
          <w:tcPr>
            <w:tcW w:w="12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9.25%</w:t>
            </w:r>
          </w:p>
        </w:tc>
      </w:tr>
      <w:tr>
        <w:trPr>
          <w:trHeight w:val="300" w:hRule="atLeast"/>
        </w:trPr>
        <w:tc>
          <w:tcPr>
            <w:tcW w:w="2406" w:type="dxa"/>
            <w:gridSpan w:val="3"/>
            <w:vMerge w:val="continue"/>
            <w:tcBorders>
              <w:top w:val="single" w:sz="8" w:space="0" w:color="000000"/>
              <w:left w:val="single" w:sz="4"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19</w:t>
            </w:r>
          </w:p>
        </w:tc>
        <w:tc>
          <w:tcPr>
            <w:tcW w:w="12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11.50%</w:t>
            </w:r>
          </w:p>
        </w:tc>
      </w:tr>
      <w:tr>
        <w:trPr>
          <w:trHeight w:val="300" w:hRule="atLeast"/>
        </w:trPr>
        <w:tc>
          <w:tcPr>
            <w:tcW w:w="2406" w:type="dxa"/>
            <w:gridSpan w:val="3"/>
            <w:vMerge w:val="continue"/>
            <w:tcBorders>
              <w:top w:val="single" w:sz="8" w:space="0" w:color="000000"/>
              <w:left w:val="single" w:sz="4"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20</w:t>
            </w:r>
          </w:p>
        </w:tc>
        <w:tc>
          <w:tcPr>
            <w:tcW w:w="12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15.00%</w:t>
            </w:r>
          </w:p>
        </w:tc>
      </w:tr>
      <w:tr>
        <w:trPr>
          <w:trHeight w:val="315" w:hRule="atLeast"/>
        </w:trPr>
        <w:tc>
          <w:tcPr>
            <w:tcW w:w="2406" w:type="dxa"/>
            <w:gridSpan w:val="3"/>
            <w:vMerge w:val="continue"/>
            <w:tcBorders>
              <w:top w:val="single" w:sz="8" w:space="0" w:color="000000"/>
              <w:left w:val="single" w:sz="4" w:space="0" w:color="000000"/>
              <w:bottom w:val="single" w:sz="4"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21</w:t>
            </w:r>
          </w:p>
        </w:tc>
        <w:tc>
          <w:tcPr>
            <w:tcW w:w="12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submit</w:t>
            </w:r>
          </w:p>
        </w:tc>
      </w:tr>
      <w:tr>
        <w:trPr>
          <w:trHeight w:val="315" w:hRule="exact"/>
        </w:trPr>
        <w:tc>
          <w:tcPr>
            <w:tcW w:w="827" w:type="dxa"/>
            <w:tcBorders>
              <w:top w:val="single" w:sz="4" w:space="0" w:color="000000"/>
              <w:bottom w:val="single" w:sz="8"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r>
          </w:p>
        </w:tc>
        <w:tc>
          <w:tcPr>
            <w:tcW w:w="798" w:type="dxa"/>
            <w:tcBorders>
              <w:top w:val="single" w:sz="4" w:space="0" w:color="000000"/>
              <w:bottom w:val="single" w:sz="8"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781" w:type="dxa"/>
            <w:tcBorders>
              <w:top w:val="single" w:sz="4" w:space="0" w:color="000000"/>
              <w:bottom w:val="single" w:sz="8"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4233" w:type="dxa"/>
            <w:tcBorders>
              <w:top w:val="single" w:sz="4" w:space="0" w:color="000000"/>
              <w:bottom w:val="single" w:sz="8"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1261" w:type="dxa"/>
            <w:tcBorders>
              <w:top w:val="single" w:sz="4" w:space="0" w:color="000000"/>
              <w:bottom w:val="single" w:sz="8"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6639" w:type="dxa"/>
            <w:gridSpan w:val="4"/>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Elective Surgery Under General Anesthesia</w:t>
            </w:r>
          </w:p>
        </w:tc>
        <w:tc>
          <w:tcPr>
            <w:tcW w:w="1261" w:type="dxa"/>
            <w:vMerge w:val="restart"/>
            <w:tcBorders>
              <w:top w:val="single" w:sz="8" w:space="0" w:color="000000"/>
              <w:left w:val="single" w:sz="4" w:space="0" w:color="000000"/>
              <w:bottom w:val="single" w:sz="8" w:space="0" w:color="000000"/>
              <w:right w:val="single" w:sz="8"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0.50%</w:t>
            </w:r>
          </w:p>
        </w:tc>
      </w:tr>
      <w:tr>
        <w:trPr>
          <w:trHeight w:val="315" w:hRule="atLeast"/>
        </w:trPr>
        <w:tc>
          <w:tcPr>
            <w:tcW w:w="6639" w:type="dxa"/>
            <w:gridSpan w:val="4"/>
            <w:vMerge w:val="continue"/>
            <w:tcBorders>
              <w:top w:val="single" w:sz="4"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1261" w:type="dxa"/>
            <w:vMerge w:val="continue"/>
            <w:tcBorders>
              <w:top w:val="single" w:sz="4" w:space="0" w:color="000000"/>
              <w:left w:val="single" w:sz="4"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r>
      <w:tr>
        <w:trPr>
          <w:trHeight w:val="300" w:hRule="atLeast"/>
        </w:trPr>
        <w:tc>
          <w:tcPr>
            <w:tcW w:w="6639" w:type="dxa"/>
            <w:gridSpan w:val="4"/>
            <w:vMerge w:val="restart"/>
            <w:tcBorders>
              <w:top w:val="single" w:sz="4"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Territorial Extension / Transit outside the Continental USA</w:t>
            </w:r>
          </w:p>
        </w:tc>
        <w:tc>
          <w:tcPr>
            <w:tcW w:w="1261" w:type="dxa"/>
            <w:vMerge w:val="restart"/>
            <w:tcBorders>
              <w:top w:val="single" w:sz="4" w:space="0" w:color="000000"/>
              <w:left w:val="single" w:sz="4" w:space="0" w:color="000000"/>
              <w:bottom w:val="single" w:sz="8" w:space="0" w:color="000000"/>
              <w:right w:val="single" w:sz="8"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submit</w:t>
            </w:r>
          </w:p>
        </w:tc>
      </w:tr>
      <w:tr>
        <w:trPr>
          <w:trHeight w:val="315" w:hRule="atLeast"/>
        </w:trPr>
        <w:tc>
          <w:tcPr>
            <w:tcW w:w="6639" w:type="dxa"/>
            <w:gridSpan w:val="4"/>
            <w:vMerge w:val="continue"/>
            <w:tcBorders>
              <w:top w:val="single" w:sz="4"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1261" w:type="dxa"/>
            <w:vMerge w:val="continue"/>
            <w:tcBorders>
              <w:top w:val="single" w:sz="4" w:space="0" w:color="000000"/>
              <w:left w:val="single" w:sz="4"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r>
    </w:tbl>
    <w:p>
      <w:pPr>
        <w:pStyle w:val="Normal"/>
        <w:rPr>
          <w:sz w:val="23"/>
          <w:szCs w:val="23"/>
        </w:rPr>
      </w:pPr>
      <w:r/>
      <w:r>
        <w:rPr/>
        <w:t>Mortality Rating Plan</w:t>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t>Mortality Rating Plan</w:t>
      </w:r>
    </w:p>
    <w:p>
      <w:pPr>
        <w:pStyle w:val="Normal"/>
        <w:rPr>
          <w:sz w:val="23"/>
          <w:szCs w:val="23"/>
        </w:rPr>
      </w:pPr>
      <w:r>
        <w:rPr>
          <w:sz w:val="23"/>
          <w:szCs w:val="23"/>
        </w:rPr>
      </w:r>
    </w:p>
    <w:tbl>
      <w:tblPr>
        <w:tblpPr w:vertAnchor="page" w:horzAnchor="margin" w:leftFromText="180" w:rightFromText="180" w:tblpX="0" w:tblpY="1441"/>
        <w:tblW w:w="7720" w:type="dxa"/>
        <w:jc w:val="left"/>
        <w:tblInd w:w="0" w:type="dxa"/>
        <w:tblCellMar>
          <w:top w:w="0" w:type="dxa"/>
          <w:left w:w="108" w:type="dxa"/>
          <w:bottom w:w="0" w:type="dxa"/>
          <w:right w:w="108" w:type="dxa"/>
        </w:tblCellMar>
        <w:tblLook w:val="04a0" w:noHBand="0" w:noVBand="1" w:firstColumn="1" w:lastRow="0" w:lastColumn="0" w:firstRow="1"/>
      </w:tblPr>
      <w:tblGrid>
        <w:gridCol w:w="959"/>
        <w:gridCol w:w="960"/>
        <w:gridCol w:w="959"/>
        <w:gridCol w:w="3882"/>
        <w:gridCol w:w="960"/>
      </w:tblGrid>
      <w:tr>
        <w:trPr>
          <w:trHeight w:val="488" w:hRule="atLeast"/>
        </w:trPr>
        <w:tc>
          <w:tcPr>
            <w:tcW w:w="7720" w:type="dxa"/>
            <w:gridSpan w:val="5"/>
            <w:vMerge w:val="restart"/>
            <w:tcBorders/>
            <w:shd w:color="000000" w:fill="9BC2E6" w:val="clear"/>
            <w:vAlign w:val="center"/>
          </w:tcPr>
          <w:p>
            <w:pPr>
              <w:pStyle w:val="Normal"/>
              <w:rPr>
                <w:rFonts w:ascii="Calibri" w:hAnsi="Calibri" w:cs="Calibri"/>
                <w:color w:val="000000"/>
                <w:sz w:val="40"/>
                <w:szCs w:val="40"/>
              </w:rPr>
            </w:pPr>
            <w:r>
              <w:rPr>
                <w:rFonts w:cs="Calibri" w:ascii="Calibri" w:hAnsi="Calibri"/>
                <w:color w:val="000000"/>
                <w:sz w:val="40"/>
                <w:szCs w:val="40"/>
              </w:rPr>
              <w:t>Standardbreds</w:t>
              <w:br/>
            </w:r>
            <w:r>
              <w:rPr>
                <w:rFonts w:cs="Calibri" w:ascii="Calibri" w:hAnsi="Calibri"/>
                <w:i/>
                <w:iCs/>
                <w:color w:val="000000"/>
                <w:sz w:val="18"/>
                <w:szCs w:val="18"/>
              </w:rPr>
              <w:t>*all rates include 20% commission</w:t>
            </w:r>
          </w:p>
        </w:tc>
      </w:tr>
      <w:tr>
        <w:trPr>
          <w:trHeight w:val="488" w:hRule="atLeast"/>
        </w:trPr>
        <w:tc>
          <w:tcPr>
            <w:tcW w:w="7720" w:type="dxa"/>
            <w:gridSpan w:val="5"/>
            <w:vMerge w:val="continue"/>
            <w:tcBorders/>
            <w:vAlign w:val="center"/>
          </w:tcPr>
          <w:p>
            <w:pPr>
              <w:pStyle w:val="Normal"/>
              <w:rPr>
                <w:rFonts w:ascii="Calibri" w:hAnsi="Calibri" w:cs="Calibri"/>
                <w:color w:val="000000"/>
                <w:sz w:val="40"/>
                <w:szCs w:val="40"/>
              </w:rPr>
            </w:pPr>
            <w:r>
              <w:rPr>
                <w:rFonts w:cs="Calibri" w:ascii="Calibri" w:hAnsi="Calibri"/>
                <w:color w:val="000000"/>
                <w:sz w:val="40"/>
                <w:szCs w:val="40"/>
              </w:rPr>
            </w:r>
          </w:p>
        </w:tc>
      </w:tr>
      <w:tr>
        <w:trPr>
          <w:trHeight w:val="488" w:hRule="atLeast"/>
        </w:trPr>
        <w:tc>
          <w:tcPr>
            <w:tcW w:w="7720" w:type="dxa"/>
            <w:gridSpan w:val="5"/>
            <w:vMerge w:val="continue"/>
            <w:tcBorders/>
            <w:vAlign w:val="center"/>
          </w:tcPr>
          <w:p>
            <w:pPr>
              <w:pStyle w:val="Normal"/>
              <w:rPr>
                <w:rFonts w:ascii="Calibri" w:hAnsi="Calibri" w:cs="Calibri"/>
                <w:color w:val="000000"/>
                <w:sz w:val="40"/>
                <w:szCs w:val="40"/>
              </w:rPr>
            </w:pPr>
            <w:r>
              <w:rPr>
                <w:rFonts w:cs="Calibri" w:ascii="Calibri" w:hAnsi="Calibri"/>
                <w:color w:val="000000"/>
                <w:sz w:val="40"/>
                <w:szCs w:val="40"/>
              </w:rPr>
            </w:r>
          </w:p>
        </w:tc>
      </w:tr>
      <w:tr>
        <w:trPr>
          <w:trHeight w:val="300" w:hRule="exact"/>
        </w:trPr>
        <w:tc>
          <w:tcPr>
            <w:tcW w:w="959" w:type="dxa"/>
            <w:tcBorders/>
            <w:shd w:color="auto" w:fill="auto" w:val="clear"/>
            <w:vAlign w:val="bottom"/>
          </w:tcPr>
          <w:p>
            <w:pPr>
              <w:pStyle w:val="Normal"/>
              <w:rPr>
                <w:rFonts w:ascii="Calibri" w:hAnsi="Calibri" w:cs="Calibri"/>
                <w:color w:val="000000"/>
                <w:sz w:val="40"/>
                <w:szCs w:val="40"/>
              </w:rPr>
            </w:pPr>
            <w:r>
              <w:rPr>
                <w:rFonts w:cs="Calibri" w:ascii="Calibri" w:hAnsi="Calibri"/>
                <w:color w:val="000000"/>
                <w:sz w:val="40"/>
                <w:szCs w:val="40"/>
              </w:rPr>
            </w:r>
          </w:p>
        </w:tc>
        <w:tc>
          <w:tcPr>
            <w:tcW w:w="960"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59"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3882"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60"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15" w:hRule="exact"/>
        </w:trPr>
        <w:tc>
          <w:tcPr>
            <w:tcW w:w="959"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60"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59"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3882"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6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878"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xml:space="preserve">Foals and Yearlings: </w:t>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24 hours to 7 days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5.00%</w:t>
            </w:r>
          </w:p>
        </w:tc>
      </w:tr>
      <w:tr>
        <w:trPr>
          <w:trHeight w:val="300" w:hRule="atLeast"/>
        </w:trPr>
        <w:tc>
          <w:tcPr>
            <w:tcW w:w="287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8 days to 30 days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4.75%</w:t>
            </w:r>
          </w:p>
        </w:tc>
      </w:tr>
      <w:tr>
        <w:trPr>
          <w:trHeight w:val="300" w:hRule="atLeast"/>
        </w:trPr>
        <w:tc>
          <w:tcPr>
            <w:tcW w:w="287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31 days to 90 days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4.25%</w:t>
            </w:r>
          </w:p>
        </w:tc>
      </w:tr>
      <w:tr>
        <w:trPr>
          <w:trHeight w:val="300" w:hRule="atLeast"/>
        </w:trPr>
        <w:tc>
          <w:tcPr>
            <w:tcW w:w="287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91 days to September 30</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3.50%</w:t>
            </w:r>
          </w:p>
        </w:tc>
      </w:tr>
      <w:tr>
        <w:trPr>
          <w:trHeight w:val="300" w:hRule="atLeast"/>
        </w:trPr>
        <w:tc>
          <w:tcPr>
            <w:tcW w:w="287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October 1 to December 31</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3.00%</w:t>
            </w:r>
          </w:p>
        </w:tc>
      </w:tr>
      <w:tr>
        <w:trPr>
          <w:trHeight w:val="315" w:hRule="atLeast"/>
        </w:trPr>
        <w:tc>
          <w:tcPr>
            <w:tcW w:w="287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Yearlings - January 1 to December 31</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2.85%</w:t>
            </w:r>
          </w:p>
        </w:tc>
      </w:tr>
      <w:tr>
        <w:trPr>
          <w:trHeight w:val="300" w:hRule="atLeast"/>
        </w:trPr>
        <w:tc>
          <w:tcPr>
            <w:tcW w:w="959" w:type="dxa"/>
            <w:tcBorders/>
            <w:shd w:color="auto" w:fill="auto" w:val="clear"/>
            <w:vAlign w:val="center"/>
          </w:tcPr>
          <w:p>
            <w:pPr>
              <w:pStyle w:val="Normal"/>
              <w:jc w:val="center"/>
              <w:rPr>
                <w:rFonts w:ascii="Calibri" w:hAnsi="Calibri" w:cs="Calibri"/>
                <w:color w:val="000000"/>
              </w:rPr>
            </w:pPr>
            <w:r>
              <w:rPr>
                <w:rFonts w:cs="Calibri" w:ascii="Calibri" w:hAnsi="Calibri"/>
                <w:color w:val="000000"/>
              </w:rPr>
              <w:t> </w:t>
            </w:r>
          </w:p>
        </w:tc>
        <w:tc>
          <w:tcPr>
            <w:tcW w:w="960" w:type="dxa"/>
            <w:tcBorders/>
            <w:shd w:color="auto" w:fill="auto" w:val="clear"/>
            <w:vAlign w:val="center"/>
          </w:tcPr>
          <w:p>
            <w:pPr>
              <w:pStyle w:val="Normal"/>
              <w:jc w:val="center"/>
              <w:rPr>
                <w:rFonts w:ascii="Calibri" w:hAnsi="Calibri" w:cs="Calibri"/>
                <w:color w:val="000000"/>
              </w:rPr>
            </w:pPr>
            <w:r>
              <w:rPr>
                <w:rFonts w:cs="Calibri" w:ascii="Calibri" w:hAnsi="Calibri"/>
                <w:color w:val="000000"/>
              </w:rPr>
            </w:r>
          </w:p>
        </w:tc>
        <w:tc>
          <w:tcPr>
            <w:tcW w:w="959" w:type="dxa"/>
            <w:tcBorders/>
            <w:shd w:color="auto" w:fill="auto" w:val="clear"/>
            <w:vAlign w:val="center"/>
          </w:tcPr>
          <w:p>
            <w:pPr>
              <w:pStyle w:val="Normal"/>
              <w:jc w:val="center"/>
              <w:rPr>
                <w:rFonts w:ascii="Times New Roman" w:hAnsi="Times New Roman" w:cs="Times New Roman"/>
              </w:rPr>
            </w:pPr>
            <w:r>
              <w:rPr>
                <w:rFonts w:cs="Times New Roman" w:ascii="Times New Roman" w:hAnsi="Times New Roman"/>
              </w:rPr>
            </w:r>
          </w:p>
        </w:tc>
        <w:tc>
          <w:tcPr>
            <w:tcW w:w="3882" w:type="dxa"/>
            <w:tcBorders>
              <w:top w:val="single" w:sz="4" w:space="0" w:color="000000"/>
            </w:tcBorders>
            <w:shd w:color="auto" w:fill="auto" w:val="clear"/>
            <w:vAlign w:val="bottom"/>
          </w:tcPr>
          <w:p>
            <w:pPr>
              <w:pStyle w:val="Normal"/>
              <w:jc w:val="center"/>
              <w:rPr>
                <w:rFonts w:ascii="Times New Roman" w:hAnsi="Times New Roman" w:cs="Times New Roman"/>
              </w:rPr>
            </w:pPr>
            <w:r>
              <w:rPr>
                <w:rFonts w:cs="Times New Roman" w:ascii="Times New Roman" w:hAnsi="Times New Roman"/>
              </w:rPr>
            </w:r>
          </w:p>
        </w:tc>
        <w:tc>
          <w:tcPr>
            <w:tcW w:w="960" w:type="dxa"/>
            <w:tcBorders>
              <w:top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15" w:hRule="atLeast"/>
        </w:trPr>
        <w:tc>
          <w:tcPr>
            <w:tcW w:w="959" w:type="dxa"/>
            <w:tcBorders/>
            <w:shd w:color="auto" w:fill="auto" w:val="clear"/>
            <w:vAlign w:val="bottom"/>
          </w:tcPr>
          <w:p>
            <w:pPr>
              <w:pStyle w:val="Normal"/>
              <w:rPr>
                <w:rFonts w:ascii="Calibri" w:hAnsi="Calibri" w:cs="Calibri"/>
                <w:color w:val="000000"/>
              </w:rPr>
            </w:pPr>
            <w:r>
              <w:rPr>
                <w:rFonts w:cs="Calibri" w:ascii="Calibri" w:hAnsi="Calibri"/>
                <w:color w:val="000000"/>
              </w:rPr>
              <w:t> </w:t>
            </w:r>
          </w:p>
        </w:tc>
        <w:tc>
          <w:tcPr>
            <w:tcW w:w="960" w:type="dxa"/>
            <w:tcBorders/>
            <w:shd w:color="auto" w:fill="auto" w:val="clear"/>
            <w:vAlign w:val="bottom"/>
          </w:tcPr>
          <w:p>
            <w:pPr>
              <w:pStyle w:val="Normal"/>
              <w:rPr>
                <w:rFonts w:ascii="Calibri" w:hAnsi="Calibri" w:cs="Calibri"/>
                <w:color w:val="000000"/>
              </w:rPr>
            </w:pPr>
            <w:r>
              <w:rPr>
                <w:rFonts w:cs="Calibri" w:ascii="Calibri" w:hAnsi="Calibri"/>
                <w:color w:val="000000"/>
              </w:rPr>
            </w:r>
          </w:p>
        </w:tc>
        <w:tc>
          <w:tcPr>
            <w:tcW w:w="959"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3882"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60"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878" w:type="dxa"/>
            <w:gridSpan w:val="3"/>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t xml:space="preserve">Racing: </w:t>
            </w:r>
          </w:p>
        </w:tc>
        <w:tc>
          <w:tcPr>
            <w:tcW w:w="3882" w:type="dxa"/>
            <w:tcBorders>
              <w:bottom w:val="single" w:sz="4"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r>
          </w:p>
        </w:tc>
        <w:tc>
          <w:tcPr>
            <w:tcW w:w="96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878"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xml:space="preserve"> </w:t>
            </w:r>
            <w:r>
              <w:rPr>
                <w:rFonts w:cs="Calibri" w:ascii="Calibri" w:hAnsi="Calibri"/>
                <w:color w:val="000000"/>
              </w:rPr>
              <w:t xml:space="preserve">Up to and including 10 years of age </w:t>
            </w:r>
            <w:r>
              <w:rPr>
                <w:rFonts w:cs="Calibri" w:ascii="Calibri" w:hAnsi="Calibri"/>
                <w:i/>
                <w:iCs/>
                <w:color w:val="000000"/>
              </w:rPr>
              <w:t>(all values)</w:t>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Colts and Fillies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3.50%</w:t>
            </w:r>
          </w:p>
        </w:tc>
      </w:tr>
      <w:tr>
        <w:trPr>
          <w:trHeight w:val="315" w:hRule="atLeast"/>
        </w:trPr>
        <w:tc>
          <w:tcPr>
            <w:tcW w:w="287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Geldings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3.60%</w:t>
            </w:r>
          </w:p>
        </w:tc>
      </w:tr>
      <w:tr>
        <w:trPr>
          <w:trHeight w:val="300" w:hRule="exact"/>
        </w:trPr>
        <w:tc>
          <w:tcPr>
            <w:tcW w:w="959" w:type="dxa"/>
            <w:tcBorders/>
            <w:shd w:color="auto" w:fill="auto" w:val="clear"/>
            <w:vAlign w:val="center"/>
          </w:tcPr>
          <w:p>
            <w:pPr>
              <w:pStyle w:val="Normal"/>
              <w:jc w:val="right"/>
              <w:rPr>
                <w:rFonts w:ascii="Calibri" w:hAnsi="Calibri" w:cs="Calibri"/>
                <w:color w:val="000000"/>
              </w:rPr>
            </w:pPr>
            <w:r>
              <w:rPr>
                <w:rFonts w:cs="Calibri" w:ascii="Calibri" w:hAnsi="Calibri"/>
                <w:color w:val="000000"/>
              </w:rPr>
            </w:r>
          </w:p>
        </w:tc>
        <w:tc>
          <w:tcPr>
            <w:tcW w:w="960" w:type="dxa"/>
            <w:tcBorders/>
            <w:shd w:color="auto" w:fill="auto" w:val="clear"/>
            <w:vAlign w:val="center"/>
          </w:tcPr>
          <w:p>
            <w:pPr>
              <w:pStyle w:val="Normal"/>
              <w:jc w:val="center"/>
              <w:rPr>
                <w:rFonts w:ascii="Times New Roman" w:hAnsi="Times New Roman" w:cs="Times New Roman"/>
              </w:rPr>
            </w:pPr>
            <w:r>
              <w:rPr>
                <w:rFonts w:cs="Times New Roman" w:ascii="Times New Roman" w:hAnsi="Times New Roman"/>
              </w:rPr>
            </w:r>
          </w:p>
        </w:tc>
        <w:tc>
          <w:tcPr>
            <w:tcW w:w="959" w:type="dxa"/>
            <w:tcBorders/>
            <w:shd w:color="auto" w:fill="auto" w:val="clear"/>
            <w:vAlign w:val="center"/>
          </w:tcPr>
          <w:p>
            <w:pPr>
              <w:pStyle w:val="Normal"/>
              <w:jc w:val="center"/>
              <w:rPr>
                <w:rFonts w:ascii="Times New Roman" w:hAnsi="Times New Roman" w:cs="Times New Roman"/>
              </w:rPr>
            </w:pPr>
            <w:r>
              <w:rPr>
                <w:rFonts w:cs="Times New Roman" w:ascii="Times New Roman" w:hAnsi="Times New Roman"/>
              </w:rPr>
            </w:r>
          </w:p>
        </w:tc>
        <w:tc>
          <w:tcPr>
            <w:tcW w:w="3882" w:type="dxa"/>
            <w:tcBorders>
              <w:top w:val="single" w:sz="4" w:space="0" w:color="000000"/>
            </w:tcBorders>
            <w:shd w:color="auto" w:fill="auto" w:val="clear"/>
            <w:vAlign w:val="bottom"/>
          </w:tcPr>
          <w:p>
            <w:pPr>
              <w:pStyle w:val="Normal"/>
              <w:jc w:val="center"/>
              <w:rPr>
                <w:rFonts w:ascii="Times New Roman" w:hAnsi="Times New Roman" w:cs="Times New Roman"/>
              </w:rPr>
            </w:pPr>
            <w:r>
              <w:rPr>
                <w:rFonts w:cs="Times New Roman" w:ascii="Times New Roman" w:hAnsi="Times New Roman"/>
              </w:rPr>
            </w:r>
          </w:p>
        </w:tc>
        <w:tc>
          <w:tcPr>
            <w:tcW w:w="960" w:type="dxa"/>
            <w:tcBorders>
              <w:top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959" w:type="dxa"/>
            <w:tcBorders/>
            <w:shd w:color="auto" w:fill="auto" w:val="clear"/>
            <w:vAlign w:val="center"/>
          </w:tcPr>
          <w:p>
            <w:pPr>
              <w:pStyle w:val="Normal"/>
              <w:jc w:val="center"/>
              <w:rPr>
                <w:rFonts w:ascii="Calibri" w:hAnsi="Calibri" w:cs="Calibri"/>
                <w:color w:val="000000"/>
              </w:rPr>
            </w:pPr>
            <w:r>
              <w:rPr>
                <w:rFonts w:cs="Calibri" w:ascii="Calibri" w:hAnsi="Calibri"/>
                <w:color w:val="000000"/>
              </w:rPr>
              <w:t> </w:t>
            </w:r>
          </w:p>
        </w:tc>
        <w:tc>
          <w:tcPr>
            <w:tcW w:w="960" w:type="dxa"/>
            <w:tcBorders/>
            <w:shd w:color="auto" w:fill="auto" w:val="clear"/>
            <w:vAlign w:val="center"/>
          </w:tcPr>
          <w:p>
            <w:pPr>
              <w:pStyle w:val="Normal"/>
              <w:jc w:val="center"/>
              <w:rPr>
                <w:rFonts w:ascii="Calibri" w:hAnsi="Calibri" w:cs="Calibri"/>
                <w:color w:val="000000"/>
              </w:rPr>
            </w:pPr>
            <w:r>
              <w:rPr>
                <w:rFonts w:cs="Calibri" w:ascii="Calibri" w:hAnsi="Calibri"/>
                <w:color w:val="000000"/>
              </w:rPr>
            </w:r>
          </w:p>
        </w:tc>
        <w:tc>
          <w:tcPr>
            <w:tcW w:w="959" w:type="dxa"/>
            <w:tcBorders/>
            <w:shd w:color="auto" w:fill="auto" w:val="clear"/>
            <w:vAlign w:val="center"/>
          </w:tcPr>
          <w:p>
            <w:pPr>
              <w:pStyle w:val="Normal"/>
              <w:jc w:val="center"/>
              <w:rPr>
                <w:rFonts w:ascii="Times New Roman" w:hAnsi="Times New Roman" w:cs="Times New Roman"/>
              </w:rPr>
            </w:pPr>
            <w:r>
              <w:rPr>
                <w:rFonts w:cs="Times New Roman" w:ascii="Times New Roman" w:hAnsi="Times New Roman"/>
              </w:rPr>
            </w:r>
          </w:p>
        </w:tc>
        <w:tc>
          <w:tcPr>
            <w:tcW w:w="3882" w:type="dxa"/>
            <w:tcBorders/>
            <w:shd w:color="auto" w:fill="auto" w:val="clear"/>
            <w:vAlign w:val="bottom"/>
          </w:tcPr>
          <w:p>
            <w:pPr>
              <w:pStyle w:val="Normal"/>
              <w:jc w:val="center"/>
              <w:rPr>
                <w:rFonts w:ascii="Times New Roman" w:hAnsi="Times New Roman" w:cs="Times New Roman"/>
              </w:rPr>
            </w:pPr>
            <w:r>
              <w:rPr>
                <w:rFonts w:cs="Times New Roman" w:ascii="Times New Roman" w:hAnsi="Times New Roman"/>
              </w:rPr>
            </w:r>
          </w:p>
        </w:tc>
        <w:tc>
          <w:tcPr>
            <w:tcW w:w="960"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878" w:type="dxa"/>
            <w:gridSpan w:val="3"/>
            <w:tcBorders>
              <w:top w:val="single" w:sz="8" w:space="0" w:color="000000"/>
              <w:left w:val="single" w:sz="8" w:space="0" w:color="000000"/>
              <w:bottom w:val="single" w:sz="4" w:space="0" w:color="000000"/>
              <w:right w:val="single" w:sz="8"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Breeding</w:t>
            </w:r>
          </w:p>
        </w:tc>
        <w:tc>
          <w:tcPr>
            <w:tcW w:w="3882" w:type="dxa"/>
            <w:tcBorders>
              <w:bottom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r>
          </w:p>
        </w:tc>
        <w:tc>
          <w:tcPr>
            <w:tcW w:w="96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2 years to 15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2.80%</w:t>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16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4.80%</w:t>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17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7.00%</w:t>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18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10.00%</w:t>
            </w:r>
          </w:p>
        </w:tc>
      </w:tr>
      <w:tr>
        <w:trPr>
          <w:trHeight w:val="375"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19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12.25%</w:t>
            </w:r>
          </w:p>
        </w:tc>
      </w:tr>
      <w:tr>
        <w:trPr>
          <w:trHeight w:val="315"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20 years and over</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15.75%</w:t>
            </w:r>
          </w:p>
        </w:tc>
      </w:tr>
      <w:tr>
        <w:trPr>
          <w:trHeight w:val="315" w:hRule="exact"/>
        </w:trPr>
        <w:tc>
          <w:tcPr>
            <w:tcW w:w="959" w:type="dxa"/>
            <w:tcBorders>
              <w:top w:val="single" w:sz="4" w:space="0" w:color="000000"/>
              <w:bottom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r>
          </w:p>
        </w:tc>
        <w:tc>
          <w:tcPr>
            <w:tcW w:w="960"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59"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3882"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60"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6760"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Territorial Extension / Transit outside the Continental USA</w:t>
            </w:r>
          </w:p>
        </w:tc>
        <w:tc>
          <w:tcPr>
            <w:tcW w:w="960" w:type="dxa"/>
            <w:vMerge w:val="restart"/>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submit</w:t>
            </w:r>
          </w:p>
        </w:tc>
      </w:tr>
      <w:tr>
        <w:trPr>
          <w:trHeight w:val="315" w:hRule="atLeast"/>
        </w:trPr>
        <w:tc>
          <w:tcPr>
            <w:tcW w:w="6760"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9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r>
    </w:tbl>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t>Mortality Rating Plan</w:t>
      </w:r>
    </w:p>
    <w:tbl>
      <w:tblPr>
        <w:tblW w:w="7720" w:type="dxa"/>
        <w:jc w:val="left"/>
        <w:tblInd w:w="0" w:type="dxa"/>
        <w:tblCellMar>
          <w:top w:w="0" w:type="dxa"/>
          <w:left w:w="108" w:type="dxa"/>
          <w:bottom w:w="0" w:type="dxa"/>
          <w:right w:w="108" w:type="dxa"/>
        </w:tblCellMar>
        <w:tblLook w:val="04a0" w:noHBand="0" w:noVBand="1" w:firstColumn="1" w:lastRow="0" w:lastColumn="0" w:firstRow="1"/>
      </w:tblPr>
      <w:tblGrid>
        <w:gridCol w:w="959"/>
        <w:gridCol w:w="960"/>
        <w:gridCol w:w="959"/>
        <w:gridCol w:w="3882"/>
        <w:gridCol w:w="960"/>
      </w:tblGrid>
      <w:tr>
        <w:trPr>
          <w:trHeight w:val="488" w:hRule="atLeast"/>
        </w:trPr>
        <w:tc>
          <w:tcPr>
            <w:tcW w:w="7720" w:type="dxa"/>
            <w:gridSpan w:val="5"/>
            <w:vMerge w:val="restart"/>
            <w:tcBorders/>
            <w:shd w:color="000000" w:fill="9BC2E6" w:val="clear"/>
            <w:vAlign w:val="center"/>
          </w:tcPr>
          <w:p>
            <w:pPr>
              <w:pStyle w:val="Normal"/>
              <w:rPr>
                <w:rFonts w:ascii="Calibri" w:hAnsi="Calibri" w:cs="Calibri"/>
                <w:color w:val="000000"/>
                <w:sz w:val="40"/>
                <w:szCs w:val="40"/>
              </w:rPr>
            </w:pPr>
            <w:r>
              <w:rPr>
                <w:rFonts w:cs="Calibri" w:ascii="Calibri" w:hAnsi="Calibri"/>
                <w:color w:val="000000"/>
                <w:sz w:val="40"/>
                <w:szCs w:val="40"/>
              </w:rPr>
              <w:t>Thoroughbreds</w:t>
              <w:br/>
            </w:r>
            <w:r>
              <w:rPr>
                <w:rFonts w:cs="Calibri" w:ascii="Calibri" w:hAnsi="Calibri"/>
                <w:i/>
                <w:iCs/>
                <w:color w:val="000000"/>
                <w:sz w:val="18"/>
                <w:szCs w:val="18"/>
              </w:rPr>
              <w:t>*all rates include 20% commission</w:t>
            </w:r>
          </w:p>
        </w:tc>
      </w:tr>
      <w:tr>
        <w:trPr>
          <w:trHeight w:val="488" w:hRule="atLeast"/>
        </w:trPr>
        <w:tc>
          <w:tcPr>
            <w:tcW w:w="7720" w:type="dxa"/>
            <w:gridSpan w:val="5"/>
            <w:vMerge w:val="continue"/>
            <w:tcBorders/>
            <w:vAlign w:val="center"/>
          </w:tcPr>
          <w:p>
            <w:pPr>
              <w:pStyle w:val="Normal"/>
              <w:rPr>
                <w:rFonts w:ascii="Calibri" w:hAnsi="Calibri" w:cs="Calibri"/>
                <w:color w:val="000000"/>
                <w:sz w:val="40"/>
                <w:szCs w:val="40"/>
              </w:rPr>
            </w:pPr>
            <w:r>
              <w:rPr>
                <w:rFonts w:cs="Calibri" w:ascii="Calibri" w:hAnsi="Calibri"/>
                <w:color w:val="000000"/>
                <w:sz w:val="40"/>
                <w:szCs w:val="40"/>
              </w:rPr>
            </w:r>
          </w:p>
        </w:tc>
      </w:tr>
      <w:tr>
        <w:trPr>
          <w:trHeight w:val="488" w:hRule="atLeast"/>
        </w:trPr>
        <w:tc>
          <w:tcPr>
            <w:tcW w:w="7720" w:type="dxa"/>
            <w:gridSpan w:val="5"/>
            <w:vMerge w:val="continue"/>
            <w:tcBorders>
              <w:bottom w:val="single" w:sz="4" w:space="0" w:color="000000"/>
            </w:tcBorders>
            <w:vAlign w:val="center"/>
          </w:tcPr>
          <w:p>
            <w:pPr>
              <w:pStyle w:val="Normal"/>
              <w:rPr>
                <w:rFonts w:ascii="Calibri" w:hAnsi="Calibri" w:cs="Calibri"/>
                <w:color w:val="000000"/>
                <w:sz w:val="40"/>
                <w:szCs w:val="40"/>
              </w:rPr>
            </w:pPr>
            <w:r>
              <w:rPr>
                <w:rFonts w:cs="Calibri" w:ascii="Calibri" w:hAnsi="Calibri"/>
                <w:color w:val="000000"/>
                <w:sz w:val="40"/>
                <w:szCs w:val="40"/>
              </w:rPr>
            </w:r>
          </w:p>
        </w:tc>
      </w:tr>
      <w:tr>
        <w:trPr>
          <w:trHeight w:val="300" w:hRule="atLeast"/>
        </w:trPr>
        <w:tc>
          <w:tcPr>
            <w:tcW w:w="287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xml:space="preserve">Foals and Yearlings: </w:t>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24 hours to 7 days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5.75%</w:t>
            </w:r>
          </w:p>
        </w:tc>
      </w:tr>
      <w:tr>
        <w:trPr>
          <w:trHeight w:val="300" w:hRule="atLeast"/>
        </w:trPr>
        <w:tc>
          <w:tcPr>
            <w:tcW w:w="287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8 days to 30 days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5.25%</w:t>
            </w:r>
          </w:p>
        </w:tc>
      </w:tr>
      <w:tr>
        <w:trPr>
          <w:trHeight w:val="300" w:hRule="atLeast"/>
        </w:trPr>
        <w:tc>
          <w:tcPr>
            <w:tcW w:w="287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31 days to 90 days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4.75%</w:t>
            </w:r>
          </w:p>
        </w:tc>
      </w:tr>
      <w:tr>
        <w:trPr>
          <w:trHeight w:val="300" w:hRule="atLeast"/>
        </w:trPr>
        <w:tc>
          <w:tcPr>
            <w:tcW w:w="287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91 days to September 30</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3.50%</w:t>
            </w:r>
          </w:p>
        </w:tc>
      </w:tr>
      <w:tr>
        <w:trPr>
          <w:trHeight w:val="300" w:hRule="atLeast"/>
        </w:trPr>
        <w:tc>
          <w:tcPr>
            <w:tcW w:w="287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October 1 to December 31</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3.00%</w:t>
            </w:r>
          </w:p>
        </w:tc>
      </w:tr>
      <w:tr>
        <w:trPr>
          <w:trHeight w:val="300" w:hRule="atLeast"/>
        </w:trPr>
        <w:tc>
          <w:tcPr>
            <w:tcW w:w="287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Yearlings - January 1 to October 31</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3.00%</w:t>
            </w:r>
          </w:p>
        </w:tc>
      </w:tr>
      <w:tr>
        <w:trPr>
          <w:trHeight w:val="315" w:hRule="atLeast"/>
        </w:trPr>
        <w:tc>
          <w:tcPr>
            <w:tcW w:w="287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Yearlings - November 1 to December 31</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4.75%</w:t>
            </w:r>
          </w:p>
        </w:tc>
      </w:tr>
      <w:tr>
        <w:trPr>
          <w:trHeight w:val="315" w:hRule="atLeast"/>
        </w:trPr>
        <w:tc>
          <w:tcPr>
            <w:tcW w:w="959" w:type="dxa"/>
            <w:tcBorders>
              <w:top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 </w:t>
            </w:r>
          </w:p>
        </w:tc>
        <w:tc>
          <w:tcPr>
            <w:tcW w:w="960" w:type="dxa"/>
            <w:tcBorders>
              <w:top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r>
          </w:p>
        </w:tc>
        <w:tc>
          <w:tcPr>
            <w:tcW w:w="959" w:type="dxa"/>
            <w:tcBorders>
              <w:top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 </w:t>
            </w:r>
          </w:p>
        </w:tc>
        <w:tc>
          <w:tcPr>
            <w:tcW w:w="3882" w:type="dxa"/>
            <w:tcBorders>
              <w:top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r>
          </w:p>
        </w:tc>
        <w:tc>
          <w:tcPr>
            <w:tcW w:w="960" w:type="dxa"/>
            <w:tcBorders>
              <w:top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15" w:hRule="atLeast"/>
        </w:trPr>
        <w:tc>
          <w:tcPr>
            <w:tcW w:w="2878" w:type="dxa"/>
            <w:gridSpan w:val="3"/>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t>Racing: Colts and Fillies</w:t>
            </w:r>
          </w:p>
        </w:tc>
        <w:tc>
          <w:tcPr>
            <w:tcW w:w="3882" w:type="dxa"/>
            <w:tcBorders>
              <w:bottom w:val="single" w:sz="4"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r>
          </w:p>
        </w:tc>
        <w:tc>
          <w:tcPr>
            <w:tcW w:w="96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878" w:type="dxa"/>
            <w:gridSpan w:val="3"/>
            <w:vMerge w:val="restart"/>
            <w:tcBorders>
              <w:top w:val="single" w:sz="8" w:space="0" w:color="000000"/>
              <w:left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xml:space="preserve"> </w:t>
            </w:r>
            <w:r>
              <w:rPr>
                <w:rFonts w:cs="Calibri" w:ascii="Calibri" w:hAnsi="Calibri"/>
                <w:color w:val="000000"/>
              </w:rPr>
              <w:t>Up to and including 6 years of age</w:t>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up to $24,999</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6.50%</w:t>
            </w:r>
          </w:p>
        </w:tc>
      </w:tr>
      <w:tr>
        <w:trPr>
          <w:trHeight w:val="300" w:hRule="atLeast"/>
        </w:trPr>
        <w:tc>
          <w:tcPr>
            <w:tcW w:w="2878" w:type="dxa"/>
            <w:gridSpan w:val="3"/>
            <w:vMerge w:val="continue"/>
            <w:tcBorders>
              <w:top w:val="single" w:sz="8" w:space="0" w:color="000000"/>
              <w:left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$25,000 - $49,999</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5.30%</w:t>
            </w:r>
          </w:p>
        </w:tc>
      </w:tr>
      <w:tr>
        <w:trPr>
          <w:trHeight w:val="300" w:hRule="atLeast"/>
        </w:trPr>
        <w:tc>
          <w:tcPr>
            <w:tcW w:w="2878" w:type="dxa"/>
            <w:gridSpan w:val="3"/>
            <w:vMerge w:val="continue"/>
            <w:tcBorders>
              <w:top w:val="single" w:sz="8" w:space="0" w:color="000000"/>
              <w:left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Colts -  values $50,000 and higher</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4.95%</w:t>
            </w:r>
          </w:p>
        </w:tc>
      </w:tr>
      <w:tr>
        <w:trPr>
          <w:trHeight w:val="315" w:hRule="atLeast"/>
        </w:trPr>
        <w:tc>
          <w:tcPr>
            <w:tcW w:w="2878" w:type="dxa"/>
            <w:gridSpan w:val="3"/>
            <w:vMerge w:val="continue"/>
            <w:tcBorders>
              <w:top w:val="single" w:sz="8" w:space="0" w:color="000000"/>
              <w:left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Fillies - values $50,000 and higher</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4.75%</w:t>
            </w:r>
          </w:p>
        </w:tc>
      </w:tr>
      <w:tr>
        <w:trPr>
          <w:trHeight w:val="315" w:hRule="atLeast"/>
        </w:trPr>
        <w:tc>
          <w:tcPr>
            <w:tcW w:w="2878" w:type="dxa"/>
            <w:gridSpan w:val="3"/>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Up to and including Age 5</w:t>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 xml:space="preserve">SPD for racing colts </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0.25%</w:t>
            </w:r>
          </w:p>
        </w:tc>
      </w:tr>
      <w:tr>
        <w:trPr>
          <w:trHeight w:val="315" w:hRule="exact"/>
        </w:trPr>
        <w:tc>
          <w:tcPr>
            <w:tcW w:w="959" w:type="dxa"/>
            <w:tcBorders/>
            <w:shd w:color="auto" w:fill="auto" w:val="clear"/>
            <w:vAlign w:val="center"/>
          </w:tcPr>
          <w:p>
            <w:pPr>
              <w:pStyle w:val="Normal"/>
              <w:jc w:val="right"/>
              <w:rPr>
                <w:rFonts w:ascii="Calibri" w:hAnsi="Calibri" w:cs="Calibri"/>
                <w:color w:val="000000"/>
              </w:rPr>
            </w:pPr>
            <w:r>
              <w:rPr>
                <w:rFonts w:cs="Calibri" w:ascii="Calibri" w:hAnsi="Calibri"/>
                <w:color w:val="000000"/>
              </w:rPr>
            </w:r>
          </w:p>
        </w:tc>
        <w:tc>
          <w:tcPr>
            <w:tcW w:w="960" w:type="dxa"/>
            <w:tcBorders/>
            <w:shd w:color="auto" w:fill="auto" w:val="clear"/>
            <w:vAlign w:val="center"/>
          </w:tcPr>
          <w:p>
            <w:pPr>
              <w:pStyle w:val="Normal"/>
              <w:jc w:val="center"/>
              <w:rPr>
                <w:rFonts w:ascii="Times New Roman" w:hAnsi="Times New Roman" w:cs="Times New Roman"/>
              </w:rPr>
            </w:pPr>
            <w:r>
              <w:rPr>
                <w:rFonts w:cs="Times New Roman" w:ascii="Times New Roman" w:hAnsi="Times New Roman"/>
              </w:rPr>
            </w:r>
          </w:p>
        </w:tc>
        <w:tc>
          <w:tcPr>
            <w:tcW w:w="959" w:type="dxa"/>
            <w:tcBorders/>
            <w:shd w:color="auto" w:fill="auto" w:val="clear"/>
            <w:vAlign w:val="center"/>
          </w:tcPr>
          <w:p>
            <w:pPr>
              <w:pStyle w:val="Normal"/>
              <w:jc w:val="center"/>
              <w:rPr>
                <w:rFonts w:ascii="Times New Roman" w:hAnsi="Times New Roman" w:cs="Times New Roman"/>
              </w:rPr>
            </w:pPr>
            <w:r>
              <w:rPr>
                <w:rFonts w:cs="Times New Roman" w:ascii="Times New Roman" w:hAnsi="Times New Roman"/>
              </w:rPr>
            </w:r>
          </w:p>
        </w:tc>
        <w:tc>
          <w:tcPr>
            <w:tcW w:w="3882" w:type="dxa"/>
            <w:tcBorders>
              <w:top w:val="single" w:sz="4" w:space="0" w:color="000000"/>
            </w:tcBorders>
            <w:shd w:color="auto" w:fill="auto" w:val="clear"/>
            <w:vAlign w:val="bottom"/>
          </w:tcPr>
          <w:p>
            <w:pPr>
              <w:pStyle w:val="Normal"/>
              <w:jc w:val="center"/>
              <w:rPr>
                <w:rFonts w:ascii="Times New Roman" w:hAnsi="Times New Roman" w:cs="Times New Roman"/>
              </w:rPr>
            </w:pPr>
            <w:r>
              <w:rPr>
                <w:rFonts w:cs="Times New Roman" w:ascii="Times New Roman" w:hAnsi="Times New Roman"/>
              </w:rPr>
            </w:r>
          </w:p>
        </w:tc>
        <w:tc>
          <w:tcPr>
            <w:tcW w:w="960" w:type="dxa"/>
            <w:tcBorders>
              <w:top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75" w:hRule="atLeast"/>
        </w:trPr>
        <w:tc>
          <w:tcPr>
            <w:tcW w:w="2878" w:type="dxa"/>
            <w:gridSpan w:val="3"/>
            <w:tcBorders>
              <w:top w:val="single" w:sz="8" w:space="0" w:color="000000"/>
              <w:left w:val="single" w:sz="8" w:space="0" w:color="000000"/>
              <w:bottom w:val="single" w:sz="4" w:space="0" w:color="000000"/>
              <w:right w:val="single" w:sz="8"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Racing: Geldings</w:t>
            </w:r>
          </w:p>
        </w:tc>
        <w:tc>
          <w:tcPr>
            <w:tcW w:w="3882" w:type="dxa"/>
            <w:tcBorders>
              <w:bottom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r>
          </w:p>
        </w:tc>
        <w:tc>
          <w:tcPr>
            <w:tcW w:w="96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45" w:hRule="atLeast"/>
        </w:trPr>
        <w:tc>
          <w:tcPr>
            <w:tcW w:w="287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Age: 2 - 3 Years of age</w:t>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up to $24,999</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6.50%</w:t>
            </w:r>
          </w:p>
        </w:tc>
      </w:tr>
      <w:tr>
        <w:trPr>
          <w:trHeight w:val="300" w:hRule="atLeast"/>
        </w:trPr>
        <w:tc>
          <w:tcPr>
            <w:tcW w:w="287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$25,000 - $49,999</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5.30%</w:t>
            </w:r>
          </w:p>
        </w:tc>
      </w:tr>
      <w:tr>
        <w:trPr>
          <w:trHeight w:val="315" w:hRule="atLeast"/>
        </w:trPr>
        <w:tc>
          <w:tcPr>
            <w:tcW w:w="287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$50,000 and higher</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4.95%</w:t>
            </w:r>
          </w:p>
        </w:tc>
      </w:tr>
      <w:tr>
        <w:trPr>
          <w:trHeight w:val="315" w:hRule="atLeast"/>
        </w:trPr>
        <w:tc>
          <w:tcPr>
            <w:tcW w:w="287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Age 4 years</w:t>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up to $49,999</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6.50%</w:t>
            </w:r>
          </w:p>
        </w:tc>
      </w:tr>
      <w:tr>
        <w:trPr>
          <w:trHeight w:val="315" w:hRule="atLeast"/>
        </w:trPr>
        <w:tc>
          <w:tcPr>
            <w:tcW w:w="287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$50,000 and higher</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5.50%</w:t>
            </w:r>
          </w:p>
        </w:tc>
      </w:tr>
      <w:tr>
        <w:trPr>
          <w:trHeight w:val="315" w:hRule="atLeast"/>
        </w:trPr>
        <w:tc>
          <w:tcPr>
            <w:tcW w:w="2878"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5 years of age</w:t>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all values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7.00%</w:t>
            </w:r>
          </w:p>
        </w:tc>
      </w:tr>
      <w:tr>
        <w:trPr>
          <w:trHeight w:val="315" w:hRule="atLeast"/>
        </w:trPr>
        <w:tc>
          <w:tcPr>
            <w:tcW w:w="2878"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Age: 6 - 8 years of age</w:t>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all values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8.00%</w:t>
            </w:r>
          </w:p>
        </w:tc>
      </w:tr>
      <w:tr>
        <w:trPr>
          <w:trHeight w:val="315" w:hRule="atLeast"/>
        </w:trPr>
        <w:tc>
          <w:tcPr>
            <w:tcW w:w="959" w:type="dxa"/>
            <w:tcBorders>
              <w:top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w:t>
            </w:r>
          </w:p>
        </w:tc>
        <w:tc>
          <w:tcPr>
            <w:tcW w:w="960" w:type="dxa"/>
            <w:tcBorders>
              <w:top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r>
          </w:p>
        </w:tc>
        <w:tc>
          <w:tcPr>
            <w:tcW w:w="959" w:type="dxa"/>
            <w:tcBorders>
              <w:top w:val="single" w:sz="4" w:space="0" w:color="000000"/>
            </w:tcBorders>
            <w:shd w:color="auto" w:fill="auto" w:val="clear"/>
            <w:vAlign w:val="center"/>
          </w:tcPr>
          <w:p>
            <w:pPr>
              <w:pStyle w:val="Normal"/>
              <w:jc w:val="center"/>
              <w:rPr>
                <w:rFonts w:ascii="Times New Roman" w:hAnsi="Times New Roman" w:cs="Times New Roman"/>
              </w:rPr>
            </w:pPr>
            <w:r>
              <w:rPr>
                <w:rFonts w:cs="Times New Roman" w:ascii="Times New Roman" w:hAnsi="Times New Roman"/>
              </w:rPr>
            </w:r>
          </w:p>
        </w:tc>
        <w:tc>
          <w:tcPr>
            <w:tcW w:w="3882" w:type="dxa"/>
            <w:tcBorders>
              <w:top w:val="single" w:sz="4" w:space="0" w:color="000000"/>
            </w:tcBorders>
            <w:shd w:color="auto" w:fill="auto" w:val="clear"/>
            <w:vAlign w:val="bottom"/>
          </w:tcPr>
          <w:p>
            <w:pPr>
              <w:pStyle w:val="Normal"/>
              <w:jc w:val="center"/>
              <w:rPr>
                <w:rFonts w:ascii="Times New Roman" w:hAnsi="Times New Roman" w:cs="Times New Roman"/>
              </w:rPr>
            </w:pPr>
            <w:r>
              <w:rPr>
                <w:rFonts w:cs="Times New Roman" w:ascii="Times New Roman" w:hAnsi="Times New Roman"/>
              </w:rPr>
            </w:r>
          </w:p>
        </w:tc>
        <w:tc>
          <w:tcPr>
            <w:tcW w:w="960" w:type="dxa"/>
            <w:tcBorders>
              <w:top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878" w:type="dxa"/>
            <w:gridSpan w:val="3"/>
            <w:tcBorders>
              <w:top w:val="single" w:sz="8" w:space="0" w:color="000000"/>
              <w:left w:val="single" w:sz="8" w:space="0" w:color="000000"/>
              <w:bottom w:val="single" w:sz="4" w:space="0" w:color="000000"/>
              <w:right w:val="single" w:sz="8"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Breeding</w:t>
            </w:r>
          </w:p>
        </w:tc>
        <w:tc>
          <w:tcPr>
            <w:tcW w:w="3882" w:type="dxa"/>
            <w:tcBorders>
              <w:bottom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r>
          </w:p>
        </w:tc>
        <w:tc>
          <w:tcPr>
            <w:tcW w:w="96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2 years to 14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3.00%</w:t>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15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4.00%</w:t>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16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7.00%</w:t>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17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9.00%</w:t>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18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12.50%</w:t>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19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14.75%</w:t>
            </w:r>
          </w:p>
        </w:tc>
      </w:tr>
      <w:tr>
        <w:trPr>
          <w:trHeight w:val="375"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20 years and over</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17.75%</w:t>
            </w:r>
          </w:p>
        </w:tc>
      </w:tr>
      <w:tr>
        <w:trPr>
          <w:trHeight w:val="315" w:hRule="exact"/>
        </w:trPr>
        <w:tc>
          <w:tcPr>
            <w:tcW w:w="959" w:type="dxa"/>
            <w:tcBorders>
              <w:top w:val="single" w:sz="4" w:space="0" w:color="000000"/>
              <w:bottom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r>
          </w:p>
        </w:tc>
        <w:tc>
          <w:tcPr>
            <w:tcW w:w="960"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59"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3882"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60"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6760"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Territorial Extension / Transit outside the Continental USA</w:t>
            </w:r>
          </w:p>
        </w:tc>
        <w:tc>
          <w:tcPr>
            <w:tcW w:w="960" w:type="dxa"/>
            <w:vMerge w:val="restart"/>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submit</w:t>
            </w:r>
          </w:p>
        </w:tc>
      </w:tr>
      <w:tr>
        <w:trPr>
          <w:trHeight w:val="315" w:hRule="atLeast"/>
        </w:trPr>
        <w:tc>
          <w:tcPr>
            <w:tcW w:w="6760"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9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r>
    </w:tbl>
    <w:p>
      <w:pPr>
        <w:pStyle w:val="Normal"/>
        <w:rPr>
          <w:sz w:val="23"/>
          <w:szCs w:val="23"/>
        </w:rPr>
      </w:pPr>
      <w:r>
        <w:rPr>
          <w:sz w:val="23"/>
          <w:szCs w:val="23"/>
        </w:rPr>
      </w:r>
    </w:p>
    <w:p>
      <w:pPr>
        <w:pStyle w:val="Normal"/>
        <w:rPr>
          <w:sz w:val="23"/>
          <w:szCs w:val="23"/>
        </w:rPr>
      </w:pPr>
      <w:r>
        <w:rPr/>
        <w:t>Mortality Rating Plan</w:t>
      </w:r>
    </w:p>
    <w:tbl>
      <w:tblPr>
        <w:tblW w:w="8910" w:type="dxa"/>
        <w:jc w:val="left"/>
        <w:tblInd w:w="0" w:type="dxa"/>
        <w:tblCellMar>
          <w:top w:w="0" w:type="dxa"/>
          <w:left w:w="108" w:type="dxa"/>
          <w:bottom w:w="0" w:type="dxa"/>
          <w:right w:w="108" w:type="dxa"/>
        </w:tblCellMar>
        <w:tblLook w:val="04a0" w:noHBand="0" w:noVBand="1" w:firstColumn="1" w:lastRow="0" w:lastColumn="0" w:firstRow="1"/>
      </w:tblPr>
      <w:tblGrid>
        <w:gridCol w:w="917"/>
        <w:gridCol w:w="405"/>
        <w:gridCol w:w="1196"/>
        <w:gridCol w:w="3962"/>
        <w:gridCol w:w="2430"/>
      </w:tblGrid>
      <w:tr>
        <w:trPr>
          <w:trHeight w:val="342" w:hRule="atLeast"/>
        </w:trPr>
        <w:tc>
          <w:tcPr>
            <w:tcW w:w="8910" w:type="dxa"/>
            <w:gridSpan w:val="5"/>
            <w:vMerge w:val="restart"/>
            <w:tcBorders/>
            <w:shd w:color="000000" w:fill="9BC2E6" w:val="clear"/>
            <w:vAlign w:val="center"/>
          </w:tcPr>
          <w:p>
            <w:pPr>
              <w:pStyle w:val="Normal"/>
              <w:rPr>
                <w:rFonts w:ascii="Calibri" w:hAnsi="Calibri" w:cs="Calibri"/>
                <w:color w:val="000000"/>
                <w:sz w:val="28"/>
                <w:szCs w:val="28"/>
              </w:rPr>
            </w:pPr>
            <w:r>
              <w:rPr>
                <w:rFonts w:cs="Calibri" w:ascii="Calibri" w:hAnsi="Calibri"/>
                <w:color w:val="000000"/>
                <w:sz w:val="28"/>
                <w:szCs w:val="28"/>
              </w:rPr>
              <w:t>Western and Quarter Horse Racing</w:t>
              <w:br/>
            </w:r>
            <w:r>
              <w:rPr>
                <w:rFonts w:cs="Calibri" w:ascii="Calibri" w:hAnsi="Calibri"/>
                <w:i/>
                <w:iCs/>
                <w:color w:val="000000"/>
                <w:sz w:val="18"/>
                <w:szCs w:val="18"/>
              </w:rPr>
              <w:t>*all rates include 20% commission</w:t>
            </w:r>
          </w:p>
        </w:tc>
      </w:tr>
      <w:tr>
        <w:trPr>
          <w:trHeight w:val="342" w:hRule="atLeast"/>
        </w:trPr>
        <w:tc>
          <w:tcPr>
            <w:tcW w:w="8910" w:type="dxa"/>
            <w:gridSpan w:val="5"/>
            <w:vMerge w:val="continue"/>
            <w:tcBorders/>
            <w:vAlign w:val="center"/>
          </w:tcPr>
          <w:p>
            <w:pPr>
              <w:pStyle w:val="Normal"/>
              <w:rPr>
                <w:rFonts w:ascii="Calibri" w:hAnsi="Calibri" w:cs="Calibri"/>
                <w:color w:val="000000"/>
                <w:sz w:val="28"/>
                <w:szCs w:val="28"/>
              </w:rPr>
            </w:pPr>
            <w:r>
              <w:rPr>
                <w:rFonts w:cs="Calibri" w:ascii="Calibri" w:hAnsi="Calibri"/>
                <w:color w:val="000000"/>
                <w:sz w:val="28"/>
                <w:szCs w:val="28"/>
              </w:rPr>
            </w:r>
          </w:p>
        </w:tc>
      </w:tr>
      <w:tr>
        <w:trPr>
          <w:trHeight w:val="342" w:hRule="atLeast"/>
        </w:trPr>
        <w:tc>
          <w:tcPr>
            <w:tcW w:w="8910" w:type="dxa"/>
            <w:gridSpan w:val="5"/>
            <w:vMerge w:val="continue"/>
            <w:tcBorders/>
            <w:vAlign w:val="center"/>
          </w:tcPr>
          <w:p>
            <w:pPr>
              <w:pStyle w:val="Normal"/>
              <w:rPr>
                <w:rFonts w:ascii="Calibri" w:hAnsi="Calibri" w:cs="Calibri"/>
                <w:color w:val="000000"/>
                <w:sz w:val="28"/>
                <w:szCs w:val="28"/>
              </w:rPr>
            </w:pPr>
            <w:r>
              <w:rPr>
                <w:rFonts w:cs="Calibri" w:ascii="Calibri" w:hAnsi="Calibri"/>
                <w:color w:val="000000"/>
                <w:sz w:val="28"/>
                <w:szCs w:val="28"/>
              </w:rPr>
            </w:r>
          </w:p>
        </w:tc>
      </w:tr>
      <w:tr>
        <w:trPr>
          <w:trHeight w:val="300" w:hRule="exact"/>
        </w:trPr>
        <w:tc>
          <w:tcPr>
            <w:tcW w:w="917" w:type="dxa"/>
            <w:tcBorders/>
            <w:shd w:color="auto" w:fill="auto" w:val="clear"/>
            <w:vAlign w:val="bottom"/>
          </w:tcPr>
          <w:p>
            <w:pPr>
              <w:pStyle w:val="Normal"/>
              <w:rPr>
                <w:rFonts w:ascii="Calibri" w:hAnsi="Calibri" w:cs="Calibri"/>
                <w:color w:val="000000"/>
                <w:sz w:val="28"/>
                <w:szCs w:val="28"/>
              </w:rPr>
            </w:pPr>
            <w:r>
              <w:rPr>
                <w:rFonts w:cs="Calibri" w:ascii="Calibri" w:hAnsi="Calibri"/>
                <w:color w:val="000000"/>
                <w:sz w:val="28"/>
                <w:szCs w:val="28"/>
              </w:rPr>
            </w:r>
          </w:p>
        </w:tc>
        <w:tc>
          <w:tcPr>
            <w:tcW w:w="405"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1196"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3962"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243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518"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xml:space="preserve">Foals and Yearlings: </w:t>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24 hours to 7 days</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6.25%</w:t>
            </w:r>
          </w:p>
        </w:tc>
      </w:tr>
      <w:tr>
        <w:trPr>
          <w:trHeight w:val="300"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8 days to 30 days</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5.15%</w:t>
            </w:r>
          </w:p>
        </w:tc>
      </w:tr>
      <w:tr>
        <w:trPr>
          <w:trHeight w:val="300"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31 days to 90 days</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4.40%</w:t>
            </w:r>
          </w:p>
        </w:tc>
      </w:tr>
      <w:tr>
        <w:trPr>
          <w:trHeight w:val="300"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91 days and over</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3.50%</w:t>
            </w:r>
          </w:p>
        </w:tc>
      </w:tr>
      <w:tr>
        <w:trPr>
          <w:trHeight w:val="315"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Yearlings - January 1 to October 31</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3.20%</w:t>
            </w:r>
          </w:p>
        </w:tc>
      </w:tr>
      <w:tr>
        <w:trPr>
          <w:trHeight w:val="502"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Yearlings - November 1 to December 31</w:t>
              <w:br/>
            </w:r>
            <w:r>
              <w:rPr>
                <w:rFonts w:cs="Calibri" w:ascii="Calibri" w:hAnsi="Calibri"/>
                <w:i/>
                <w:iCs/>
                <w:color w:val="000000"/>
                <w:sz w:val="18"/>
                <w:szCs w:val="18"/>
              </w:rPr>
              <w:t>(if intended for non-racing)</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3.20%</w:t>
            </w:r>
          </w:p>
        </w:tc>
      </w:tr>
      <w:tr>
        <w:trPr>
          <w:trHeight w:val="430"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Yearlings - November 1 to December 31</w:t>
              <w:br/>
            </w:r>
            <w:r>
              <w:rPr>
                <w:rFonts w:cs="Calibri" w:ascii="Calibri" w:hAnsi="Calibri"/>
                <w:i/>
                <w:iCs/>
                <w:color w:val="000000"/>
                <w:sz w:val="18"/>
                <w:szCs w:val="18"/>
              </w:rPr>
              <w:t>(if intended for racing)</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6.50%</w:t>
            </w:r>
          </w:p>
        </w:tc>
      </w:tr>
      <w:tr>
        <w:trPr>
          <w:trHeight w:val="300" w:hRule="atLeast"/>
        </w:trPr>
        <w:tc>
          <w:tcPr>
            <w:tcW w:w="2518" w:type="dxa"/>
            <w:gridSpan w:val="3"/>
            <w:tcBorders>
              <w:top w:val="single" w:sz="8" w:space="0" w:color="000000"/>
              <w:left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Breeding</w:t>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Mares</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3.20%</w:t>
            </w:r>
          </w:p>
        </w:tc>
      </w:tr>
      <w:tr>
        <w:trPr>
          <w:trHeight w:val="315" w:hRule="atLeast"/>
        </w:trPr>
        <w:tc>
          <w:tcPr>
            <w:tcW w:w="2518" w:type="dxa"/>
            <w:gridSpan w:val="3"/>
            <w:tcBorders>
              <w:left w:val="single" w:sz="8" w:space="0" w:color="000000"/>
              <w:bottom w:val="single" w:sz="8"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Age: 2 years to 15 years</w:t>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Stallions</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3.20%</w:t>
            </w:r>
          </w:p>
        </w:tc>
      </w:tr>
      <w:tr>
        <w:trPr>
          <w:trHeight w:val="360" w:hRule="atLeast"/>
        </w:trPr>
        <w:tc>
          <w:tcPr>
            <w:tcW w:w="2518"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Age: 2 years to 15 years</w:t>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Cutting, Reining</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3.00%</w:t>
            </w:r>
          </w:p>
        </w:tc>
      </w:tr>
      <w:tr>
        <w:trPr>
          <w:trHeight w:val="269"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Barrel Racing, Show, Pleasure, Roping, Rodeo, Performance, Ranch, Steer Wrestling, Western Pleasure</w:t>
            </w:r>
          </w:p>
        </w:tc>
        <w:tc>
          <w:tcPr>
            <w:tcW w:w="2430" w:type="dxa"/>
            <w:vMerge w:val="restart"/>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3.40%</w:t>
            </w:r>
          </w:p>
        </w:tc>
      </w:tr>
      <w:tr>
        <w:trPr>
          <w:trHeight w:val="269"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24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r>
      <w:tr>
        <w:trPr>
          <w:trHeight w:val="304"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24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r>
      <w:tr>
        <w:trPr>
          <w:trHeight w:val="315" w:hRule="atLeast"/>
        </w:trPr>
        <w:tc>
          <w:tcPr>
            <w:tcW w:w="917" w:type="dxa"/>
            <w:tcBorders>
              <w:left w:val="single" w:sz="8"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 </w:t>
            </w:r>
          </w:p>
        </w:tc>
        <w:tc>
          <w:tcPr>
            <w:tcW w:w="405" w:type="dxa"/>
            <w:tcBorders/>
            <w:shd w:color="auto" w:fill="auto" w:val="clear"/>
            <w:vAlign w:val="bottom"/>
          </w:tcPr>
          <w:p>
            <w:pPr>
              <w:pStyle w:val="Normal"/>
              <w:rPr>
                <w:rFonts w:ascii="Calibri" w:hAnsi="Calibri" w:cs="Calibri"/>
                <w:color w:val="000000"/>
              </w:rPr>
            </w:pPr>
            <w:r>
              <w:rPr>
                <w:rFonts w:cs="Calibri" w:ascii="Calibri" w:hAnsi="Calibri"/>
                <w:color w:val="000000"/>
              </w:rPr>
            </w:r>
          </w:p>
        </w:tc>
        <w:tc>
          <w:tcPr>
            <w:tcW w:w="1196" w:type="dxa"/>
            <w:tcBorders>
              <w:right w:val="single" w:sz="8"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 </w:t>
            </w:r>
          </w:p>
        </w:tc>
        <w:tc>
          <w:tcPr>
            <w:tcW w:w="3962" w:type="dxa"/>
            <w:tcBorders>
              <w:top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r>
          </w:p>
        </w:tc>
        <w:tc>
          <w:tcPr>
            <w:tcW w:w="2430" w:type="dxa"/>
            <w:tcBorders>
              <w:top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15" w:hRule="atLeast"/>
        </w:trPr>
        <w:tc>
          <w:tcPr>
            <w:tcW w:w="2518" w:type="dxa"/>
            <w:gridSpan w:val="3"/>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t>Racing</w:t>
            </w:r>
          </w:p>
        </w:tc>
        <w:tc>
          <w:tcPr>
            <w:tcW w:w="3962" w:type="dxa"/>
            <w:tcBorders>
              <w:bottom w:val="single" w:sz="4"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r>
          </w:p>
        </w:tc>
        <w:tc>
          <w:tcPr>
            <w:tcW w:w="243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518"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xml:space="preserve">Colts and Fillies - </w:t>
              <w:br/>
              <w:t>Up to and Including Age 6</w:t>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up to and including $50,000</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7.00%</w:t>
            </w:r>
          </w:p>
        </w:tc>
      </w:tr>
      <w:tr>
        <w:trPr>
          <w:trHeight w:val="300"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$50,000 to $100,000</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6.50%</w:t>
            </w:r>
          </w:p>
        </w:tc>
      </w:tr>
      <w:tr>
        <w:trPr>
          <w:trHeight w:val="295"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over $100,000</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6.00%</w:t>
            </w:r>
          </w:p>
        </w:tc>
      </w:tr>
      <w:tr>
        <w:trPr>
          <w:trHeight w:val="358" w:hRule="atLeast"/>
        </w:trPr>
        <w:tc>
          <w:tcPr>
            <w:tcW w:w="2518"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Geldings</w:t>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2 - 4 years old</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Rate as: Colts and Fillies</w:t>
            </w:r>
          </w:p>
        </w:tc>
      </w:tr>
      <w:tr>
        <w:trPr>
          <w:trHeight w:val="315"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5 Years and over</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8.50%</w:t>
            </w:r>
          </w:p>
        </w:tc>
      </w:tr>
      <w:tr>
        <w:trPr>
          <w:trHeight w:val="300" w:hRule="exact"/>
        </w:trPr>
        <w:tc>
          <w:tcPr>
            <w:tcW w:w="917" w:type="dxa"/>
            <w:tcBorders/>
            <w:shd w:color="auto" w:fill="auto" w:val="clear"/>
            <w:vAlign w:val="bottom"/>
          </w:tcPr>
          <w:p>
            <w:pPr>
              <w:pStyle w:val="Normal"/>
              <w:jc w:val="right"/>
              <w:rPr>
                <w:rFonts w:ascii="Calibri" w:hAnsi="Calibri" w:cs="Calibri"/>
                <w:color w:val="000000"/>
              </w:rPr>
            </w:pPr>
            <w:r>
              <w:rPr>
                <w:rFonts w:cs="Calibri" w:ascii="Calibri" w:hAnsi="Calibri"/>
                <w:color w:val="000000"/>
              </w:rPr>
            </w:r>
          </w:p>
        </w:tc>
        <w:tc>
          <w:tcPr>
            <w:tcW w:w="405"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1196"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3962" w:type="dxa"/>
            <w:tcBorders>
              <w:top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2430" w:type="dxa"/>
            <w:tcBorders>
              <w:top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15" w:hRule="exact"/>
        </w:trPr>
        <w:tc>
          <w:tcPr>
            <w:tcW w:w="2518" w:type="dxa"/>
            <w:gridSpan w:val="3"/>
            <w:tcBorders/>
            <w:shd w:color="auto" w:fill="auto" w:val="clear"/>
            <w:vAlign w:val="center"/>
          </w:tcPr>
          <w:p>
            <w:pPr>
              <w:pStyle w:val="Normal"/>
              <w:rPr>
                <w:rFonts w:ascii="Times New Roman" w:hAnsi="Times New Roman" w:cs="Times New Roman"/>
              </w:rPr>
            </w:pPr>
            <w:r>
              <w:rPr>
                <w:rFonts w:cs="Times New Roman" w:ascii="Times New Roman" w:hAnsi="Times New Roman"/>
              </w:rPr>
            </w:r>
          </w:p>
        </w:tc>
        <w:tc>
          <w:tcPr>
            <w:tcW w:w="3962" w:type="dxa"/>
            <w:tcBorders>
              <w:bottom w:val="single" w:sz="4" w:space="0" w:color="000000"/>
            </w:tcBorders>
            <w:shd w:color="auto" w:fill="auto" w:val="clear"/>
            <w:vAlign w:val="bottom"/>
          </w:tcPr>
          <w:p>
            <w:pPr>
              <w:pStyle w:val="Normal"/>
              <w:jc w:val="center"/>
              <w:rPr>
                <w:rFonts w:ascii="Times New Roman" w:hAnsi="Times New Roman" w:cs="Times New Roman"/>
              </w:rPr>
            </w:pPr>
            <w:r>
              <w:rPr>
                <w:rFonts w:cs="Times New Roman" w:ascii="Times New Roman" w:hAnsi="Times New Roman"/>
              </w:rPr>
            </w:r>
          </w:p>
        </w:tc>
        <w:tc>
          <w:tcPr>
            <w:tcW w:w="243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518"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Overage Rates</w:t>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16</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Plus 1.50%</w:t>
            </w:r>
          </w:p>
        </w:tc>
      </w:tr>
      <w:tr>
        <w:trPr>
          <w:trHeight w:val="300"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17</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7.00%</w:t>
            </w:r>
          </w:p>
        </w:tc>
      </w:tr>
      <w:tr>
        <w:trPr>
          <w:trHeight w:val="300"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18</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10.00%</w:t>
            </w:r>
          </w:p>
        </w:tc>
      </w:tr>
      <w:tr>
        <w:trPr>
          <w:trHeight w:val="300"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19</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13.00%</w:t>
            </w:r>
          </w:p>
        </w:tc>
      </w:tr>
      <w:tr>
        <w:trPr>
          <w:trHeight w:val="300"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20</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17.50%</w:t>
            </w:r>
          </w:p>
        </w:tc>
      </w:tr>
      <w:tr>
        <w:trPr>
          <w:trHeight w:val="315" w:hRule="atLeast"/>
        </w:trPr>
        <w:tc>
          <w:tcPr>
            <w:tcW w:w="251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21</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submit</w:t>
            </w:r>
          </w:p>
        </w:tc>
      </w:tr>
      <w:tr>
        <w:trPr>
          <w:trHeight w:val="315" w:hRule="exact"/>
        </w:trPr>
        <w:tc>
          <w:tcPr>
            <w:tcW w:w="917" w:type="dxa"/>
            <w:tcBorders>
              <w:bottom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r>
          </w:p>
        </w:tc>
        <w:tc>
          <w:tcPr>
            <w:tcW w:w="405"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1196"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3962"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2430"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6480"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Elective Surgery Under General Anesthesia</w:t>
            </w:r>
          </w:p>
        </w:tc>
        <w:tc>
          <w:tcPr>
            <w:tcW w:w="2430" w:type="dxa"/>
            <w:vMerge w:val="restart"/>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0.50%</w:t>
            </w:r>
          </w:p>
        </w:tc>
      </w:tr>
      <w:tr>
        <w:trPr>
          <w:trHeight w:val="269" w:hRule="atLeast"/>
        </w:trPr>
        <w:tc>
          <w:tcPr>
            <w:tcW w:w="6480"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24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r>
      <w:tr>
        <w:trPr>
          <w:trHeight w:val="300" w:hRule="atLeast"/>
        </w:trPr>
        <w:tc>
          <w:tcPr>
            <w:tcW w:w="6480"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Territorial Extension / Transit outside the Continental USA</w:t>
            </w:r>
          </w:p>
        </w:tc>
        <w:tc>
          <w:tcPr>
            <w:tcW w:w="2430" w:type="dxa"/>
            <w:vMerge w:val="restart"/>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submit</w:t>
            </w:r>
          </w:p>
        </w:tc>
      </w:tr>
      <w:tr>
        <w:trPr>
          <w:trHeight w:val="315" w:hRule="atLeast"/>
        </w:trPr>
        <w:tc>
          <w:tcPr>
            <w:tcW w:w="6480"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24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r>
    </w:tbl>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TextBody"/>
        <w:spacing w:before="0" w:after="0"/>
        <w:ind w:right="30" w:hanging="0"/>
        <w:rPr>
          <w:rFonts w:ascii="Calibri" w:hAnsi="Calibri" w:cs="Times New Roman" w:asciiTheme="minorHAnsi" w:hAnsiTheme="minorHAnsi"/>
          <w:b/>
          <w:b/>
          <w:w w:val="150"/>
          <w:sz w:val="20"/>
          <w:szCs w:val="20"/>
        </w:rPr>
      </w:pPr>
      <w:r>
        <w:rPr>
          <w:rFonts w:cs="Times New Roman" w:ascii="Calibri" w:hAnsi="Calibri"/>
          <w:b/>
          <w:w w:val="150"/>
          <w:sz w:val="20"/>
          <w:szCs w:val="20"/>
        </w:rPr>
      </w:r>
    </w:p>
    <w:p>
      <w:pPr>
        <w:pStyle w:val="TextBody"/>
        <w:spacing w:before="0" w:after="0"/>
        <w:ind w:left="-360" w:right="-180" w:hanging="0"/>
        <w:jc w:val="center"/>
        <w:rPr>
          <w:b/>
          <w:b/>
          <w:w w:val="150"/>
          <w:sz w:val="20"/>
          <w:szCs w:val="20"/>
        </w:rPr>
      </w:pPr>
      <w:r>
        <w:rPr>
          <w:b/>
          <w:w w:val="150"/>
          <w:sz w:val="20"/>
          <w:szCs w:val="20"/>
        </w:rPr>
        <w:t>Exhibit D</w:t>
      </w:r>
    </w:p>
    <w:p>
      <w:pPr>
        <w:pStyle w:val="TextBody"/>
        <w:spacing w:before="0" w:after="0"/>
        <w:ind w:left="-360" w:right="-180" w:hanging="0"/>
        <w:jc w:val="center"/>
        <w:rPr>
          <w:b/>
          <w:b/>
          <w:w w:val="150"/>
          <w:sz w:val="20"/>
          <w:szCs w:val="20"/>
        </w:rPr>
      </w:pPr>
      <w:r>
        <w:rPr>
          <w:b/>
          <w:w w:val="150"/>
          <w:sz w:val="20"/>
          <w:szCs w:val="20"/>
        </w:rPr>
        <w:t>Profit Share Agreement</w:t>
      </w:r>
    </w:p>
    <w:p>
      <w:pPr>
        <w:pStyle w:val="TextBody"/>
        <w:spacing w:before="0" w:after="0"/>
        <w:ind w:left="-360" w:right="-180" w:hanging="0"/>
        <w:jc w:val="center"/>
        <w:rPr>
          <w:b/>
          <w:b/>
          <w:w w:val="150"/>
          <w:sz w:val="20"/>
          <w:szCs w:val="20"/>
        </w:rPr>
      </w:pPr>
      <w:r>
        <w:rPr>
          <w:b/>
          <w:w w:val="150"/>
          <w:sz w:val="20"/>
          <w:szCs w:val="20"/>
        </w:rPr>
        <w:t>Between</w:t>
      </w:r>
    </w:p>
    <w:p>
      <w:pPr>
        <w:pStyle w:val="TextBody"/>
        <w:spacing w:before="0" w:after="0"/>
        <w:ind w:left="-360" w:right="-180" w:hanging="0"/>
        <w:jc w:val="center"/>
        <w:rPr>
          <w:b/>
          <w:b/>
          <w:w w:val="150"/>
          <w:sz w:val="20"/>
          <w:szCs w:val="20"/>
        </w:rPr>
      </w:pPr>
      <w:r>
        <w:rPr>
          <w:b/>
          <w:w w:val="150"/>
          <w:sz w:val="20"/>
          <w:szCs w:val="20"/>
        </w:rPr>
        <w:t>Bascule Insurance Services LLC (“Bascule”)</w:t>
      </w:r>
    </w:p>
    <w:p>
      <w:pPr>
        <w:pStyle w:val="TextBody"/>
        <w:spacing w:before="0" w:after="0"/>
        <w:ind w:left="-360" w:right="-180" w:hanging="0"/>
        <w:jc w:val="center"/>
        <w:rPr>
          <w:b/>
          <w:b/>
          <w:w w:val="150"/>
          <w:sz w:val="20"/>
          <w:szCs w:val="20"/>
        </w:rPr>
      </w:pPr>
      <w:r>
        <w:rPr>
          <w:b/>
          <w:w w:val="150"/>
          <w:sz w:val="20"/>
          <w:szCs w:val="20"/>
        </w:rPr>
        <w:t>and</w:t>
      </w:r>
    </w:p>
    <w:p>
      <w:pPr>
        <w:pStyle w:val="TextBody"/>
        <w:spacing w:before="0" w:after="0"/>
        <w:ind w:left="-360" w:right="-180" w:hanging="0"/>
        <w:jc w:val="center"/>
        <w:rPr>
          <w:b/>
          <w:b/>
          <w:w w:val="150"/>
          <w:sz w:val="20"/>
          <w:szCs w:val="20"/>
        </w:rPr>
      </w:pPr>
      <w:r>
        <w:rPr>
          <w:b/>
          <w:w w:val="150"/>
          <w:sz w:val="20"/>
          <w:szCs w:val="20"/>
        </w:rPr>
        <w:t>Horseworks Insurance Specialists, LLC (Agent)</w:t>
      </w:r>
    </w:p>
    <w:p>
      <w:pPr>
        <w:pStyle w:val="TextBody"/>
        <w:spacing w:before="0" w:after="0"/>
        <w:ind w:left="-360" w:right="-180" w:hanging="0"/>
        <w:jc w:val="center"/>
        <w:rPr>
          <w:w w:val="150"/>
          <w:sz w:val="20"/>
          <w:szCs w:val="20"/>
        </w:rPr>
      </w:pPr>
      <w:r>
        <w:rPr>
          <w:w w:val="150"/>
          <w:sz w:val="20"/>
          <w:szCs w:val="20"/>
        </w:rPr>
      </w:r>
    </w:p>
    <w:p>
      <w:pPr>
        <w:pStyle w:val="TextBody"/>
        <w:spacing w:before="0" w:after="0"/>
        <w:ind w:left="-360" w:right="-180" w:hanging="0"/>
        <w:rPr>
          <w:w w:val="150"/>
          <w:sz w:val="20"/>
          <w:szCs w:val="20"/>
        </w:rPr>
      </w:pPr>
      <w:r>
        <w:rPr>
          <w:w w:val="150"/>
          <w:sz w:val="20"/>
          <w:szCs w:val="20"/>
        </w:rPr>
        <w:t xml:space="preserve">Subject to the Conditions listed below and subject to a minimum Gross Premium produced by the Agent of USD 200,000: for each Policy Year it is agreed to pay the Agent a 10% Profit Share as per the below calculation: </w:t>
      </w:r>
    </w:p>
    <w:p>
      <w:pPr>
        <w:pStyle w:val="TextBody"/>
        <w:spacing w:before="0" w:after="0"/>
        <w:ind w:left="-360" w:right="-180" w:hanging="0"/>
        <w:rPr>
          <w:w w:val="150"/>
          <w:sz w:val="20"/>
          <w:szCs w:val="20"/>
        </w:rPr>
      </w:pPr>
      <w:r>
        <w:rPr>
          <w:w w:val="150"/>
          <w:sz w:val="20"/>
          <w:szCs w:val="20"/>
        </w:rPr>
      </w:r>
    </w:p>
    <w:p>
      <w:pPr>
        <w:pStyle w:val="TextBody"/>
        <w:spacing w:before="0" w:after="0"/>
        <w:ind w:left="-360" w:right="-180" w:hanging="0"/>
        <w:rPr>
          <w:w w:val="150"/>
          <w:sz w:val="20"/>
          <w:szCs w:val="20"/>
        </w:rPr>
      </w:pPr>
      <w:r>
        <w:rPr>
          <w:w w:val="150"/>
          <w:sz w:val="20"/>
          <w:szCs w:val="20"/>
        </w:rPr>
        <w:t>INCOME = Gross Premium</w:t>
      </w:r>
    </w:p>
    <w:p>
      <w:pPr>
        <w:pStyle w:val="TextBody"/>
        <w:spacing w:before="0" w:after="0"/>
        <w:ind w:left="-360" w:right="-180" w:hanging="0"/>
        <w:rPr>
          <w:w w:val="150"/>
          <w:sz w:val="20"/>
          <w:szCs w:val="20"/>
        </w:rPr>
      </w:pPr>
      <w:r>
        <w:rPr>
          <w:w w:val="150"/>
          <w:sz w:val="20"/>
          <w:szCs w:val="20"/>
        </w:rPr>
      </w:r>
    </w:p>
    <w:p>
      <w:pPr>
        <w:pStyle w:val="TextBody"/>
        <w:spacing w:before="0" w:after="0"/>
        <w:ind w:left="-360" w:right="-180" w:hanging="0"/>
        <w:rPr>
          <w:w w:val="150"/>
          <w:sz w:val="20"/>
          <w:szCs w:val="20"/>
        </w:rPr>
      </w:pPr>
      <w:r>
        <w:rPr>
          <w:w w:val="150"/>
          <w:sz w:val="20"/>
          <w:szCs w:val="20"/>
        </w:rPr>
        <w:t>OUTGO = Agent Commission and any rebate due to policy holders + Taxes + Losses and Fees + Underwriting Expenses.</w:t>
      </w:r>
    </w:p>
    <w:p>
      <w:pPr>
        <w:pStyle w:val="TextBody"/>
        <w:spacing w:before="0" w:after="0"/>
        <w:ind w:left="-360" w:right="-180" w:hanging="0"/>
        <w:rPr>
          <w:w w:val="150"/>
          <w:sz w:val="20"/>
          <w:szCs w:val="20"/>
        </w:rPr>
      </w:pPr>
      <w:r>
        <w:rPr>
          <w:w w:val="150"/>
          <w:sz w:val="20"/>
          <w:szCs w:val="20"/>
        </w:rPr>
      </w:r>
    </w:p>
    <w:p>
      <w:pPr>
        <w:pStyle w:val="TextBody"/>
        <w:spacing w:before="0" w:after="0"/>
        <w:ind w:left="-360" w:right="-180" w:hanging="0"/>
        <w:rPr>
          <w:w w:val="150"/>
          <w:sz w:val="20"/>
          <w:szCs w:val="20"/>
        </w:rPr>
      </w:pPr>
      <w:r>
        <w:rPr>
          <w:w w:val="150"/>
          <w:sz w:val="20"/>
          <w:szCs w:val="20"/>
        </w:rPr>
        <w:t>NET UNDERWRITING PROFIT = INCOME – OUTGO</w:t>
      </w:r>
    </w:p>
    <w:p>
      <w:pPr>
        <w:pStyle w:val="TextBody"/>
        <w:spacing w:before="0" w:after="0"/>
        <w:ind w:left="-360" w:right="-180" w:hanging="0"/>
        <w:rPr>
          <w:w w:val="150"/>
          <w:sz w:val="20"/>
          <w:szCs w:val="20"/>
        </w:rPr>
      </w:pPr>
      <w:r>
        <w:rPr>
          <w:w w:val="150"/>
          <w:sz w:val="20"/>
          <w:szCs w:val="20"/>
        </w:rPr>
      </w:r>
    </w:p>
    <w:p>
      <w:pPr>
        <w:pStyle w:val="TextBody"/>
        <w:spacing w:before="0" w:after="0"/>
        <w:ind w:left="-360" w:right="-180" w:hanging="0"/>
        <w:rPr>
          <w:w w:val="150"/>
          <w:sz w:val="20"/>
          <w:szCs w:val="20"/>
        </w:rPr>
      </w:pPr>
      <w:r>
        <w:rPr>
          <w:w w:val="150"/>
          <w:sz w:val="20"/>
          <w:szCs w:val="20"/>
        </w:rPr>
        <w:t>PROFIT SHARE = NET UNDERWRITING PROFIT x 10%.</w:t>
      </w:r>
    </w:p>
    <w:p>
      <w:pPr>
        <w:pStyle w:val="TextBody"/>
        <w:spacing w:before="0" w:after="0"/>
        <w:ind w:left="-360" w:right="-180" w:hanging="0"/>
        <w:rPr>
          <w:w w:val="150"/>
          <w:sz w:val="20"/>
          <w:szCs w:val="20"/>
        </w:rPr>
      </w:pPr>
      <w:r>
        <w:rPr>
          <w:w w:val="150"/>
          <w:sz w:val="20"/>
          <w:szCs w:val="20"/>
        </w:rPr>
      </w:r>
    </w:p>
    <w:p>
      <w:pPr>
        <w:pStyle w:val="TextBody"/>
        <w:spacing w:before="0" w:after="0"/>
        <w:ind w:left="-360" w:right="-180" w:hanging="0"/>
        <w:rPr>
          <w:w w:val="150"/>
          <w:sz w:val="20"/>
          <w:szCs w:val="20"/>
        </w:rPr>
      </w:pPr>
      <w:r>
        <w:rPr>
          <w:w w:val="150"/>
          <w:sz w:val="20"/>
          <w:szCs w:val="20"/>
        </w:rPr>
        <w:t>If this calculation should result in a Deficit Balance, this will be added to the following policy year’s Losses and Fees for the purpose of calculating that year’s Underwriting Profit or Loss.</w:t>
      </w:r>
    </w:p>
    <w:p>
      <w:pPr>
        <w:pStyle w:val="TextBody"/>
        <w:spacing w:before="0" w:after="0"/>
        <w:ind w:left="-360" w:right="-180" w:hanging="0"/>
        <w:rPr>
          <w:w w:val="150"/>
          <w:sz w:val="20"/>
          <w:szCs w:val="20"/>
        </w:rPr>
      </w:pPr>
      <w:r>
        <w:rPr>
          <w:w w:val="150"/>
          <w:sz w:val="20"/>
          <w:szCs w:val="20"/>
        </w:rPr>
      </w:r>
    </w:p>
    <w:p>
      <w:pPr>
        <w:pStyle w:val="TextBody"/>
        <w:spacing w:before="0" w:after="0"/>
        <w:ind w:left="-360" w:right="-180" w:hanging="0"/>
        <w:rPr>
          <w:w w:val="150"/>
          <w:sz w:val="20"/>
          <w:szCs w:val="20"/>
        </w:rPr>
      </w:pPr>
      <w:r>
        <w:rPr>
          <w:w w:val="150"/>
          <w:sz w:val="20"/>
          <w:szCs w:val="20"/>
        </w:rPr>
      </w:r>
    </w:p>
    <w:p>
      <w:pPr>
        <w:pStyle w:val="TextBody"/>
        <w:widowControl w:val="false"/>
        <w:numPr>
          <w:ilvl w:val="0"/>
          <w:numId w:val="6"/>
        </w:numPr>
        <w:spacing w:before="0" w:after="0"/>
        <w:ind w:left="-360" w:right="-180" w:hanging="360"/>
        <w:rPr>
          <w:w w:val="150"/>
          <w:sz w:val="20"/>
          <w:szCs w:val="20"/>
          <w:u w:val="thick" w:color="000000"/>
        </w:rPr>
      </w:pPr>
      <w:r>
        <w:rPr>
          <w:w w:val="150"/>
          <w:sz w:val="20"/>
          <w:szCs w:val="20"/>
          <w:u w:val="thick" w:color="000000"/>
        </w:rPr>
        <w:t>DEFINITIONS:</w:t>
      </w:r>
    </w:p>
    <w:p>
      <w:pPr>
        <w:pStyle w:val="TextBody"/>
        <w:spacing w:before="0" w:after="0"/>
        <w:ind w:left="-360" w:right="-180" w:hanging="0"/>
        <w:rPr>
          <w:w w:val="150"/>
          <w:sz w:val="20"/>
          <w:szCs w:val="20"/>
          <w:u w:val="none" w:color="000000"/>
        </w:rPr>
      </w:pPr>
      <w:r>
        <w:rPr>
          <w:w w:val="150"/>
          <w:sz w:val="20"/>
          <w:szCs w:val="20"/>
          <w:u w:val="none" w:color="000000"/>
        </w:rPr>
        <w:t>As used in this Profit Share Agreement, the following terms will have the meanings shown:</w:t>
      </w:r>
    </w:p>
    <w:p>
      <w:pPr>
        <w:pStyle w:val="TextBody"/>
        <w:spacing w:before="0" w:after="0"/>
        <w:ind w:left="-360" w:right="-180" w:hanging="0"/>
        <w:rPr>
          <w:w w:val="150"/>
          <w:sz w:val="20"/>
          <w:szCs w:val="20"/>
          <w:u w:val="none" w:color="000000"/>
        </w:rPr>
      </w:pPr>
      <w:r>
        <w:rPr>
          <w:w w:val="150"/>
          <w:sz w:val="20"/>
          <w:szCs w:val="20"/>
          <w:u w:val="none" w:color="000000"/>
        </w:rPr>
      </w:r>
    </w:p>
    <w:p>
      <w:pPr>
        <w:pStyle w:val="TextBody"/>
        <w:widowControl w:val="false"/>
        <w:numPr>
          <w:ilvl w:val="0"/>
          <w:numId w:val="5"/>
        </w:numPr>
        <w:spacing w:before="0" w:after="0"/>
        <w:ind w:left="-360" w:right="-180" w:hanging="360"/>
        <w:rPr>
          <w:sz w:val="20"/>
          <w:szCs w:val="20"/>
        </w:rPr>
      </w:pPr>
      <w:r>
        <w:rPr>
          <w:w w:val="150"/>
          <w:sz w:val="20"/>
          <w:szCs w:val="20"/>
          <w:u w:val="thick" w:color="000000"/>
        </w:rPr>
        <w:t xml:space="preserve">Policy Year </w:t>
      </w:r>
      <w:r>
        <w:rPr>
          <w:w w:val="150"/>
          <w:sz w:val="20"/>
          <w:szCs w:val="20"/>
        </w:rPr>
        <w:t>means each twelve (12) month period during the course of this Profit Share Agreement, commencing “1/1/2018” and ending on “1/1/2019”. The first Policy Year will be from “1/1/2018” to “1/1/2019”.</w:t>
      </w:r>
    </w:p>
    <w:p>
      <w:pPr>
        <w:pStyle w:val="TextBody"/>
        <w:widowControl w:val="false"/>
        <w:numPr>
          <w:ilvl w:val="0"/>
          <w:numId w:val="5"/>
        </w:numPr>
        <w:spacing w:before="0" w:after="0"/>
        <w:ind w:left="-360" w:right="-180" w:hanging="360"/>
        <w:rPr>
          <w:sz w:val="20"/>
          <w:szCs w:val="20"/>
        </w:rPr>
      </w:pPr>
      <w:r>
        <w:rPr>
          <w:w w:val="150"/>
          <w:sz w:val="20"/>
          <w:szCs w:val="20"/>
          <w:u w:val="thick" w:color="000000"/>
        </w:rPr>
        <w:t xml:space="preserve">Gross Premium </w:t>
      </w:r>
      <w:r>
        <w:rPr>
          <w:w w:val="150"/>
          <w:sz w:val="20"/>
          <w:szCs w:val="20"/>
        </w:rPr>
        <w:t>shall be the gross premium at the inception date of the policy plus all additional gross premiums</w:t>
      </w:r>
      <w:r>
        <w:rPr>
          <w:spacing w:val="-7"/>
          <w:w w:val="150"/>
          <w:sz w:val="20"/>
          <w:szCs w:val="20"/>
        </w:rPr>
        <w:t xml:space="preserve"> </w:t>
      </w:r>
      <w:r>
        <w:rPr>
          <w:w w:val="150"/>
          <w:sz w:val="20"/>
          <w:szCs w:val="20"/>
        </w:rPr>
        <w:t>minus</w:t>
      </w:r>
      <w:r>
        <w:rPr>
          <w:spacing w:val="-17"/>
          <w:w w:val="150"/>
          <w:sz w:val="20"/>
          <w:szCs w:val="20"/>
        </w:rPr>
        <w:t xml:space="preserve"> </w:t>
      </w:r>
      <w:r>
        <w:rPr>
          <w:w w:val="150"/>
          <w:sz w:val="20"/>
          <w:szCs w:val="20"/>
        </w:rPr>
        <w:t>all</w:t>
      </w:r>
      <w:r>
        <w:rPr>
          <w:spacing w:val="-6"/>
          <w:w w:val="150"/>
          <w:sz w:val="20"/>
          <w:szCs w:val="20"/>
        </w:rPr>
        <w:t xml:space="preserve"> </w:t>
      </w:r>
      <w:r>
        <w:rPr>
          <w:w w:val="150"/>
          <w:sz w:val="20"/>
          <w:szCs w:val="20"/>
        </w:rPr>
        <w:t>gross</w:t>
      </w:r>
      <w:r>
        <w:rPr>
          <w:spacing w:val="-3"/>
          <w:w w:val="150"/>
          <w:sz w:val="20"/>
          <w:szCs w:val="20"/>
        </w:rPr>
        <w:t xml:space="preserve"> </w:t>
      </w:r>
      <w:r>
        <w:rPr>
          <w:w w:val="150"/>
          <w:sz w:val="20"/>
          <w:szCs w:val="20"/>
        </w:rPr>
        <w:t>returns</w:t>
      </w:r>
      <w:r>
        <w:rPr>
          <w:spacing w:val="-10"/>
          <w:w w:val="150"/>
          <w:sz w:val="20"/>
          <w:szCs w:val="20"/>
        </w:rPr>
        <w:t xml:space="preserve"> </w:t>
      </w:r>
      <w:r>
        <w:rPr>
          <w:w w:val="150"/>
          <w:sz w:val="20"/>
          <w:szCs w:val="20"/>
        </w:rPr>
        <w:t>(including</w:t>
      </w:r>
      <w:r>
        <w:rPr>
          <w:spacing w:val="2"/>
          <w:w w:val="150"/>
          <w:sz w:val="20"/>
          <w:szCs w:val="20"/>
        </w:rPr>
        <w:t xml:space="preserve"> </w:t>
      </w:r>
      <w:r>
        <w:rPr>
          <w:w w:val="150"/>
          <w:sz w:val="20"/>
          <w:szCs w:val="20"/>
        </w:rPr>
        <w:t>profit</w:t>
      </w:r>
      <w:r>
        <w:rPr>
          <w:spacing w:val="-11"/>
          <w:w w:val="150"/>
          <w:sz w:val="20"/>
          <w:szCs w:val="20"/>
        </w:rPr>
        <w:t xml:space="preserve"> </w:t>
      </w:r>
      <w:r>
        <w:rPr>
          <w:w w:val="150"/>
          <w:sz w:val="20"/>
          <w:szCs w:val="20"/>
        </w:rPr>
        <w:t>commission</w:t>
      </w:r>
      <w:r>
        <w:rPr>
          <w:spacing w:val="8"/>
          <w:w w:val="150"/>
          <w:sz w:val="20"/>
          <w:szCs w:val="20"/>
        </w:rPr>
        <w:t xml:space="preserve"> </w:t>
      </w:r>
      <w:r>
        <w:rPr>
          <w:w w:val="150"/>
          <w:sz w:val="20"/>
          <w:szCs w:val="20"/>
        </w:rPr>
        <w:t>return</w:t>
      </w:r>
      <w:r>
        <w:rPr>
          <w:spacing w:val="-9"/>
          <w:w w:val="150"/>
          <w:sz w:val="20"/>
          <w:szCs w:val="20"/>
        </w:rPr>
        <w:t xml:space="preserve"> </w:t>
      </w:r>
      <w:r>
        <w:rPr>
          <w:w w:val="150"/>
          <w:sz w:val="20"/>
          <w:szCs w:val="20"/>
        </w:rPr>
        <w:t>premiums</w:t>
      </w:r>
      <w:r>
        <w:rPr>
          <w:spacing w:val="-7"/>
          <w:w w:val="150"/>
          <w:sz w:val="20"/>
          <w:szCs w:val="20"/>
        </w:rPr>
        <w:t xml:space="preserve"> </w:t>
      </w:r>
      <w:r>
        <w:rPr>
          <w:w w:val="150"/>
          <w:sz w:val="20"/>
          <w:szCs w:val="20"/>
        </w:rPr>
        <w:t>on</w:t>
      </w:r>
      <w:r>
        <w:rPr>
          <w:spacing w:val="-4"/>
          <w:w w:val="150"/>
          <w:sz w:val="20"/>
          <w:szCs w:val="20"/>
        </w:rPr>
        <w:t xml:space="preserve"> </w:t>
      </w:r>
      <w:r>
        <w:rPr>
          <w:w w:val="150"/>
          <w:sz w:val="20"/>
          <w:szCs w:val="20"/>
        </w:rPr>
        <w:t>individual</w:t>
      </w:r>
      <w:r>
        <w:rPr>
          <w:spacing w:val="-6"/>
          <w:w w:val="150"/>
          <w:sz w:val="20"/>
          <w:szCs w:val="20"/>
        </w:rPr>
        <w:t xml:space="preserve"> </w:t>
      </w:r>
      <w:r>
        <w:rPr>
          <w:w w:val="150"/>
          <w:sz w:val="20"/>
          <w:szCs w:val="20"/>
        </w:rPr>
        <w:t>policies)</w:t>
      </w:r>
      <w:r>
        <w:rPr>
          <w:spacing w:val="5"/>
          <w:w w:val="150"/>
          <w:sz w:val="20"/>
          <w:szCs w:val="20"/>
        </w:rPr>
        <w:t xml:space="preserve"> </w:t>
      </w:r>
      <w:r>
        <w:rPr>
          <w:w w:val="150"/>
          <w:sz w:val="20"/>
          <w:szCs w:val="20"/>
        </w:rPr>
        <w:t>and</w:t>
      </w:r>
      <w:r>
        <w:rPr>
          <w:spacing w:val="-12"/>
          <w:w w:val="150"/>
          <w:sz w:val="20"/>
          <w:szCs w:val="20"/>
        </w:rPr>
        <w:t xml:space="preserve"> </w:t>
      </w:r>
      <w:r>
        <w:rPr>
          <w:w w:val="150"/>
          <w:sz w:val="20"/>
          <w:szCs w:val="20"/>
        </w:rPr>
        <w:t>any fees incurred in relation to the placement of the individual underlying</w:t>
      </w:r>
      <w:r>
        <w:rPr>
          <w:spacing w:val="-37"/>
          <w:w w:val="150"/>
          <w:sz w:val="20"/>
          <w:szCs w:val="20"/>
        </w:rPr>
        <w:t xml:space="preserve"> </w:t>
      </w:r>
      <w:r>
        <w:rPr>
          <w:w w:val="150"/>
          <w:sz w:val="20"/>
          <w:szCs w:val="20"/>
        </w:rPr>
        <w:t>policies.</w:t>
      </w:r>
    </w:p>
    <w:p>
      <w:pPr>
        <w:pStyle w:val="TextBody"/>
        <w:widowControl w:val="false"/>
        <w:numPr>
          <w:ilvl w:val="0"/>
          <w:numId w:val="5"/>
        </w:numPr>
        <w:spacing w:before="0" w:after="0"/>
        <w:ind w:left="-360" w:right="-180" w:hanging="360"/>
        <w:rPr>
          <w:sz w:val="20"/>
          <w:szCs w:val="20"/>
        </w:rPr>
      </w:pPr>
      <w:r>
        <w:rPr>
          <w:w w:val="160"/>
          <w:sz w:val="20"/>
          <w:szCs w:val="20"/>
          <w:u w:val="thick" w:color="000000"/>
        </w:rPr>
        <w:t xml:space="preserve">Losses and Fees </w:t>
      </w:r>
      <w:r>
        <w:rPr>
          <w:w w:val="160"/>
          <w:sz w:val="20"/>
          <w:szCs w:val="20"/>
        </w:rPr>
        <w:t xml:space="preserve">means claims arising from Business incepting during the Policy Year, </w:t>
      </w:r>
      <w:r>
        <w:rPr>
          <w:w w:val="155"/>
          <w:sz w:val="20"/>
          <w:szCs w:val="20"/>
        </w:rPr>
        <w:t>less</w:t>
      </w:r>
      <w:r>
        <w:rPr>
          <w:spacing w:val="-36"/>
          <w:w w:val="155"/>
          <w:sz w:val="20"/>
          <w:szCs w:val="20"/>
        </w:rPr>
        <w:t xml:space="preserve"> </w:t>
      </w:r>
      <w:r>
        <w:rPr>
          <w:w w:val="155"/>
          <w:sz w:val="20"/>
          <w:szCs w:val="20"/>
        </w:rPr>
        <w:t>salvage</w:t>
      </w:r>
      <w:r>
        <w:rPr>
          <w:spacing w:val="-26"/>
          <w:w w:val="155"/>
          <w:sz w:val="20"/>
          <w:szCs w:val="20"/>
        </w:rPr>
        <w:t xml:space="preserve"> </w:t>
      </w:r>
      <w:r>
        <w:rPr>
          <w:w w:val="155"/>
          <w:sz w:val="20"/>
          <w:szCs w:val="20"/>
        </w:rPr>
        <w:t>and subrogation</w:t>
      </w:r>
      <w:r>
        <w:rPr>
          <w:spacing w:val="-24"/>
          <w:w w:val="155"/>
          <w:sz w:val="20"/>
          <w:szCs w:val="20"/>
        </w:rPr>
        <w:t xml:space="preserve"> </w:t>
      </w:r>
      <w:r>
        <w:rPr>
          <w:w w:val="155"/>
          <w:sz w:val="20"/>
          <w:szCs w:val="20"/>
        </w:rPr>
        <w:t>recoveries,</w:t>
      </w:r>
      <w:r>
        <w:rPr>
          <w:spacing w:val="-32"/>
          <w:w w:val="155"/>
          <w:sz w:val="20"/>
          <w:szCs w:val="20"/>
        </w:rPr>
        <w:t xml:space="preserve"> </w:t>
      </w:r>
      <w:r>
        <w:rPr>
          <w:w w:val="155"/>
          <w:sz w:val="20"/>
          <w:szCs w:val="20"/>
        </w:rPr>
        <w:t>fees</w:t>
      </w:r>
      <w:r>
        <w:rPr>
          <w:spacing w:val="-36"/>
          <w:w w:val="155"/>
          <w:sz w:val="20"/>
          <w:szCs w:val="20"/>
        </w:rPr>
        <w:t xml:space="preserve"> </w:t>
      </w:r>
      <w:r>
        <w:rPr>
          <w:w w:val="155"/>
          <w:sz w:val="20"/>
          <w:szCs w:val="20"/>
        </w:rPr>
        <w:t>of</w:t>
      </w:r>
      <w:r>
        <w:rPr>
          <w:spacing w:val="-41"/>
          <w:w w:val="155"/>
          <w:sz w:val="20"/>
          <w:szCs w:val="20"/>
        </w:rPr>
        <w:t xml:space="preserve"> </w:t>
      </w:r>
      <w:r>
        <w:rPr>
          <w:w w:val="155"/>
          <w:sz w:val="20"/>
          <w:szCs w:val="20"/>
        </w:rPr>
        <w:t>third</w:t>
      </w:r>
      <w:r>
        <w:rPr>
          <w:spacing w:val="-25"/>
          <w:w w:val="155"/>
          <w:sz w:val="20"/>
          <w:szCs w:val="20"/>
        </w:rPr>
        <w:t xml:space="preserve"> </w:t>
      </w:r>
      <w:r>
        <w:rPr>
          <w:w w:val="155"/>
          <w:sz w:val="20"/>
          <w:szCs w:val="20"/>
        </w:rPr>
        <w:t>parties</w:t>
      </w:r>
      <w:r>
        <w:rPr>
          <w:spacing w:val="-35"/>
          <w:w w:val="155"/>
          <w:sz w:val="20"/>
          <w:szCs w:val="20"/>
        </w:rPr>
        <w:t xml:space="preserve"> </w:t>
      </w:r>
      <w:r>
        <w:rPr>
          <w:w w:val="155"/>
          <w:sz w:val="20"/>
          <w:szCs w:val="20"/>
        </w:rPr>
        <w:t>incurred</w:t>
      </w:r>
      <w:r>
        <w:rPr>
          <w:spacing w:val="-35"/>
          <w:w w:val="155"/>
          <w:sz w:val="20"/>
          <w:szCs w:val="20"/>
        </w:rPr>
        <w:t xml:space="preserve"> </w:t>
      </w:r>
      <w:r>
        <w:rPr>
          <w:w w:val="155"/>
          <w:sz w:val="20"/>
          <w:szCs w:val="20"/>
        </w:rPr>
        <w:t>during</w:t>
      </w:r>
      <w:r>
        <w:rPr>
          <w:spacing w:val="-41"/>
          <w:w w:val="155"/>
          <w:sz w:val="20"/>
          <w:szCs w:val="20"/>
        </w:rPr>
        <w:t xml:space="preserve"> </w:t>
      </w:r>
      <w:r>
        <w:rPr>
          <w:w w:val="155"/>
          <w:sz w:val="20"/>
          <w:szCs w:val="20"/>
        </w:rPr>
        <w:t>the</w:t>
      </w:r>
      <w:r>
        <w:rPr>
          <w:spacing w:val="-32"/>
          <w:w w:val="155"/>
          <w:sz w:val="20"/>
          <w:szCs w:val="20"/>
        </w:rPr>
        <w:t xml:space="preserve"> </w:t>
      </w:r>
      <w:r>
        <w:rPr>
          <w:w w:val="155"/>
          <w:sz w:val="20"/>
          <w:szCs w:val="20"/>
        </w:rPr>
        <w:t>course</w:t>
      </w:r>
      <w:r>
        <w:rPr>
          <w:spacing w:val="-32"/>
          <w:w w:val="155"/>
          <w:sz w:val="20"/>
          <w:szCs w:val="20"/>
        </w:rPr>
        <w:t xml:space="preserve"> </w:t>
      </w:r>
      <w:r>
        <w:rPr>
          <w:w w:val="155"/>
          <w:sz w:val="20"/>
          <w:szCs w:val="20"/>
        </w:rPr>
        <w:t>of</w:t>
      </w:r>
      <w:r>
        <w:rPr>
          <w:spacing w:val="-35"/>
          <w:w w:val="155"/>
          <w:sz w:val="20"/>
          <w:szCs w:val="20"/>
        </w:rPr>
        <w:t xml:space="preserve"> </w:t>
      </w:r>
      <w:r>
        <w:rPr>
          <w:w w:val="155"/>
          <w:sz w:val="20"/>
          <w:szCs w:val="20"/>
        </w:rPr>
        <w:t>settling</w:t>
      </w:r>
      <w:r>
        <w:rPr>
          <w:spacing w:val="-34"/>
          <w:w w:val="155"/>
          <w:sz w:val="20"/>
          <w:szCs w:val="20"/>
        </w:rPr>
        <w:t xml:space="preserve"> </w:t>
      </w:r>
      <w:r>
        <w:rPr>
          <w:w w:val="155"/>
          <w:sz w:val="20"/>
          <w:szCs w:val="20"/>
        </w:rPr>
        <w:t>claims</w:t>
      </w:r>
      <w:r>
        <w:rPr>
          <w:spacing w:val="-38"/>
          <w:w w:val="155"/>
          <w:sz w:val="20"/>
          <w:szCs w:val="20"/>
        </w:rPr>
        <w:t xml:space="preserve"> </w:t>
      </w:r>
      <w:r>
        <w:rPr>
          <w:w w:val="155"/>
          <w:sz w:val="20"/>
          <w:szCs w:val="20"/>
        </w:rPr>
        <w:t>and</w:t>
      </w:r>
      <w:r>
        <w:rPr>
          <w:spacing w:val="-33"/>
          <w:w w:val="155"/>
          <w:sz w:val="20"/>
          <w:szCs w:val="20"/>
        </w:rPr>
        <w:t xml:space="preserve"> </w:t>
      </w:r>
      <w:r>
        <w:rPr>
          <w:w w:val="155"/>
          <w:sz w:val="20"/>
          <w:szCs w:val="20"/>
        </w:rPr>
        <w:t>defending</w:t>
      </w:r>
      <w:r>
        <w:rPr>
          <w:spacing w:val="-25"/>
          <w:w w:val="155"/>
          <w:sz w:val="20"/>
          <w:szCs w:val="20"/>
        </w:rPr>
        <w:t xml:space="preserve"> </w:t>
      </w:r>
      <w:r>
        <w:rPr>
          <w:w w:val="155"/>
          <w:sz w:val="20"/>
          <w:szCs w:val="20"/>
        </w:rPr>
        <w:t xml:space="preserve">suits </w:t>
      </w:r>
      <w:r>
        <w:rPr>
          <w:w w:val="150"/>
          <w:sz w:val="20"/>
          <w:szCs w:val="20"/>
        </w:rPr>
        <w:t>against</w:t>
      </w:r>
      <w:r>
        <w:rPr>
          <w:spacing w:val="-22"/>
          <w:w w:val="150"/>
          <w:sz w:val="20"/>
          <w:szCs w:val="20"/>
        </w:rPr>
        <w:t xml:space="preserve"> </w:t>
      </w:r>
      <w:r>
        <w:rPr>
          <w:w w:val="150"/>
          <w:sz w:val="20"/>
          <w:szCs w:val="20"/>
        </w:rPr>
        <w:t>policyholders.</w:t>
      </w:r>
    </w:p>
    <w:p>
      <w:pPr>
        <w:pStyle w:val="TextBody"/>
        <w:spacing w:before="0" w:after="0"/>
        <w:ind w:left="-360" w:right="-180" w:hanging="0"/>
        <w:rPr>
          <w:sz w:val="20"/>
          <w:szCs w:val="20"/>
        </w:rPr>
      </w:pPr>
      <w:r>
        <w:rPr>
          <w:w w:val="149"/>
          <w:sz w:val="20"/>
          <w:szCs w:val="20"/>
        </w:rPr>
        <w:t xml:space="preserve">Losses and </w:t>
      </w:r>
      <w:r>
        <w:rPr>
          <w:w w:val="150"/>
          <w:sz w:val="20"/>
          <w:szCs w:val="20"/>
        </w:rPr>
        <w:t xml:space="preserve">Fees </w:t>
      </w:r>
      <w:r>
        <w:rPr>
          <w:w w:val="149"/>
          <w:sz w:val="20"/>
          <w:szCs w:val="20"/>
        </w:rPr>
        <w:t xml:space="preserve">include </w:t>
      </w:r>
      <w:r>
        <w:rPr>
          <w:w w:val="146"/>
          <w:sz w:val="20"/>
          <w:szCs w:val="20"/>
        </w:rPr>
        <w:t xml:space="preserve">paid losses, </w:t>
      </w:r>
      <w:r>
        <w:rPr>
          <w:w w:val="147"/>
          <w:sz w:val="20"/>
          <w:szCs w:val="20"/>
        </w:rPr>
        <w:t xml:space="preserve">reserves </w:t>
      </w:r>
      <w:r>
        <w:rPr>
          <w:w w:val="142"/>
          <w:sz w:val="20"/>
          <w:szCs w:val="20"/>
        </w:rPr>
        <w:t xml:space="preserve">for </w:t>
      </w:r>
      <w:r>
        <w:rPr>
          <w:w w:val="146"/>
          <w:sz w:val="20"/>
          <w:szCs w:val="20"/>
        </w:rPr>
        <w:t xml:space="preserve">outstanding </w:t>
      </w:r>
      <w:r>
        <w:rPr>
          <w:w w:val="148"/>
          <w:sz w:val="20"/>
          <w:szCs w:val="20"/>
        </w:rPr>
        <w:t xml:space="preserve">losses, </w:t>
      </w:r>
      <w:r>
        <w:rPr>
          <w:w w:val="149"/>
          <w:sz w:val="20"/>
          <w:szCs w:val="20"/>
        </w:rPr>
        <w:t xml:space="preserve">loss </w:t>
      </w:r>
      <w:r>
        <w:rPr>
          <w:w w:val="145"/>
          <w:sz w:val="20"/>
          <w:szCs w:val="20"/>
        </w:rPr>
        <w:t xml:space="preserve">adjustment </w:t>
      </w:r>
      <w:r>
        <w:rPr>
          <w:w w:val="146"/>
          <w:sz w:val="20"/>
          <w:szCs w:val="20"/>
        </w:rPr>
        <w:t xml:space="preserve">expenses </w:t>
      </w:r>
      <w:r>
        <w:rPr>
          <w:w w:val="149"/>
          <w:sz w:val="20"/>
          <w:szCs w:val="20"/>
        </w:rPr>
        <w:t xml:space="preserve">and </w:t>
      </w:r>
      <w:r>
        <w:rPr>
          <w:w w:val="145"/>
          <w:sz w:val="20"/>
          <w:szCs w:val="20"/>
        </w:rPr>
        <w:t xml:space="preserve">claims </w:t>
      </w:r>
      <w:r>
        <w:rPr>
          <w:w w:val="150"/>
          <w:sz w:val="20"/>
          <w:szCs w:val="20"/>
        </w:rPr>
        <w:t>incurred but not reported</w:t>
      </w:r>
      <w:r>
        <w:rPr>
          <w:spacing w:val="-39"/>
          <w:w w:val="150"/>
          <w:sz w:val="20"/>
          <w:szCs w:val="20"/>
        </w:rPr>
        <w:t xml:space="preserve"> </w:t>
      </w:r>
      <w:r>
        <w:rPr>
          <w:w w:val="150"/>
          <w:sz w:val="20"/>
          <w:szCs w:val="20"/>
        </w:rPr>
        <w:t>(IBNR).</w:t>
      </w:r>
    </w:p>
    <w:p>
      <w:pPr>
        <w:pStyle w:val="TextBody"/>
        <w:widowControl w:val="false"/>
        <w:numPr>
          <w:ilvl w:val="0"/>
          <w:numId w:val="5"/>
        </w:numPr>
        <w:spacing w:before="0" w:after="0"/>
        <w:ind w:left="-360" w:right="-180" w:hanging="360"/>
        <w:rPr>
          <w:sz w:val="20"/>
          <w:szCs w:val="20"/>
        </w:rPr>
      </w:pPr>
      <w:r>
        <w:rPr>
          <w:w w:val="150"/>
          <w:sz w:val="20"/>
          <w:szCs w:val="20"/>
          <w:u w:val="thick" w:color="000000"/>
        </w:rPr>
        <w:t>Underwriter's</w:t>
      </w:r>
      <w:r>
        <w:rPr>
          <w:spacing w:val="2"/>
          <w:w w:val="150"/>
          <w:sz w:val="20"/>
          <w:szCs w:val="20"/>
          <w:u w:val="thick" w:color="000000"/>
        </w:rPr>
        <w:t xml:space="preserve"> </w:t>
      </w:r>
      <w:r>
        <w:rPr>
          <w:w w:val="150"/>
          <w:sz w:val="20"/>
          <w:szCs w:val="20"/>
          <w:u w:val="thick" w:color="000000"/>
        </w:rPr>
        <w:t>Expenses</w:t>
      </w:r>
      <w:r>
        <w:rPr>
          <w:spacing w:val="-10"/>
          <w:w w:val="150"/>
          <w:sz w:val="20"/>
          <w:szCs w:val="20"/>
          <w:u w:val="thick" w:color="000000"/>
        </w:rPr>
        <w:t xml:space="preserve"> </w:t>
      </w:r>
      <w:r>
        <w:rPr>
          <w:w w:val="150"/>
          <w:sz w:val="20"/>
          <w:szCs w:val="20"/>
        </w:rPr>
        <w:t>are</w:t>
      </w:r>
      <w:r>
        <w:rPr>
          <w:spacing w:val="-19"/>
          <w:w w:val="150"/>
          <w:sz w:val="20"/>
          <w:szCs w:val="20"/>
        </w:rPr>
        <w:t xml:space="preserve"> </w:t>
      </w:r>
      <w:r>
        <w:rPr>
          <w:w w:val="150"/>
          <w:sz w:val="20"/>
          <w:szCs w:val="20"/>
        </w:rPr>
        <w:t>calculated</w:t>
      </w:r>
      <w:r>
        <w:rPr>
          <w:spacing w:val="-7"/>
          <w:w w:val="150"/>
          <w:sz w:val="20"/>
          <w:szCs w:val="20"/>
        </w:rPr>
        <w:t xml:space="preserve"> </w:t>
      </w:r>
      <w:r>
        <w:rPr>
          <w:w w:val="150"/>
          <w:sz w:val="20"/>
          <w:szCs w:val="20"/>
        </w:rPr>
        <w:t>as</w:t>
      </w:r>
      <w:r>
        <w:rPr>
          <w:spacing w:val="-21"/>
          <w:w w:val="150"/>
          <w:sz w:val="20"/>
          <w:szCs w:val="20"/>
        </w:rPr>
        <w:t xml:space="preserve"> </w:t>
      </w:r>
      <w:r>
        <w:rPr>
          <w:w w:val="150"/>
          <w:sz w:val="20"/>
          <w:szCs w:val="20"/>
        </w:rPr>
        <w:t>12.50%</w:t>
      </w:r>
      <w:r>
        <w:rPr>
          <w:spacing w:val="-8"/>
          <w:w w:val="150"/>
          <w:sz w:val="20"/>
          <w:szCs w:val="20"/>
        </w:rPr>
        <w:t xml:space="preserve"> </w:t>
      </w:r>
      <w:r>
        <w:rPr>
          <w:w w:val="150"/>
          <w:sz w:val="20"/>
          <w:szCs w:val="20"/>
        </w:rPr>
        <w:t>of</w:t>
      </w:r>
      <w:r>
        <w:rPr>
          <w:spacing w:val="-2"/>
          <w:w w:val="150"/>
          <w:sz w:val="20"/>
          <w:szCs w:val="20"/>
        </w:rPr>
        <w:t xml:space="preserve"> </w:t>
      </w:r>
      <w:r>
        <w:rPr>
          <w:w w:val="150"/>
          <w:sz w:val="20"/>
          <w:szCs w:val="20"/>
        </w:rPr>
        <w:t>Gross Premium.</w:t>
      </w:r>
    </w:p>
    <w:p>
      <w:pPr>
        <w:pStyle w:val="TextBody"/>
        <w:widowControl w:val="false"/>
        <w:numPr>
          <w:ilvl w:val="0"/>
          <w:numId w:val="5"/>
        </w:numPr>
        <w:spacing w:before="0" w:after="0"/>
        <w:ind w:left="-360" w:right="-180" w:hanging="360"/>
        <w:rPr>
          <w:color w:val="000000" w:themeColor="text1"/>
          <w:w w:val="150"/>
          <w:sz w:val="20"/>
          <w:szCs w:val="20"/>
        </w:rPr>
      </w:pPr>
      <w:r>
        <w:rPr>
          <w:w w:val="150"/>
          <w:sz w:val="20"/>
          <w:szCs w:val="20"/>
          <w:u w:val="thick" w:color="000000"/>
        </w:rPr>
        <w:t>Net</w:t>
      </w:r>
      <w:r>
        <w:rPr>
          <w:spacing w:val="-25"/>
          <w:w w:val="150"/>
          <w:sz w:val="20"/>
          <w:szCs w:val="20"/>
          <w:u w:val="thick" w:color="000000"/>
        </w:rPr>
        <w:t xml:space="preserve"> </w:t>
      </w:r>
      <w:r>
        <w:rPr>
          <w:w w:val="150"/>
          <w:sz w:val="20"/>
          <w:szCs w:val="20"/>
          <w:u w:val="thick" w:color="000000"/>
        </w:rPr>
        <w:t>Underwriting</w:t>
      </w:r>
      <w:r>
        <w:rPr>
          <w:spacing w:val="7"/>
          <w:w w:val="150"/>
          <w:sz w:val="20"/>
          <w:szCs w:val="20"/>
          <w:u w:val="thick" w:color="000000"/>
        </w:rPr>
        <w:t xml:space="preserve"> </w:t>
      </w:r>
      <w:r>
        <w:rPr>
          <w:w w:val="150"/>
          <w:sz w:val="20"/>
          <w:szCs w:val="20"/>
          <w:u w:val="thick" w:color="000000"/>
        </w:rPr>
        <w:t>Profit</w:t>
      </w:r>
      <w:r>
        <w:rPr>
          <w:spacing w:val="-16"/>
          <w:w w:val="150"/>
          <w:sz w:val="20"/>
          <w:szCs w:val="20"/>
          <w:u w:val="thick" w:color="000000"/>
        </w:rPr>
        <w:t xml:space="preserve"> </w:t>
      </w:r>
      <w:r>
        <w:rPr>
          <w:color w:val="000000" w:themeColor="text1"/>
          <w:spacing w:val="-16"/>
          <w:w w:val="150"/>
          <w:sz w:val="20"/>
          <w:szCs w:val="20"/>
        </w:rPr>
        <w:t xml:space="preserve">shall </w:t>
      </w:r>
      <w:r>
        <w:rPr>
          <w:color w:val="000000" w:themeColor="text1"/>
          <w:w w:val="150"/>
          <w:sz w:val="20"/>
          <w:szCs w:val="20"/>
        </w:rPr>
        <w:t>means</w:t>
      </w:r>
      <w:r>
        <w:rPr>
          <w:color w:val="000000" w:themeColor="text1"/>
          <w:spacing w:val="-9"/>
          <w:w w:val="150"/>
          <w:sz w:val="20"/>
          <w:szCs w:val="20"/>
        </w:rPr>
        <w:t xml:space="preserve"> </w:t>
      </w:r>
      <w:r>
        <w:rPr>
          <w:color w:val="000000" w:themeColor="text1"/>
          <w:w w:val="150"/>
          <w:sz w:val="20"/>
          <w:szCs w:val="20"/>
        </w:rPr>
        <w:t>Gross</w:t>
      </w:r>
      <w:r>
        <w:rPr>
          <w:color w:val="000000" w:themeColor="text1"/>
          <w:spacing w:val="-2"/>
          <w:w w:val="150"/>
          <w:sz w:val="20"/>
          <w:szCs w:val="20"/>
        </w:rPr>
        <w:t xml:space="preserve"> </w:t>
      </w:r>
      <w:r>
        <w:rPr>
          <w:color w:val="000000" w:themeColor="text1"/>
          <w:w w:val="150"/>
          <w:sz w:val="20"/>
          <w:szCs w:val="20"/>
        </w:rPr>
        <w:t>Premium</w:t>
      </w:r>
      <w:r>
        <w:rPr>
          <w:color w:val="000000" w:themeColor="text1"/>
          <w:spacing w:val="-25"/>
          <w:w w:val="150"/>
          <w:sz w:val="20"/>
          <w:szCs w:val="20"/>
        </w:rPr>
        <w:t xml:space="preserve"> </w:t>
      </w:r>
      <w:r>
        <w:rPr>
          <w:color w:val="000000" w:themeColor="text1"/>
          <w:w w:val="150"/>
          <w:sz w:val="20"/>
          <w:szCs w:val="20"/>
        </w:rPr>
        <w:t>for Business incepting</w:t>
      </w:r>
      <w:r>
        <w:rPr>
          <w:color w:val="000000" w:themeColor="text1"/>
          <w:spacing w:val="-4"/>
          <w:w w:val="150"/>
          <w:sz w:val="20"/>
          <w:szCs w:val="20"/>
        </w:rPr>
        <w:t xml:space="preserve"> </w:t>
      </w:r>
      <w:r>
        <w:rPr>
          <w:color w:val="000000" w:themeColor="text1"/>
          <w:w w:val="150"/>
          <w:sz w:val="20"/>
          <w:szCs w:val="20"/>
        </w:rPr>
        <w:t>during</w:t>
      </w:r>
      <w:r>
        <w:rPr>
          <w:color w:val="000000" w:themeColor="text1"/>
          <w:spacing w:val="-11"/>
          <w:w w:val="150"/>
          <w:sz w:val="20"/>
          <w:szCs w:val="20"/>
        </w:rPr>
        <w:t xml:space="preserve"> </w:t>
      </w:r>
      <w:r>
        <w:rPr>
          <w:color w:val="000000" w:themeColor="text1"/>
          <w:w w:val="150"/>
          <w:sz w:val="20"/>
          <w:szCs w:val="20"/>
        </w:rPr>
        <w:t>the</w:t>
      </w:r>
      <w:r>
        <w:rPr>
          <w:color w:val="000000" w:themeColor="text1"/>
          <w:spacing w:val="3"/>
          <w:w w:val="150"/>
          <w:sz w:val="20"/>
          <w:szCs w:val="20"/>
        </w:rPr>
        <w:t xml:space="preserve"> </w:t>
      </w:r>
      <w:r>
        <w:rPr>
          <w:color w:val="000000" w:themeColor="text1"/>
          <w:w w:val="150"/>
          <w:sz w:val="20"/>
          <w:szCs w:val="20"/>
        </w:rPr>
        <w:t>Policy</w:t>
      </w:r>
      <w:r>
        <w:rPr>
          <w:color w:val="000000" w:themeColor="text1"/>
          <w:spacing w:val="-15"/>
          <w:w w:val="150"/>
          <w:sz w:val="20"/>
          <w:szCs w:val="20"/>
        </w:rPr>
        <w:t xml:space="preserve"> </w:t>
      </w:r>
      <w:r>
        <w:rPr>
          <w:color w:val="000000" w:themeColor="text1"/>
          <w:w w:val="150"/>
          <w:sz w:val="20"/>
          <w:szCs w:val="20"/>
        </w:rPr>
        <w:t>Year,</w:t>
      </w:r>
      <w:r>
        <w:rPr>
          <w:color w:val="000000" w:themeColor="text1"/>
          <w:spacing w:val="8"/>
          <w:w w:val="150"/>
          <w:sz w:val="20"/>
          <w:szCs w:val="20"/>
        </w:rPr>
        <w:t xml:space="preserve"> </w:t>
      </w:r>
      <w:r>
        <w:rPr>
          <w:color w:val="000000" w:themeColor="text1"/>
          <w:w w:val="150"/>
          <w:sz w:val="20"/>
          <w:szCs w:val="20"/>
        </w:rPr>
        <w:t>less</w:t>
      </w:r>
      <w:r>
        <w:rPr>
          <w:color w:val="000000" w:themeColor="text1"/>
          <w:spacing w:val="-5"/>
          <w:w w:val="150"/>
          <w:sz w:val="20"/>
          <w:szCs w:val="20"/>
        </w:rPr>
        <w:t xml:space="preserve"> </w:t>
      </w:r>
      <w:r>
        <w:rPr>
          <w:color w:val="000000" w:themeColor="text1"/>
          <w:w w:val="150"/>
          <w:sz w:val="20"/>
          <w:szCs w:val="20"/>
        </w:rPr>
        <w:t>all Agent</w:t>
      </w:r>
      <w:r>
        <w:rPr>
          <w:color w:val="000000" w:themeColor="text1"/>
          <w:spacing w:val="-9"/>
          <w:w w:val="150"/>
          <w:sz w:val="20"/>
          <w:szCs w:val="20"/>
        </w:rPr>
        <w:t xml:space="preserve"> </w:t>
      </w:r>
      <w:r>
        <w:rPr>
          <w:color w:val="000000" w:themeColor="text1"/>
          <w:w w:val="150"/>
          <w:sz w:val="20"/>
          <w:szCs w:val="20"/>
        </w:rPr>
        <w:t>Commission, taxes and any rebate due to policyholders less</w:t>
      </w:r>
      <w:r>
        <w:rPr>
          <w:color w:val="000000" w:themeColor="text1"/>
          <w:spacing w:val="-1"/>
          <w:w w:val="150"/>
          <w:sz w:val="20"/>
          <w:szCs w:val="20"/>
        </w:rPr>
        <w:t xml:space="preserve"> </w:t>
      </w:r>
      <w:r>
        <w:rPr>
          <w:color w:val="000000" w:themeColor="text1"/>
          <w:w w:val="150"/>
          <w:sz w:val="20"/>
          <w:szCs w:val="20"/>
        </w:rPr>
        <w:t>Underwriter's</w:t>
      </w:r>
      <w:r>
        <w:rPr>
          <w:color w:val="000000" w:themeColor="text1"/>
          <w:spacing w:val="4"/>
          <w:w w:val="150"/>
          <w:sz w:val="20"/>
          <w:szCs w:val="20"/>
        </w:rPr>
        <w:t xml:space="preserve"> </w:t>
      </w:r>
      <w:r>
        <w:rPr>
          <w:color w:val="000000" w:themeColor="text1"/>
          <w:w w:val="150"/>
          <w:sz w:val="20"/>
          <w:szCs w:val="20"/>
        </w:rPr>
        <w:t>Expenses</w:t>
      </w:r>
      <w:r>
        <w:rPr>
          <w:color w:val="000000" w:themeColor="text1"/>
          <w:spacing w:val="-2"/>
          <w:w w:val="150"/>
          <w:sz w:val="20"/>
          <w:szCs w:val="20"/>
        </w:rPr>
        <w:t xml:space="preserve"> </w:t>
      </w:r>
      <w:r>
        <w:rPr>
          <w:color w:val="000000" w:themeColor="text1"/>
          <w:w w:val="150"/>
          <w:sz w:val="20"/>
          <w:szCs w:val="20"/>
        </w:rPr>
        <w:t>minus</w:t>
      </w:r>
      <w:r>
        <w:rPr>
          <w:color w:val="000000" w:themeColor="text1"/>
          <w:spacing w:val="-5"/>
          <w:w w:val="150"/>
          <w:sz w:val="20"/>
          <w:szCs w:val="20"/>
        </w:rPr>
        <w:t xml:space="preserve"> </w:t>
      </w:r>
      <w:r>
        <w:rPr>
          <w:color w:val="000000" w:themeColor="text1"/>
          <w:w w:val="150"/>
          <w:sz w:val="20"/>
          <w:szCs w:val="20"/>
        </w:rPr>
        <w:t>Losses</w:t>
      </w:r>
      <w:r>
        <w:rPr>
          <w:color w:val="000000" w:themeColor="text1"/>
          <w:spacing w:val="-11"/>
          <w:w w:val="150"/>
          <w:sz w:val="20"/>
          <w:szCs w:val="20"/>
        </w:rPr>
        <w:t xml:space="preserve"> </w:t>
      </w:r>
      <w:r>
        <w:rPr>
          <w:color w:val="000000" w:themeColor="text1"/>
          <w:w w:val="150"/>
          <w:sz w:val="20"/>
          <w:szCs w:val="20"/>
        </w:rPr>
        <w:t>and</w:t>
      </w:r>
      <w:r>
        <w:rPr>
          <w:color w:val="000000" w:themeColor="text1"/>
          <w:spacing w:val="4"/>
          <w:w w:val="150"/>
          <w:sz w:val="20"/>
          <w:szCs w:val="20"/>
        </w:rPr>
        <w:t xml:space="preserve"> </w:t>
      </w:r>
      <w:r>
        <w:rPr>
          <w:color w:val="000000" w:themeColor="text1"/>
          <w:w w:val="150"/>
          <w:sz w:val="20"/>
          <w:szCs w:val="20"/>
        </w:rPr>
        <w:t>Fees.</w:t>
      </w:r>
    </w:p>
    <w:p>
      <w:pPr>
        <w:pStyle w:val="TextBody"/>
        <w:spacing w:before="0" w:after="0"/>
        <w:ind w:left="-360" w:right="-180" w:hanging="0"/>
        <w:rPr>
          <w:color w:val="000000" w:themeColor="text1"/>
          <w:w w:val="150"/>
          <w:sz w:val="20"/>
          <w:szCs w:val="20"/>
        </w:rPr>
      </w:pPr>
      <w:r>
        <w:rPr>
          <w:color w:val="000000" w:themeColor="text1"/>
          <w:w w:val="150"/>
          <w:sz w:val="20"/>
          <w:szCs w:val="20"/>
        </w:rPr>
      </w:r>
    </w:p>
    <w:p>
      <w:pPr>
        <w:pStyle w:val="TextBody"/>
        <w:spacing w:before="0" w:after="0"/>
        <w:ind w:left="-360" w:right="-180" w:hanging="0"/>
        <w:rPr>
          <w:color w:val="000000" w:themeColor="text1"/>
          <w:sz w:val="20"/>
          <w:szCs w:val="20"/>
        </w:rPr>
      </w:pPr>
      <w:r>
        <w:rPr>
          <w:color w:val="000000" w:themeColor="text1"/>
          <w:w w:val="150"/>
          <w:sz w:val="20"/>
          <w:szCs w:val="20"/>
        </w:rPr>
        <w:t xml:space="preserve"> </w:t>
      </w:r>
      <w:r>
        <w:rPr>
          <w:color w:val="000000" w:themeColor="text1"/>
          <w:w w:val="150"/>
          <w:sz w:val="20"/>
          <w:szCs w:val="20"/>
        </w:rPr>
        <w:t>In</w:t>
      </w:r>
      <w:r>
        <w:rPr>
          <w:color w:val="000000" w:themeColor="text1"/>
          <w:spacing w:val="-29"/>
          <w:w w:val="150"/>
          <w:sz w:val="20"/>
          <w:szCs w:val="20"/>
        </w:rPr>
        <w:t xml:space="preserve"> </w:t>
      </w:r>
      <w:r>
        <w:rPr>
          <w:color w:val="000000" w:themeColor="text1"/>
          <w:w w:val="150"/>
          <w:sz w:val="20"/>
          <w:szCs w:val="20"/>
        </w:rPr>
        <w:t>addition</w:t>
      </w:r>
      <w:r>
        <w:rPr>
          <w:color w:val="000000" w:themeColor="text1"/>
          <w:spacing w:val="2"/>
          <w:w w:val="150"/>
          <w:sz w:val="20"/>
          <w:szCs w:val="20"/>
        </w:rPr>
        <w:t xml:space="preserve"> </w:t>
      </w:r>
      <w:r>
        <w:rPr>
          <w:color w:val="000000" w:themeColor="text1"/>
          <w:w w:val="150"/>
          <w:sz w:val="20"/>
          <w:szCs w:val="20"/>
        </w:rPr>
        <w:t>premium</w:t>
      </w:r>
      <w:r>
        <w:rPr>
          <w:color w:val="000000" w:themeColor="text1"/>
          <w:spacing w:val="-10"/>
          <w:w w:val="150"/>
          <w:sz w:val="20"/>
          <w:szCs w:val="20"/>
        </w:rPr>
        <w:t xml:space="preserve"> </w:t>
      </w:r>
      <w:r>
        <w:rPr>
          <w:color w:val="000000" w:themeColor="text1"/>
          <w:w w:val="150"/>
          <w:sz w:val="20"/>
          <w:szCs w:val="20"/>
        </w:rPr>
        <w:t>owed</w:t>
      </w:r>
      <w:r>
        <w:rPr>
          <w:color w:val="000000" w:themeColor="text1"/>
          <w:spacing w:val="-2"/>
          <w:w w:val="150"/>
          <w:sz w:val="20"/>
          <w:szCs w:val="20"/>
        </w:rPr>
        <w:t xml:space="preserve"> </w:t>
      </w:r>
      <w:r>
        <w:rPr>
          <w:color w:val="000000" w:themeColor="text1"/>
          <w:w w:val="150"/>
          <w:sz w:val="20"/>
          <w:szCs w:val="20"/>
        </w:rPr>
        <w:t>by</w:t>
      </w:r>
      <w:r>
        <w:rPr>
          <w:color w:val="000000" w:themeColor="text1"/>
          <w:spacing w:val="4"/>
          <w:w w:val="150"/>
          <w:sz w:val="20"/>
          <w:szCs w:val="20"/>
        </w:rPr>
        <w:t xml:space="preserve"> </w:t>
      </w:r>
      <w:r>
        <w:rPr>
          <w:color w:val="000000" w:themeColor="text1"/>
          <w:w w:val="150"/>
          <w:sz w:val="20"/>
          <w:szCs w:val="20"/>
        </w:rPr>
        <w:t>Agent</w:t>
      </w:r>
      <w:r>
        <w:rPr>
          <w:color w:val="000000" w:themeColor="text1"/>
          <w:spacing w:val="-4"/>
          <w:w w:val="150"/>
          <w:sz w:val="20"/>
          <w:szCs w:val="20"/>
        </w:rPr>
        <w:t xml:space="preserve"> </w:t>
      </w:r>
      <w:r>
        <w:rPr>
          <w:color w:val="000000" w:themeColor="text1"/>
          <w:w w:val="150"/>
          <w:sz w:val="20"/>
          <w:szCs w:val="20"/>
        </w:rPr>
        <w:t>to</w:t>
      </w:r>
      <w:r>
        <w:rPr>
          <w:color w:val="000000" w:themeColor="text1"/>
          <w:spacing w:val="-1"/>
          <w:w w:val="150"/>
          <w:sz w:val="20"/>
          <w:szCs w:val="20"/>
        </w:rPr>
        <w:t xml:space="preserve"> </w:t>
      </w:r>
      <w:r>
        <w:rPr>
          <w:color w:val="000000" w:themeColor="text1"/>
          <w:w w:val="150"/>
          <w:sz w:val="20"/>
          <w:szCs w:val="20"/>
        </w:rPr>
        <w:t>Bascule</w:t>
      </w:r>
      <w:r>
        <w:rPr>
          <w:color w:val="000000" w:themeColor="text1"/>
          <w:spacing w:val="-1"/>
          <w:w w:val="150"/>
          <w:sz w:val="20"/>
          <w:szCs w:val="20"/>
        </w:rPr>
        <w:t xml:space="preserve"> </w:t>
      </w:r>
      <w:r>
        <w:rPr>
          <w:color w:val="000000" w:themeColor="text1"/>
          <w:w w:val="150"/>
          <w:sz w:val="20"/>
          <w:szCs w:val="20"/>
        </w:rPr>
        <w:t>for</w:t>
      </w:r>
      <w:r>
        <w:rPr>
          <w:color w:val="000000" w:themeColor="text1"/>
          <w:spacing w:val="4"/>
          <w:w w:val="150"/>
          <w:sz w:val="20"/>
          <w:szCs w:val="20"/>
        </w:rPr>
        <w:t xml:space="preserve"> </w:t>
      </w:r>
      <w:r>
        <w:rPr>
          <w:color w:val="000000" w:themeColor="text1"/>
          <w:w w:val="150"/>
          <w:sz w:val="20"/>
          <w:szCs w:val="20"/>
        </w:rPr>
        <w:t>more</w:t>
      </w:r>
      <w:r>
        <w:rPr>
          <w:color w:val="000000" w:themeColor="text1"/>
          <w:spacing w:val="-21"/>
          <w:w w:val="150"/>
          <w:sz w:val="20"/>
          <w:szCs w:val="20"/>
        </w:rPr>
        <w:t xml:space="preserve"> </w:t>
      </w:r>
      <w:r>
        <w:rPr>
          <w:color w:val="000000" w:themeColor="text1"/>
          <w:w w:val="150"/>
          <w:sz w:val="20"/>
          <w:szCs w:val="20"/>
        </w:rPr>
        <w:t>than</w:t>
      </w:r>
      <w:r>
        <w:rPr>
          <w:color w:val="000000" w:themeColor="text1"/>
          <w:spacing w:val="-6"/>
          <w:w w:val="150"/>
          <w:sz w:val="20"/>
          <w:szCs w:val="20"/>
        </w:rPr>
        <w:t xml:space="preserve"> </w:t>
      </w:r>
      <w:r>
        <w:rPr>
          <w:color w:val="000000" w:themeColor="text1"/>
          <w:w w:val="150"/>
          <w:sz w:val="20"/>
          <w:szCs w:val="20"/>
        </w:rPr>
        <w:t>thirty (30)</w:t>
      </w:r>
      <w:r>
        <w:rPr>
          <w:color w:val="000000" w:themeColor="text1"/>
          <w:spacing w:val="-10"/>
          <w:w w:val="150"/>
          <w:sz w:val="20"/>
          <w:szCs w:val="20"/>
        </w:rPr>
        <w:t xml:space="preserve"> </w:t>
      </w:r>
      <w:r>
        <w:rPr>
          <w:color w:val="000000" w:themeColor="text1"/>
          <w:w w:val="150"/>
          <w:sz w:val="20"/>
          <w:szCs w:val="20"/>
        </w:rPr>
        <w:t>days</w:t>
      </w:r>
      <w:r>
        <w:rPr>
          <w:color w:val="000000" w:themeColor="text1"/>
          <w:spacing w:val="7"/>
          <w:w w:val="150"/>
          <w:sz w:val="20"/>
          <w:szCs w:val="20"/>
        </w:rPr>
        <w:t xml:space="preserve"> </w:t>
      </w:r>
      <w:r>
        <w:rPr>
          <w:color w:val="000000" w:themeColor="text1"/>
          <w:w w:val="150"/>
          <w:sz w:val="20"/>
          <w:szCs w:val="20"/>
        </w:rPr>
        <w:t>after</w:t>
      </w:r>
      <w:r>
        <w:rPr>
          <w:color w:val="000000" w:themeColor="text1"/>
          <w:spacing w:val="1"/>
          <w:w w:val="150"/>
          <w:sz w:val="20"/>
          <w:szCs w:val="20"/>
        </w:rPr>
        <w:t xml:space="preserve"> </w:t>
      </w:r>
      <w:r>
        <w:rPr>
          <w:color w:val="000000" w:themeColor="text1"/>
          <w:w w:val="150"/>
          <w:sz w:val="20"/>
          <w:szCs w:val="20"/>
        </w:rPr>
        <w:t>the</w:t>
      </w:r>
      <w:r>
        <w:rPr>
          <w:color w:val="000000" w:themeColor="text1"/>
          <w:spacing w:val="-10"/>
          <w:w w:val="150"/>
          <w:sz w:val="20"/>
          <w:szCs w:val="20"/>
        </w:rPr>
        <w:t xml:space="preserve"> </w:t>
      </w:r>
      <w:r>
        <w:rPr>
          <w:color w:val="000000" w:themeColor="text1"/>
          <w:w w:val="150"/>
          <w:sz w:val="20"/>
          <w:szCs w:val="20"/>
        </w:rPr>
        <w:t>due</w:t>
      </w:r>
      <w:r>
        <w:rPr>
          <w:color w:val="000000" w:themeColor="text1"/>
          <w:spacing w:val="6"/>
          <w:w w:val="150"/>
          <w:sz w:val="20"/>
          <w:szCs w:val="20"/>
        </w:rPr>
        <w:t xml:space="preserve"> </w:t>
      </w:r>
      <w:r>
        <w:rPr>
          <w:color w:val="000000" w:themeColor="text1"/>
          <w:w w:val="150"/>
          <w:sz w:val="20"/>
          <w:szCs w:val="20"/>
        </w:rPr>
        <w:t>date</w:t>
      </w:r>
      <w:r>
        <w:rPr>
          <w:color w:val="000000" w:themeColor="text1"/>
          <w:spacing w:val="-11"/>
          <w:w w:val="150"/>
          <w:sz w:val="20"/>
          <w:szCs w:val="20"/>
        </w:rPr>
        <w:t xml:space="preserve"> </w:t>
      </w:r>
      <w:r>
        <w:rPr>
          <w:color w:val="000000" w:themeColor="text1"/>
          <w:w w:val="150"/>
          <w:sz w:val="20"/>
          <w:szCs w:val="20"/>
        </w:rPr>
        <w:t>shall</w:t>
      </w:r>
      <w:r>
        <w:rPr>
          <w:color w:val="000000" w:themeColor="text1"/>
          <w:spacing w:val="1"/>
          <w:w w:val="150"/>
          <w:sz w:val="20"/>
          <w:szCs w:val="20"/>
        </w:rPr>
        <w:t xml:space="preserve"> </w:t>
      </w:r>
      <w:r>
        <w:rPr>
          <w:color w:val="000000" w:themeColor="text1"/>
          <w:w w:val="150"/>
          <w:sz w:val="20"/>
          <w:szCs w:val="20"/>
        </w:rPr>
        <w:t>not be included in the calculation of Net</w:t>
      </w:r>
      <w:r>
        <w:rPr>
          <w:color w:val="000000" w:themeColor="text1"/>
          <w:spacing w:val="-27"/>
          <w:w w:val="150"/>
          <w:sz w:val="20"/>
          <w:szCs w:val="20"/>
        </w:rPr>
        <w:t xml:space="preserve"> </w:t>
      </w:r>
      <w:r>
        <w:rPr>
          <w:color w:val="000000" w:themeColor="text1"/>
          <w:w w:val="150"/>
          <w:sz w:val="20"/>
          <w:szCs w:val="20"/>
        </w:rPr>
        <w:t>Premium.</w:t>
      </w:r>
    </w:p>
    <w:p>
      <w:pPr>
        <w:pStyle w:val="TextBody"/>
        <w:spacing w:before="0" w:after="0"/>
        <w:ind w:left="-360" w:right="-180" w:hanging="0"/>
        <w:rPr>
          <w:w w:val="150"/>
          <w:sz w:val="20"/>
          <w:szCs w:val="20"/>
        </w:rPr>
      </w:pPr>
      <w:r>
        <w:rPr>
          <w:w w:val="150"/>
          <w:sz w:val="20"/>
          <w:szCs w:val="20"/>
        </w:rPr>
      </w:r>
    </w:p>
    <w:p>
      <w:pPr>
        <w:pStyle w:val="TextBody"/>
        <w:widowControl w:val="false"/>
        <w:numPr>
          <w:ilvl w:val="0"/>
          <w:numId w:val="5"/>
        </w:numPr>
        <w:spacing w:before="0" w:after="0"/>
        <w:ind w:left="-360" w:right="-180" w:hanging="360"/>
        <w:rPr>
          <w:sz w:val="20"/>
          <w:szCs w:val="20"/>
        </w:rPr>
      </w:pPr>
      <w:r>
        <w:rPr>
          <w:w w:val="150"/>
          <w:sz w:val="20"/>
          <w:szCs w:val="20"/>
          <w:u w:val="thick" w:color="000000"/>
        </w:rPr>
        <w:t>Deficit</w:t>
      </w:r>
      <w:r>
        <w:rPr>
          <w:spacing w:val="-27"/>
          <w:w w:val="150"/>
          <w:sz w:val="20"/>
          <w:szCs w:val="20"/>
          <w:u w:val="thick" w:color="000000"/>
        </w:rPr>
        <w:t xml:space="preserve"> </w:t>
      </w:r>
      <w:r>
        <w:rPr>
          <w:w w:val="150"/>
          <w:sz w:val="20"/>
          <w:szCs w:val="20"/>
          <w:u w:val="thick" w:color="000000"/>
        </w:rPr>
        <w:t>Balance:</w:t>
      </w:r>
      <w:r>
        <w:rPr>
          <w:spacing w:val="2"/>
          <w:w w:val="150"/>
          <w:sz w:val="20"/>
          <w:szCs w:val="20"/>
          <w:u w:val="thick" w:color="000000"/>
        </w:rPr>
        <w:t xml:space="preserve"> </w:t>
      </w:r>
      <w:r>
        <w:rPr>
          <w:w w:val="150"/>
          <w:sz w:val="20"/>
          <w:szCs w:val="20"/>
        </w:rPr>
        <w:t>if</w:t>
      </w:r>
      <w:r>
        <w:rPr>
          <w:spacing w:val="-16"/>
          <w:w w:val="150"/>
          <w:sz w:val="20"/>
          <w:szCs w:val="20"/>
        </w:rPr>
        <w:t xml:space="preserve"> </w:t>
      </w:r>
      <w:r>
        <w:rPr>
          <w:w w:val="150"/>
          <w:sz w:val="20"/>
          <w:szCs w:val="20"/>
        </w:rPr>
        <w:t>the</w:t>
      </w:r>
      <w:r>
        <w:rPr>
          <w:spacing w:val="-2"/>
          <w:w w:val="150"/>
          <w:sz w:val="20"/>
          <w:szCs w:val="20"/>
        </w:rPr>
        <w:t xml:space="preserve"> </w:t>
      </w:r>
      <w:r>
        <w:rPr>
          <w:w w:val="150"/>
          <w:sz w:val="20"/>
          <w:szCs w:val="20"/>
        </w:rPr>
        <w:t>Net</w:t>
      </w:r>
      <w:r>
        <w:rPr>
          <w:spacing w:val="2"/>
          <w:w w:val="150"/>
          <w:sz w:val="20"/>
          <w:szCs w:val="20"/>
        </w:rPr>
        <w:t xml:space="preserve"> </w:t>
      </w:r>
      <w:r>
        <w:rPr>
          <w:w w:val="150"/>
          <w:sz w:val="20"/>
          <w:szCs w:val="20"/>
        </w:rPr>
        <w:t>Underwriting</w:t>
      </w:r>
      <w:r>
        <w:rPr>
          <w:spacing w:val="11"/>
          <w:w w:val="150"/>
          <w:sz w:val="20"/>
          <w:szCs w:val="20"/>
        </w:rPr>
        <w:t xml:space="preserve"> </w:t>
      </w:r>
      <w:r>
        <w:rPr>
          <w:w w:val="150"/>
          <w:sz w:val="20"/>
          <w:szCs w:val="20"/>
        </w:rPr>
        <w:t>Profit</w:t>
      </w:r>
      <w:r>
        <w:rPr>
          <w:spacing w:val="-4"/>
          <w:w w:val="150"/>
          <w:sz w:val="20"/>
          <w:szCs w:val="20"/>
        </w:rPr>
        <w:t xml:space="preserve"> </w:t>
      </w:r>
      <w:r>
        <w:rPr>
          <w:w w:val="150"/>
          <w:sz w:val="20"/>
          <w:szCs w:val="20"/>
        </w:rPr>
        <w:t>is</w:t>
      </w:r>
      <w:r>
        <w:rPr>
          <w:spacing w:val="-16"/>
          <w:w w:val="150"/>
          <w:sz w:val="20"/>
          <w:szCs w:val="20"/>
        </w:rPr>
        <w:t xml:space="preserve"> </w:t>
      </w:r>
      <w:r>
        <w:rPr>
          <w:w w:val="150"/>
          <w:sz w:val="20"/>
          <w:szCs w:val="20"/>
        </w:rPr>
        <w:t>negative</w:t>
      </w:r>
      <w:r>
        <w:rPr>
          <w:spacing w:val="-11"/>
          <w:w w:val="150"/>
          <w:sz w:val="20"/>
          <w:szCs w:val="20"/>
        </w:rPr>
        <w:t xml:space="preserve"> </w:t>
      </w:r>
      <w:r>
        <w:rPr>
          <w:w w:val="150"/>
          <w:sz w:val="20"/>
          <w:szCs w:val="20"/>
        </w:rPr>
        <w:t>this</w:t>
      </w:r>
      <w:r>
        <w:rPr>
          <w:spacing w:val="-9"/>
          <w:w w:val="150"/>
          <w:sz w:val="20"/>
          <w:szCs w:val="20"/>
        </w:rPr>
        <w:t xml:space="preserve"> </w:t>
      </w:r>
      <w:r>
        <w:rPr>
          <w:w w:val="150"/>
          <w:sz w:val="20"/>
          <w:szCs w:val="20"/>
        </w:rPr>
        <w:t>will</w:t>
      </w:r>
      <w:r>
        <w:rPr>
          <w:spacing w:val="4"/>
          <w:w w:val="150"/>
          <w:sz w:val="20"/>
          <w:szCs w:val="20"/>
        </w:rPr>
        <w:t xml:space="preserve"> </w:t>
      </w:r>
      <w:r>
        <w:rPr>
          <w:w w:val="150"/>
          <w:sz w:val="20"/>
          <w:szCs w:val="20"/>
        </w:rPr>
        <w:t>be</w:t>
      </w:r>
      <w:r>
        <w:rPr>
          <w:spacing w:val="-26"/>
          <w:w w:val="150"/>
          <w:sz w:val="20"/>
          <w:szCs w:val="20"/>
        </w:rPr>
        <w:t xml:space="preserve"> </w:t>
      </w:r>
      <w:r>
        <w:rPr>
          <w:w w:val="150"/>
          <w:sz w:val="20"/>
          <w:szCs w:val="20"/>
        </w:rPr>
        <w:t>defined</w:t>
      </w:r>
      <w:r>
        <w:rPr>
          <w:spacing w:val="-9"/>
          <w:w w:val="150"/>
          <w:sz w:val="20"/>
          <w:szCs w:val="20"/>
        </w:rPr>
        <w:t xml:space="preserve"> </w:t>
      </w:r>
      <w:r>
        <w:rPr>
          <w:w w:val="150"/>
          <w:sz w:val="20"/>
          <w:szCs w:val="20"/>
        </w:rPr>
        <w:t>as</w:t>
      </w:r>
      <w:r>
        <w:rPr>
          <w:spacing w:val="-17"/>
          <w:w w:val="150"/>
          <w:sz w:val="20"/>
          <w:szCs w:val="20"/>
        </w:rPr>
        <w:t xml:space="preserve"> </w:t>
      </w:r>
      <w:r>
        <w:rPr>
          <w:w w:val="150"/>
          <w:sz w:val="20"/>
          <w:szCs w:val="20"/>
        </w:rPr>
        <w:t>the</w:t>
      </w:r>
      <w:r>
        <w:rPr>
          <w:spacing w:val="9"/>
          <w:w w:val="150"/>
          <w:sz w:val="20"/>
          <w:szCs w:val="20"/>
        </w:rPr>
        <w:t xml:space="preserve"> </w:t>
      </w:r>
      <w:r>
        <w:rPr>
          <w:w w:val="150"/>
          <w:sz w:val="20"/>
          <w:szCs w:val="20"/>
        </w:rPr>
        <w:t>Deficit</w:t>
      </w:r>
      <w:r>
        <w:rPr>
          <w:spacing w:val="12"/>
          <w:w w:val="150"/>
          <w:sz w:val="20"/>
          <w:szCs w:val="20"/>
        </w:rPr>
        <w:t xml:space="preserve"> </w:t>
      </w:r>
      <w:r>
        <w:rPr>
          <w:w w:val="150"/>
          <w:sz w:val="20"/>
          <w:szCs w:val="20"/>
        </w:rPr>
        <w:t>Balance.</w:t>
      </w:r>
    </w:p>
    <w:p>
      <w:pPr>
        <w:pStyle w:val="TextBody"/>
        <w:widowControl w:val="false"/>
        <w:numPr>
          <w:ilvl w:val="0"/>
          <w:numId w:val="5"/>
        </w:numPr>
        <w:spacing w:before="0" w:after="0"/>
        <w:ind w:left="-360" w:right="-180" w:hanging="360"/>
        <w:rPr>
          <w:sz w:val="20"/>
          <w:szCs w:val="20"/>
        </w:rPr>
      </w:pPr>
      <w:r>
        <w:rPr>
          <w:w w:val="150"/>
          <w:sz w:val="20"/>
          <w:szCs w:val="20"/>
          <w:u w:val="thick" w:color="000000"/>
        </w:rPr>
        <w:t xml:space="preserve">Profit Share % </w:t>
      </w:r>
      <w:r>
        <w:rPr>
          <w:w w:val="150"/>
          <w:sz w:val="20"/>
          <w:szCs w:val="20"/>
        </w:rPr>
        <w:t>will be</w:t>
      </w:r>
      <w:r>
        <w:rPr>
          <w:spacing w:val="-41"/>
          <w:w w:val="150"/>
          <w:sz w:val="20"/>
          <w:szCs w:val="20"/>
        </w:rPr>
        <w:t xml:space="preserve"> </w:t>
      </w:r>
      <w:r>
        <w:rPr>
          <w:w w:val="150"/>
          <w:sz w:val="20"/>
          <w:szCs w:val="20"/>
        </w:rPr>
        <w:t>10%</w:t>
      </w:r>
    </w:p>
    <w:p>
      <w:pPr>
        <w:pStyle w:val="TextBody"/>
        <w:widowControl w:val="false"/>
        <w:numPr>
          <w:ilvl w:val="0"/>
          <w:numId w:val="5"/>
        </w:numPr>
        <w:spacing w:before="0" w:after="0"/>
        <w:ind w:left="-360" w:right="-180" w:hanging="360"/>
        <w:rPr>
          <w:sz w:val="20"/>
          <w:szCs w:val="20"/>
        </w:rPr>
      </w:pPr>
      <w:r>
        <w:rPr>
          <w:w w:val="150"/>
          <w:sz w:val="20"/>
          <w:szCs w:val="20"/>
          <w:u w:val="thick" w:color="000000"/>
        </w:rPr>
        <w:t>Profit</w:t>
      </w:r>
      <w:r>
        <w:rPr>
          <w:spacing w:val="-31"/>
          <w:w w:val="150"/>
          <w:sz w:val="20"/>
          <w:szCs w:val="20"/>
          <w:u w:val="thick" w:color="000000"/>
        </w:rPr>
        <w:t xml:space="preserve"> </w:t>
      </w:r>
      <w:r>
        <w:rPr>
          <w:w w:val="150"/>
          <w:sz w:val="20"/>
          <w:szCs w:val="20"/>
          <w:u w:val="thick" w:color="000000"/>
        </w:rPr>
        <w:t xml:space="preserve">Sharing </w:t>
      </w:r>
      <w:r>
        <w:rPr>
          <w:w w:val="150"/>
          <w:sz w:val="20"/>
          <w:szCs w:val="20"/>
        </w:rPr>
        <w:t>is</w:t>
      </w:r>
      <w:r>
        <w:rPr>
          <w:spacing w:val="-29"/>
          <w:w w:val="150"/>
          <w:sz w:val="20"/>
          <w:szCs w:val="20"/>
        </w:rPr>
        <w:t xml:space="preserve"> </w:t>
      </w:r>
      <w:r>
        <w:rPr>
          <w:w w:val="150"/>
          <w:sz w:val="20"/>
          <w:szCs w:val="20"/>
        </w:rPr>
        <w:t>calculated</w:t>
      </w:r>
      <w:r>
        <w:rPr>
          <w:spacing w:val="9"/>
          <w:w w:val="150"/>
          <w:sz w:val="20"/>
          <w:szCs w:val="20"/>
        </w:rPr>
        <w:t xml:space="preserve"> </w:t>
      </w:r>
      <w:r>
        <w:rPr>
          <w:w w:val="150"/>
          <w:sz w:val="20"/>
          <w:szCs w:val="20"/>
        </w:rPr>
        <w:t>by</w:t>
      </w:r>
      <w:r>
        <w:rPr>
          <w:spacing w:val="-8"/>
          <w:w w:val="150"/>
          <w:sz w:val="20"/>
          <w:szCs w:val="20"/>
        </w:rPr>
        <w:t xml:space="preserve"> </w:t>
      </w:r>
      <w:r>
        <w:rPr>
          <w:w w:val="150"/>
          <w:sz w:val="20"/>
          <w:szCs w:val="20"/>
        </w:rPr>
        <w:t>multiplying</w:t>
      </w:r>
      <w:r>
        <w:rPr>
          <w:spacing w:val="-3"/>
          <w:w w:val="150"/>
          <w:sz w:val="20"/>
          <w:szCs w:val="20"/>
        </w:rPr>
        <w:t xml:space="preserve"> </w:t>
      </w:r>
      <w:r>
        <w:rPr>
          <w:w w:val="150"/>
          <w:sz w:val="20"/>
          <w:szCs w:val="20"/>
        </w:rPr>
        <w:t>the</w:t>
      </w:r>
      <w:r>
        <w:rPr>
          <w:spacing w:val="5"/>
          <w:w w:val="150"/>
          <w:sz w:val="20"/>
          <w:szCs w:val="20"/>
        </w:rPr>
        <w:t xml:space="preserve"> </w:t>
      </w:r>
      <w:r>
        <w:rPr>
          <w:w w:val="150"/>
          <w:sz w:val="20"/>
          <w:szCs w:val="20"/>
        </w:rPr>
        <w:t>Profit Share</w:t>
      </w:r>
      <w:r>
        <w:rPr>
          <w:spacing w:val="-7"/>
          <w:w w:val="150"/>
          <w:sz w:val="20"/>
          <w:szCs w:val="20"/>
        </w:rPr>
        <w:t xml:space="preserve"> </w:t>
      </w:r>
      <w:r>
        <w:rPr>
          <w:w w:val="150"/>
          <w:sz w:val="20"/>
          <w:szCs w:val="20"/>
        </w:rPr>
        <w:t>%</w:t>
      </w:r>
      <w:r>
        <w:rPr>
          <w:spacing w:val="-29"/>
          <w:w w:val="150"/>
          <w:sz w:val="20"/>
          <w:szCs w:val="20"/>
        </w:rPr>
        <w:t xml:space="preserve"> </w:t>
      </w:r>
      <w:r>
        <w:rPr>
          <w:w w:val="150"/>
          <w:sz w:val="20"/>
          <w:szCs w:val="20"/>
        </w:rPr>
        <w:t>with</w:t>
      </w:r>
      <w:r>
        <w:rPr>
          <w:spacing w:val="1"/>
          <w:w w:val="150"/>
          <w:sz w:val="20"/>
          <w:szCs w:val="20"/>
        </w:rPr>
        <w:t xml:space="preserve"> </w:t>
      </w:r>
      <w:r>
        <w:rPr>
          <w:w w:val="150"/>
          <w:sz w:val="20"/>
          <w:szCs w:val="20"/>
        </w:rPr>
        <w:t>the</w:t>
      </w:r>
      <w:r>
        <w:rPr>
          <w:spacing w:val="4"/>
          <w:w w:val="150"/>
          <w:sz w:val="20"/>
          <w:szCs w:val="20"/>
        </w:rPr>
        <w:t xml:space="preserve"> </w:t>
      </w:r>
      <w:r>
        <w:rPr>
          <w:w w:val="150"/>
          <w:sz w:val="20"/>
          <w:szCs w:val="20"/>
        </w:rPr>
        <w:t>Net</w:t>
      </w:r>
      <w:r>
        <w:rPr>
          <w:spacing w:val="-1"/>
          <w:w w:val="150"/>
          <w:sz w:val="20"/>
          <w:szCs w:val="20"/>
        </w:rPr>
        <w:t xml:space="preserve"> </w:t>
      </w:r>
      <w:r>
        <w:rPr>
          <w:w w:val="150"/>
          <w:sz w:val="20"/>
          <w:szCs w:val="20"/>
        </w:rPr>
        <w:t>Underwriting</w:t>
      </w:r>
      <w:r>
        <w:rPr>
          <w:spacing w:val="7"/>
          <w:w w:val="150"/>
          <w:sz w:val="20"/>
          <w:szCs w:val="20"/>
        </w:rPr>
        <w:t xml:space="preserve"> </w:t>
      </w:r>
      <w:r>
        <w:rPr>
          <w:w w:val="150"/>
          <w:sz w:val="20"/>
          <w:szCs w:val="20"/>
        </w:rPr>
        <w:t>Profit.</w:t>
      </w:r>
    </w:p>
    <w:p>
      <w:pPr>
        <w:pStyle w:val="TextBody"/>
        <w:widowControl w:val="false"/>
        <w:spacing w:before="0" w:after="0"/>
        <w:ind w:right="-180" w:hanging="0"/>
        <w:rPr>
          <w:sz w:val="20"/>
          <w:szCs w:val="20"/>
        </w:rPr>
      </w:pPr>
      <w:r>
        <w:rPr>
          <w:sz w:val="20"/>
          <w:szCs w:val="20"/>
        </w:rPr>
      </w:r>
    </w:p>
    <w:p>
      <w:pPr>
        <w:pStyle w:val="TextBody"/>
        <w:widowControl w:val="false"/>
        <w:spacing w:before="0" w:after="0"/>
        <w:ind w:right="-180" w:hanging="0"/>
        <w:rPr>
          <w:sz w:val="20"/>
          <w:szCs w:val="20"/>
        </w:rPr>
      </w:pPr>
      <w:r>
        <w:rPr>
          <w:sz w:val="20"/>
          <w:szCs w:val="20"/>
        </w:rPr>
      </w:r>
    </w:p>
    <w:p>
      <w:pPr>
        <w:pStyle w:val="TextBody"/>
        <w:widowControl w:val="false"/>
        <w:spacing w:before="0" w:after="0"/>
        <w:ind w:right="-180" w:hanging="0"/>
        <w:rPr>
          <w:sz w:val="20"/>
          <w:szCs w:val="20"/>
        </w:rPr>
      </w:pPr>
      <w:r>
        <w:rPr>
          <w:sz w:val="20"/>
          <w:szCs w:val="20"/>
        </w:rPr>
      </w:r>
    </w:p>
    <w:p>
      <w:pPr>
        <w:pStyle w:val="Heading3"/>
        <w:ind w:left="-360" w:right="-180" w:hanging="0"/>
        <w:rPr>
          <w:w w:val="150"/>
          <w:sz w:val="20"/>
          <w:szCs w:val="20"/>
        </w:rPr>
      </w:pPr>
      <w:r>
        <w:rPr>
          <w:w w:val="150"/>
          <w:sz w:val="20"/>
          <w:szCs w:val="20"/>
        </w:rPr>
      </w:r>
    </w:p>
    <w:p>
      <w:pPr>
        <w:pStyle w:val="Heading3"/>
        <w:ind w:left="-360" w:right="-180" w:hanging="0"/>
        <w:rPr>
          <w:b/>
          <w:b/>
          <w:bCs/>
          <w:sz w:val="20"/>
          <w:szCs w:val="20"/>
        </w:rPr>
      </w:pPr>
      <w:r>
        <w:rPr>
          <w:w w:val="150"/>
          <w:sz w:val="20"/>
          <w:szCs w:val="20"/>
        </w:rPr>
        <w:t>CONDITIONS:</w:t>
      </w:r>
    </w:p>
    <w:p>
      <w:pPr>
        <w:pStyle w:val="ListParagraph"/>
        <w:numPr>
          <w:ilvl w:val="0"/>
          <w:numId w:val="2"/>
        </w:numPr>
        <w:tabs>
          <w:tab w:val="clear" w:pos="720"/>
          <w:tab w:val="left" w:pos="1659" w:leader="none"/>
        </w:tabs>
        <w:ind w:left="-360" w:right="-180" w:hanging="510"/>
        <w:rPr>
          <w:rFonts w:ascii="Arial" w:hAnsi="Arial" w:eastAsia="Arial" w:cs="Arial"/>
          <w:sz w:val="20"/>
          <w:szCs w:val="20"/>
        </w:rPr>
      </w:pPr>
      <w:r>
        <w:rPr>
          <w:rFonts w:cs="Arial" w:ascii="Arial" w:hAnsi="Arial"/>
          <w:w w:val="150"/>
          <w:sz w:val="20"/>
          <w:szCs w:val="20"/>
        </w:rPr>
        <w:t>Agent grants to Bascule the right to deduct any amounts Agent owes Bascule under other agreements, outstanding</w:t>
      </w:r>
      <w:r>
        <w:rPr>
          <w:rFonts w:cs="Arial" w:ascii="Arial" w:hAnsi="Arial"/>
          <w:spacing w:val="3"/>
          <w:w w:val="150"/>
          <w:sz w:val="20"/>
          <w:szCs w:val="20"/>
        </w:rPr>
        <w:t xml:space="preserve"> </w:t>
      </w:r>
      <w:r>
        <w:rPr>
          <w:rFonts w:cs="Arial" w:ascii="Arial" w:hAnsi="Arial"/>
          <w:w w:val="150"/>
          <w:sz w:val="20"/>
          <w:szCs w:val="20"/>
        </w:rPr>
        <w:t>balances,</w:t>
      </w:r>
      <w:r>
        <w:rPr>
          <w:rFonts w:cs="Arial" w:ascii="Arial" w:hAnsi="Arial"/>
          <w:spacing w:val="-5"/>
          <w:w w:val="150"/>
          <w:sz w:val="20"/>
          <w:szCs w:val="20"/>
        </w:rPr>
        <w:t xml:space="preserve"> </w:t>
      </w:r>
      <w:r>
        <w:rPr>
          <w:rFonts w:cs="Arial" w:ascii="Arial" w:hAnsi="Arial"/>
          <w:w w:val="150"/>
          <w:sz w:val="20"/>
          <w:szCs w:val="20"/>
        </w:rPr>
        <w:t>or</w:t>
      </w:r>
      <w:r>
        <w:rPr>
          <w:rFonts w:cs="Arial" w:ascii="Arial" w:hAnsi="Arial"/>
          <w:spacing w:val="-9"/>
          <w:w w:val="150"/>
          <w:sz w:val="20"/>
          <w:szCs w:val="20"/>
        </w:rPr>
        <w:t xml:space="preserve"> </w:t>
      </w:r>
      <w:r>
        <w:rPr>
          <w:rFonts w:cs="Arial" w:ascii="Arial" w:hAnsi="Arial"/>
          <w:w w:val="150"/>
          <w:sz w:val="20"/>
          <w:szCs w:val="20"/>
        </w:rPr>
        <w:t>other</w:t>
      </w:r>
      <w:r>
        <w:rPr>
          <w:rFonts w:cs="Arial" w:ascii="Arial" w:hAnsi="Arial"/>
          <w:spacing w:val="-4"/>
          <w:w w:val="150"/>
          <w:sz w:val="20"/>
          <w:szCs w:val="20"/>
        </w:rPr>
        <w:t xml:space="preserve"> </w:t>
      </w:r>
      <w:r>
        <w:rPr>
          <w:rFonts w:cs="Arial" w:ascii="Arial" w:hAnsi="Arial"/>
          <w:w w:val="150"/>
          <w:sz w:val="20"/>
          <w:szCs w:val="20"/>
        </w:rPr>
        <w:t>amounts</w:t>
      </w:r>
      <w:r>
        <w:rPr>
          <w:rFonts w:cs="Arial" w:ascii="Arial" w:hAnsi="Arial"/>
          <w:spacing w:val="-11"/>
          <w:w w:val="150"/>
          <w:sz w:val="20"/>
          <w:szCs w:val="20"/>
        </w:rPr>
        <w:t xml:space="preserve"> </w:t>
      </w:r>
      <w:r>
        <w:rPr>
          <w:rFonts w:cs="Arial" w:ascii="Arial" w:hAnsi="Arial"/>
          <w:w w:val="150"/>
          <w:sz w:val="20"/>
          <w:szCs w:val="20"/>
        </w:rPr>
        <w:t>due to</w:t>
      </w:r>
      <w:r>
        <w:rPr>
          <w:rFonts w:cs="Arial" w:ascii="Arial" w:hAnsi="Arial"/>
          <w:spacing w:val="-2"/>
          <w:w w:val="150"/>
          <w:sz w:val="20"/>
          <w:szCs w:val="20"/>
        </w:rPr>
        <w:t xml:space="preserve"> </w:t>
      </w:r>
      <w:r>
        <w:rPr>
          <w:rFonts w:cs="Arial" w:ascii="Arial" w:hAnsi="Arial"/>
          <w:w w:val="150"/>
          <w:sz w:val="20"/>
          <w:szCs w:val="20"/>
        </w:rPr>
        <w:t>Bascule</w:t>
      </w:r>
      <w:r>
        <w:rPr>
          <w:rFonts w:cs="Arial" w:ascii="Arial" w:hAnsi="Arial"/>
          <w:spacing w:val="2"/>
          <w:w w:val="150"/>
          <w:sz w:val="20"/>
          <w:szCs w:val="20"/>
        </w:rPr>
        <w:t xml:space="preserve"> </w:t>
      </w:r>
      <w:r>
        <w:rPr>
          <w:rFonts w:cs="Arial" w:ascii="Arial" w:hAnsi="Arial"/>
          <w:w w:val="150"/>
          <w:sz w:val="20"/>
          <w:szCs w:val="20"/>
        </w:rPr>
        <w:t>or</w:t>
      </w:r>
      <w:r>
        <w:rPr>
          <w:rFonts w:cs="Arial" w:ascii="Arial" w:hAnsi="Arial"/>
          <w:spacing w:val="-8"/>
          <w:w w:val="150"/>
          <w:sz w:val="20"/>
          <w:szCs w:val="20"/>
        </w:rPr>
        <w:t xml:space="preserve"> </w:t>
      </w:r>
      <w:r>
        <w:rPr>
          <w:rFonts w:cs="Arial" w:ascii="Arial" w:hAnsi="Arial"/>
          <w:w w:val="150"/>
          <w:sz w:val="20"/>
          <w:szCs w:val="20"/>
        </w:rPr>
        <w:t>any</w:t>
      </w:r>
      <w:r>
        <w:rPr>
          <w:rFonts w:cs="Arial" w:ascii="Arial" w:hAnsi="Arial"/>
          <w:spacing w:val="-12"/>
          <w:w w:val="150"/>
          <w:sz w:val="20"/>
          <w:szCs w:val="20"/>
        </w:rPr>
        <w:t xml:space="preserve"> </w:t>
      </w:r>
      <w:r>
        <w:rPr>
          <w:rFonts w:cs="Arial" w:ascii="Arial" w:hAnsi="Arial"/>
          <w:w w:val="150"/>
          <w:sz w:val="20"/>
          <w:szCs w:val="20"/>
        </w:rPr>
        <w:t>other</w:t>
      </w:r>
      <w:r>
        <w:rPr>
          <w:rFonts w:cs="Arial" w:ascii="Arial" w:hAnsi="Arial"/>
          <w:spacing w:val="-3"/>
          <w:w w:val="150"/>
          <w:sz w:val="20"/>
          <w:szCs w:val="20"/>
        </w:rPr>
        <w:t xml:space="preserve"> </w:t>
      </w:r>
      <w:r>
        <w:rPr>
          <w:rFonts w:cs="Arial" w:ascii="Arial" w:hAnsi="Arial"/>
          <w:w w:val="150"/>
          <w:sz w:val="20"/>
          <w:szCs w:val="20"/>
        </w:rPr>
        <w:t>company</w:t>
      </w:r>
      <w:r>
        <w:rPr>
          <w:rFonts w:cs="Arial" w:ascii="Arial" w:hAnsi="Arial"/>
          <w:spacing w:val="-7"/>
          <w:w w:val="150"/>
          <w:sz w:val="20"/>
          <w:szCs w:val="20"/>
        </w:rPr>
        <w:t xml:space="preserve"> </w:t>
      </w:r>
      <w:r>
        <w:rPr>
          <w:rFonts w:cs="Arial" w:ascii="Arial" w:hAnsi="Arial"/>
          <w:w w:val="150"/>
          <w:sz w:val="20"/>
          <w:szCs w:val="20"/>
        </w:rPr>
        <w:t>with</w:t>
      </w:r>
      <w:r>
        <w:rPr>
          <w:rFonts w:cs="Arial" w:ascii="Arial" w:hAnsi="Arial"/>
          <w:spacing w:val="-18"/>
          <w:w w:val="150"/>
          <w:sz w:val="20"/>
          <w:szCs w:val="20"/>
        </w:rPr>
        <w:t xml:space="preserve"> </w:t>
      </w:r>
      <w:r>
        <w:rPr>
          <w:rFonts w:cs="Arial" w:ascii="Arial" w:hAnsi="Arial"/>
          <w:w w:val="150"/>
          <w:sz w:val="20"/>
          <w:szCs w:val="20"/>
        </w:rPr>
        <w:t>whom Bascule</w:t>
      </w:r>
      <w:r>
        <w:rPr>
          <w:rFonts w:cs="Arial" w:ascii="Arial" w:hAnsi="Arial"/>
          <w:spacing w:val="-10"/>
          <w:w w:val="150"/>
          <w:sz w:val="20"/>
          <w:szCs w:val="20"/>
        </w:rPr>
        <w:t xml:space="preserve"> </w:t>
      </w:r>
      <w:r>
        <w:rPr>
          <w:rFonts w:cs="Arial" w:ascii="Arial" w:hAnsi="Arial"/>
          <w:spacing w:val="-9"/>
          <w:w w:val="175"/>
          <w:sz w:val="20"/>
          <w:szCs w:val="20"/>
        </w:rPr>
        <w:t>is</w:t>
      </w:r>
      <w:r>
        <w:rPr>
          <w:rFonts w:cs="Arial" w:ascii="Arial" w:hAnsi="Arial"/>
          <w:spacing w:val="-28"/>
          <w:w w:val="175"/>
          <w:sz w:val="20"/>
          <w:szCs w:val="20"/>
        </w:rPr>
        <w:t xml:space="preserve"> </w:t>
      </w:r>
      <w:r>
        <w:rPr>
          <w:rFonts w:cs="Arial" w:ascii="Arial" w:hAnsi="Arial"/>
          <w:w w:val="150"/>
          <w:sz w:val="20"/>
          <w:szCs w:val="20"/>
        </w:rPr>
        <w:t>affiliated,</w:t>
      </w:r>
      <w:r>
        <w:rPr>
          <w:rFonts w:cs="Arial" w:ascii="Arial" w:hAnsi="Arial"/>
          <w:spacing w:val="3"/>
          <w:w w:val="150"/>
          <w:sz w:val="20"/>
          <w:szCs w:val="20"/>
        </w:rPr>
        <w:t xml:space="preserve"> </w:t>
      </w:r>
      <w:r>
        <w:rPr>
          <w:rFonts w:cs="Arial" w:ascii="Arial" w:hAnsi="Arial"/>
          <w:w w:val="150"/>
          <w:sz w:val="20"/>
          <w:szCs w:val="20"/>
        </w:rPr>
        <w:t>before</w:t>
      </w:r>
      <w:r>
        <w:rPr>
          <w:rFonts w:cs="Arial" w:ascii="Arial" w:hAnsi="Arial"/>
          <w:spacing w:val="-14"/>
          <w:w w:val="150"/>
          <w:sz w:val="20"/>
          <w:szCs w:val="20"/>
        </w:rPr>
        <w:t xml:space="preserve"> </w:t>
      </w:r>
      <w:r>
        <w:rPr>
          <w:rFonts w:cs="Arial" w:ascii="Arial" w:hAnsi="Arial"/>
          <w:w w:val="150"/>
          <w:sz w:val="20"/>
          <w:szCs w:val="20"/>
        </w:rPr>
        <w:t>paying</w:t>
      </w:r>
      <w:r>
        <w:rPr>
          <w:rFonts w:cs="Arial" w:ascii="Arial" w:hAnsi="Arial"/>
          <w:spacing w:val="-14"/>
          <w:w w:val="150"/>
          <w:sz w:val="20"/>
          <w:szCs w:val="20"/>
        </w:rPr>
        <w:t xml:space="preserve"> </w:t>
      </w:r>
      <w:r>
        <w:rPr>
          <w:rFonts w:cs="Arial" w:ascii="Arial" w:hAnsi="Arial"/>
          <w:w w:val="150"/>
          <w:sz w:val="20"/>
          <w:szCs w:val="20"/>
        </w:rPr>
        <w:t>Agent</w:t>
      </w:r>
      <w:r>
        <w:rPr>
          <w:rFonts w:cs="Arial" w:ascii="Arial" w:hAnsi="Arial"/>
          <w:spacing w:val="-10"/>
          <w:w w:val="150"/>
          <w:sz w:val="20"/>
          <w:szCs w:val="20"/>
        </w:rPr>
        <w:t xml:space="preserve"> </w:t>
      </w:r>
      <w:r>
        <w:rPr>
          <w:rFonts w:cs="Arial" w:ascii="Arial" w:hAnsi="Arial"/>
          <w:w w:val="150"/>
          <w:sz w:val="20"/>
          <w:szCs w:val="20"/>
        </w:rPr>
        <w:t>any</w:t>
      </w:r>
      <w:r>
        <w:rPr>
          <w:rFonts w:cs="Arial" w:ascii="Arial" w:hAnsi="Arial"/>
          <w:spacing w:val="-6"/>
          <w:w w:val="150"/>
          <w:sz w:val="20"/>
          <w:szCs w:val="20"/>
        </w:rPr>
        <w:t xml:space="preserve"> </w:t>
      </w:r>
      <w:r>
        <w:rPr>
          <w:rFonts w:cs="Arial" w:ascii="Arial" w:hAnsi="Arial"/>
          <w:w w:val="150"/>
          <w:sz w:val="20"/>
          <w:szCs w:val="20"/>
        </w:rPr>
        <w:t>profit</w:t>
      </w:r>
      <w:r>
        <w:rPr>
          <w:rFonts w:cs="Arial" w:ascii="Arial" w:hAnsi="Arial"/>
          <w:spacing w:val="-18"/>
          <w:w w:val="150"/>
          <w:sz w:val="20"/>
          <w:szCs w:val="20"/>
        </w:rPr>
        <w:t xml:space="preserve"> </w:t>
      </w:r>
      <w:r>
        <w:rPr>
          <w:rFonts w:cs="Arial" w:ascii="Arial" w:hAnsi="Arial"/>
          <w:w w:val="150"/>
          <w:sz w:val="20"/>
          <w:szCs w:val="20"/>
        </w:rPr>
        <w:t>sharing.</w:t>
      </w:r>
    </w:p>
    <w:p>
      <w:pPr>
        <w:pStyle w:val="ListParagraph"/>
        <w:numPr>
          <w:ilvl w:val="0"/>
          <w:numId w:val="2"/>
        </w:numPr>
        <w:tabs>
          <w:tab w:val="clear" w:pos="720"/>
          <w:tab w:val="left" w:pos="1649" w:leader="none"/>
        </w:tabs>
        <w:ind w:left="-360" w:right="-180" w:hanging="499"/>
        <w:rPr>
          <w:rFonts w:ascii="Arial" w:hAnsi="Arial" w:eastAsia="Arial" w:cs="Arial"/>
          <w:sz w:val="20"/>
          <w:szCs w:val="20"/>
        </w:rPr>
      </w:pPr>
      <w:r>
        <w:rPr>
          <w:rFonts w:cs="Arial" w:ascii="Arial" w:hAnsi="Arial"/>
          <w:w w:val="150"/>
          <w:sz w:val="20"/>
          <w:szCs w:val="20"/>
        </w:rPr>
        <w:t>Bascule's books, records, accounting procedures and methods, and other procedures, will be</w:t>
      </w:r>
      <w:r>
        <w:rPr>
          <w:rFonts w:cs="Arial" w:ascii="Arial" w:hAnsi="Arial"/>
          <w:spacing w:val="-42"/>
          <w:w w:val="150"/>
          <w:sz w:val="20"/>
          <w:szCs w:val="20"/>
        </w:rPr>
        <w:t xml:space="preserve"> </w:t>
      </w:r>
      <w:r>
        <w:rPr>
          <w:rFonts w:cs="Arial" w:ascii="Arial" w:hAnsi="Arial"/>
          <w:w w:val="150"/>
          <w:sz w:val="20"/>
          <w:szCs w:val="20"/>
        </w:rPr>
        <w:t>used to determine and calculate profit share</w:t>
      </w:r>
      <w:r>
        <w:rPr>
          <w:rFonts w:cs="Arial" w:ascii="Arial" w:hAnsi="Arial"/>
          <w:spacing w:val="-22"/>
          <w:w w:val="150"/>
          <w:sz w:val="20"/>
          <w:szCs w:val="20"/>
        </w:rPr>
        <w:t xml:space="preserve"> </w:t>
      </w:r>
      <w:r>
        <w:rPr>
          <w:rFonts w:cs="Arial" w:ascii="Arial" w:hAnsi="Arial"/>
          <w:w w:val="150"/>
          <w:sz w:val="20"/>
          <w:szCs w:val="20"/>
        </w:rPr>
        <w:t>payments.</w:t>
      </w:r>
    </w:p>
    <w:p>
      <w:pPr>
        <w:pStyle w:val="ListParagraph"/>
        <w:numPr>
          <w:ilvl w:val="0"/>
          <w:numId w:val="2"/>
        </w:numPr>
        <w:tabs>
          <w:tab w:val="clear" w:pos="720"/>
          <w:tab w:val="left" w:pos="1659" w:leader="none"/>
        </w:tabs>
        <w:ind w:left="-360" w:right="-180" w:hanging="499"/>
        <w:rPr>
          <w:rFonts w:ascii="Arial" w:hAnsi="Arial" w:eastAsia="Arial" w:cs="Arial"/>
          <w:sz w:val="20"/>
          <w:szCs w:val="20"/>
        </w:rPr>
      </w:pPr>
      <w:r>
        <w:rPr>
          <w:rFonts w:cs="Arial" w:ascii="Arial" w:hAnsi="Arial"/>
          <w:w w:val="150"/>
          <w:sz w:val="20"/>
          <w:szCs w:val="20"/>
        </w:rPr>
        <w:t>Losses</w:t>
      </w:r>
      <w:r>
        <w:rPr>
          <w:rFonts w:cs="Arial" w:ascii="Arial" w:hAnsi="Arial"/>
          <w:spacing w:val="-9"/>
          <w:w w:val="150"/>
          <w:sz w:val="20"/>
          <w:szCs w:val="20"/>
        </w:rPr>
        <w:t xml:space="preserve"> </w:t>
      </w:r>
      <w:r>
        <w:rPr>
          <w:rFonts w:cs="Arial" w:ascii="Arial" w:hAnsi="Arial"/>
          <w:w w:val="150"/>
          <w:sz w:val="20"/>
          <w:szCs w:val="20"/>
        </w:rPr>
        <w:t>and</w:t>
      </w:r>
      <w:r>
        <w:rPr>
          <w:rFonts w:cs="Arial" w:ascii="Arial" w:hAnsi="Arial"/>
          <w:spacing w:val="-2"/>
          <w:w w:val="150"/>
          <w:sz w:val="20"/>
          <w:szCs w:val="20"/>
        </w:rPr>
        <w:t xml:space="preserve"> </w:t>
      </w:r>
      <w:r>
        <w:rPr>
          <w:rFonts w:cs="Arial" w:ascii="Arial" w:hAnsi="Arial"/>
          <w:w w:val="150"/>
          <w:sz w:val="20"/>
          <w:szCs w:val="20"/>
        </w:rPr>
        <w:t>Fees</w:t>
      </w:r>
      <w:r>
        <w:rPr>
          <w:rFonts w:cs="Arial" w:ascii="Arial" w:hAnsi="Arial"/>
          <w:spacing w:val="-5"/>
          <w:w w:val="150"/>
          <w:sz w:val="20"/>
          <w:szCs w:val="20"/>
        </w:rPr>
        <w:t xml:space="preserve"> </w:t>
      </w:r>
      <w:r>
        <w:rPr>
          <w:rFonts w:cs="Arial" w:ascii="Arial" w:hAnsi="Arial"/>
          <w:w w:val="150"/>
          <w:sz w:val="20"/>
          <w:szCs w:val="20"/>
        </w:rPr>
        <w:t>used</w:t>
      </w:r>
      <w:r>
        <w:rPr>
          <w:rFonts w:cs="Arial" w:ascii="Arial" w:hAnsi="Arial"/>
          <w:spacing w:val="-27"/>
          <w:w w:val="150"/>
          <w:sz w:val="20"/>
          <w:szCs w:val="20"/>
        </w:rPr>
        <w:t xml:space="preserve"> </w:t>
      </w:r>
      <w:r>
        <w:rPr>
          <w:rFonts w:cs="Arial" w:ascii="Arial" w:hAnsi="Arial"/>
          <w:w w:val="150"/>
          <w:sz w:val="20"/>
          <w:szCs w:val="20"/>
        </w:rPr>
        <w:t>to</w:t>
      </w:r>
      <w:r>
        <w:rPr>
          <w:rFonts w:cs="Arial" w:ascii="Arial" w:hAnsi="Arial"/>
          <w:spacing w:val="-12"/>
          <w:w w:val="150"/>
          <w:sz w:val="20"/>
          <w:szCs w:val="20"/>
        </w:rPr>
        <w:t xml:space="preserve"> </w:t>
      </w:r>
      <w:r>
        <w:rPr>
          <w:rFonts w:cs="Arial" w:ascii="Arial" w:hAnsi="Arial"/>
          <w:w w:val="150"/>
          <w:sz w:val="20"/>
          <w:szCs w:val="20"/>
        </w:rPr>
        <w:t>calculate</w:t>
      </w:r>
      <w:r>
        <w:rPr>
          <w:rFonts w:cs="Arial" w:ascii="Arial" w:hAnsi="Arial"/>
          <w:spacing w:val="-6"/>
          <w:w w:val="150"/>
          <w:sz w:val="20"/>
          <w:szCs w:val="20"/>
        </w:rPr>
        <w:t xml:space="preserve"> </w:t>
      </w:r>
      <w:r>
        <w:rPr>
          <w:rFonts w:cs="Arial" w:ascii="Arial" w:hAnsi="Arial"/>
          <w:w w:val="150"/>
          <w:sz w:val="20"/>
          <w:szCs w:val="20"/>
        </w:rPr>
        <w:t>profit</w:t>
      </w:r>
      <w:r>
        <w:rPr>
          <w:rFonts w:cs="Arial" w:ascii="Arial" w:hAnsi="Arial"/>
          <w:spacing w:val="-12"/>
          <w:w w:val="150"/>
          <w:sz w:val="20"/>
          <w:szCs w:val="20"/>
        </w:rPr>
        <w:t xml:space="preserve"> </w:t>
      </w:r>
      <w:r>
        <w:rPr>
          <w:rFonts w:cs="Arial" w:ascii="Arial" w:hAnsi="Arial"/>
          <w:w w:val="150"/>
          <w:sz w:val="20"/>
          <w:szCs w:val="20"/>
        </w:rPr>
        <w:t>share</w:t>
      </w:r>
      <w:r>
        <w:rPr>
          <w:rFonts w:cs="Arial" w:ascii="Arial" w:hAnsi="Arial"/>
          <w:spacing w:val="-10"/>
          <w:w w:val="150"/>
          <w:sz w:val="20"/>
          <w:szCs w:val="20"/>
        </w:rPr>
        <w:t xml:space="preserve"> </w:t>
      </w:r>
      <w:r>
        <w:rPr>
          <w:rFonts w:cs="Arial" w:ascii="Arial" w:hAnsi="Arial"/>
          <w:w w:val="150"/>
          <w:sz w:val="20"/>
          <w:szCs w:val="20"/>
        </w:rPr>
        <w:t>will</w:t>
      </w:r>
      <w:r>
        <w:rPr>
          <w:rFonts w:cs="Arial" w:ascii="Arial" w:hAnsi="Arial"/>
          <w:spacing w:val="4"/>
          <w:w w:val="150"/>
          <w:sz w:val="20"/>
          <w:szCs w:val="20"/>
        </w:rPr>
        <w:t xml:space="preserve"> </w:t>
      </w:r>
      <w:r>
        <w:rPr>
          <w:rFonts w:cs="Arial" w:ascii="Arial" w:hAnsi="Arial"/>
          <w:w w:val="150"/>
          <w:sz w:val="20"/>
          <w:szCs w:val="20"/>
        </w:rPr>
        <w:t>be</w:t>
      </w:r>
      <w:r>
        <w:rPr>
          <w:rFonts w:cs="Arial" w:ascii="Arial" w:hAnsi="Arial"/>
          <w:spacing w:val="-12"/>
          <w:w w:val="150"/>
          <w:sz w:val="20"/>
          <w:szCs w:val="20"/>
        </w:rPr>
        <w:t xml:space="preserve"> </w:t>
      </w:r>
      <w:r>
        <w:rPr>
          <w:rFonts w:cs="Arial" w:ascii="Arial" w:hAnsi="Arial"/>
          <w:w w:val="150"/>
          <w:sz w:val="20"/>
          <w:szCs w:val="20"/>
        </w:rPr>
        <w:t>evaluated</w:t>
      </w:r>
      <w:r>
        <w:rPr>
          <w:rFonts w:cs="Arial" w:ascii="Arial" w:hAnsi="Arial"/>
          <w:spacing w:val="-4"/>
          <w:w w:val="150"/>
          <w:sz w:val="20"/>
          <w:szCs w:val="20"/>
        </w:rPr>
        <w:t xml:space="preserve"> </w:t>
      </w:r>
      <w:r>
        <w:rPr>
          <w:rFonts w:cs="Arial" w:ascii="Arial" w:hAnsi="Arial"/>
          <w:w w:val="150"/>
          <w:sz w:val="20"/>
          <w:szCs w:val="20"/>
        </w:rPr>
        <w:t>twenty-three</w:t>
      </w:r>
      <w:r>
        <w:rPr>
          <w:rFonts w:cs="Arial" w:ascii="Arial" w:hAnsi="Arial"/>
          <w:spacing w:val="20"/>
          <w:w w:val="150"/>
          <w:sz w:val="20"/>
          <w:szCs w:val="20"/>
        </w:rPr>
        <w:t xml:space="preserve"> </w:t>
      </w:r>
      <w:r>
        <w:rPr>
          <w:rFonts w:cs="Arial" w:ascii="Arial" w:hAnsi="Arial"/>
          <w:w w:val="150"/>
          <w:sz w:val="20"/>
          <w:szCs w:val="20"/>
        </w:rPr>
        <w:t>(23)</w:t>
      </w:r>
      <w:r>
        <w:rPr>
          <w:rFonts w:cs="Arial" w:ascii="Arial" w:hAnsi="Arial"/>
          <w:spacing w:val="11"/>
          <w:w w:val="150"/>
          <w:sz w:val="20"/>
          <w:szCs w:val="20"/>
        </w:rPr>
        <w:t xml:space="preserve"> </w:t>
      </w:r>
      <w:r>
        <w:rPr>
          <w:rFonts w:cs="Arial" w:ascii="Arial" w:hAnsi="Arial"/>
          <w:w w:val="150"/>
          <w:sz w:val="20"/>
          <w:szCs w:val="20"/>
        </w:rPr>
        <w:t>months</w:t>
      </w:r>
      <w:r>
        <w:rPr>
          <w:rFonts w:cs="Arial" w:ascii="Arial" w:hAnsi="Arial"/>
          <w:spacing w:val="-7"/>
          <w:w w:val="150"/>
          <w:sz w:val="20"/>
          <w:szCs w:val="20"/>
        </w:rPr>
        <w:t xml:space="preserve"> </w:t>
      </w:r>
      <w:r>
        <w:rPr>
          <w:rFonts w:cs="Arial" w:ascii="Arial" w:hAnsi="Arial"/>
          <w:w w:val="150"/>
          <w:sz w:val="20"/>
          <w:szCs w:val="20"/>
        </w:rPr>
        <w:t>after</w:t>
      </w:r>
      <w:r>
        <w:rPr>
          <w:rFonts w:cs="Arial" w:ascii="Arial" w:hAnsi="Arial"/>
          <w:spacing w:val="-10"/>
          <w:w w:val="150"/>
          <w:sz w:val="20"/>
          <w:szCs w:val="20"/>
        </w:rPr>
        <w:t xml:space="preserve"> </w:t>
      </w:r>
      <w:r>
        <w:rPr>
          <w:rFonts w:cs="Arial" w:ascii="Arial" w:hAnsi="Arial"/>
          <w:w w:val="150"/>
          <w:sz w:val="20"/>
          <w:szCs w:val="20"/>
        </w:rPr>
        <w:t>the</w:t>
      </w:r>
      <w:r>
        <w:rPr>
          <w:rFonts w:cs="Arial" w:ascii="Arial" w:hAnsi="Arial"/>
          <w:spacing w:val="-1"/>
          <w:w w:val="150"/>
          <w:sz w:val="20"/>
          <w:szCs w:val="20"/>
        </w:rPr>
        <w:t xml:space="preserve"> </w:t>
      </w:r>
      <w:r>
        <w:rPr>
          <w:rFonts w:cs="Arial" w:ascii="Arial" w:hAnsi="Arial"/>
          <w:w w:val="150"/>
          <w:sz w:val="20"/>
          <w:szCs w:val="20"/>
        </w:rPr>
        <w:t>start</w:t>
      </w:r>
      <w:r>
        <w:rPr>
          <w:rFonts w:cs="Arial" w:ascii="Arial" w:hAnsi="Arial"/>
          <w:spacing w:val="-5"/>
          <w:w w:val="150"/>
          <w:sz w:val="20"/>
          <w:szCs w:val="20"/>
        </w:rPr>
        <w:t xml:space="preserve"> </w:t>
      </w:r>
      <w:r>
        <w:rPr>
          <w:rFonts w:cs="Arial" w:ascii="Arial" w:hAnsi="Arial"/>
          <w:w w:val="150"/>
          <w:sz w:val="20"/>
          <w:szCs w:val="20"/>
        </w:rPr>
        <w:t>of the Policy Year and quarterly thereafter if there are open claims on Policies incepting within the Policy Year.</w:t>
      </w:r>
    </w:p>
    <w:p>
      <w:pPr>
        <w:pStyle w:val="ListParagraph"/>
        <w:numPr>
          <w:ilvl w:val="0"/>
          <w:numId w:val="2"/>
        </w:numPr>
        <w:tabs>
          <w:tab w:val="clear" w:pos="720"/>
          <w:tab w:val="left" w:pos="1633" w:leader="none"/>
        </w:tabs>
        <w:ind w:left="-360" w:right="-180" w:hanging="489"/>
        <w:rPr>
          <w:rFonts w:ascii="Arial" w:hAnsi="Arial" w:eastAsia="Arial" w:cs="Arial"/>
          <w:sz w:val="20"/>
          <w:szCs w:val="20"/>
        </w:rPr>
      </w:pPr>
      <w:r>
        <w:rPr>
          <w:rFonts w:cs="Arial" w:ascii="Arial" w:hAnsi="Arial"/>
          <w:spacing w:val="-16"/>
          <w:w w:val="180"/>
          <w:sz w:val="20"/>
          <w:szCs w:val="20"/>
        </w:rPr>
        <w:t xml:space="preserve">If </w:t>
      </w:r>
      <w:r>
        <w:rPr>
          <w:rFonts w:cs="Arial" w:ascii="Arial" w:hAnsi="Arial"/>
          <w:w w:val="150"/>
          <w:sz w:val="20"/>
          <w:szCs w:val="20"/>
        </w:rPr>
        <w:t xml:space="preserve">there are no open claims on Policies incepting within the Policy Year, Bascule will pay Agent the Profit Sharing for the Policy Year twenty-seven (27) months after Policy Year inception. </w:t>
      </w:r>
      <w:r>
        <w:rPr>
          <w:rFonts w:cs="Arial" w:ascii="Arial" w:hAnsi="Arial"/>
          <w:spacing w:val="-11"/>
          <w:w w:val="150"/>
          <w:sz w:val="20"/>
          <w:szCs w:val="20"/>
        </w:rPr>
        <w:t xml:space="preserve">If </w:t>
      </w:r>
      <w:r>
        <w:rPr>
          <w:rFonts w:cs="Arial" w:ascii="Arial" w:hAnsi="Arial"/>
          <w:w w:val="150"/>
          <w:sz w:val="20"/>
          <w:szCs w:val="20"/>
        </w:rPr>
        <w:t>there are open claims</w:t>
      </w:r>
      <w:r>
        <w:rPr>
          <w:rFonts w:cs="Arial" w:ascii="Arial" w:hAnsi="Arial"/>
          <w:spacing w:val="7"/>
          <w:w w:val="150"/>
          <w:sz w:val="20"/>
          <w:szCs w:val="20"/>
        </w:rPr>
        <w:t xml:space="preserve"> </w:t>
      </w:r>
      <w:r>
        <w:rPr>
          <w:rFonts w:cs="Arial" w:ascii="Arial" w:hAnsi="Arial"/>
          <w:w w:val="150"/>
          <w:sz w:val="20"/>
          <w:szCs w:val="20"/>
        </w:rPr>
        <w:t>on</w:t>
      </w:r>
      <w:r>
        <w:rPr>
          <w:rFonts w:cs="Arial" w:ascii="Arial" w:hAnsi="Arial"/>
          <w:spacing w:val="6"/>
          <w:w w:val="150"/>
          <w:sz w:val="20"/>
          <w:szCs w:val="20"/>
        </w:rPr>
        <w:t xml:space="preserve"> </w:t>
      </w:r>
      <w:r>
        <w:rPr>
          <w:rFonts w:cs="Arial" w:ascii="Arial" w:hAnsi="Arial"/>
          <w:w w:val="150"/>
          <w:sz w:val="20"/>
          <w:szCs w:val="20"/>
        </w:rPr>
        <w:t>Policies</w:t>
      </w:r>
      <w:r>
        <w:rPr>
          <w:rFonts w:cs="Arial" w:ascii="Arial" w:hAnsi="Arial"/>
          <w:spacing w:val="-7"/>
          <w:w w:val="150"/>
          <w:sz w:val="20"/>
          <w:szCs w:val="20"/>
        </w:rPr>
        <w:t xml:space="preserve"> </w:t>
      </w:r>
      <w:r>
        <w:rPr>
          <w:rFonts w:cs="Arial" w:ascii="Arial" w:hAnsi="Arial"/>
          <w:w w:val="150"/>
          <w:sz w:val="20"/>
          <w:szCs w:val="20"/>
        </w:rPr>
        <w:t>incepting</w:t>
      </w:r>
      <w:r>
        <w:rPr>
          <w:rFonts w:cs="Arial" w:ascii="Arial" w:hAnsi="Arial"/>
          <w:spacing w:val="-23"/>
          <w:w w:val="150"/>
          <w:sz w:val="20"/>
          <w:szCs w:val="20"/>
        </w:rPr>
        <w:t xml:space="preserve"> </w:t>
      </w:r>
      <w:r>
        <w:rPr>
          <w:rFonts w:cs="Arial" w:ascii="Arial" w:hAnsi="Arial"/>
          <w:w w:val="150"/>
          <w:sz w:val="20"/>
          <w:szCs w:val="20"/>
        </w:rPr>
        <w:t>within</w:t>
      </w:r>
      <w:r>
        <w:rPr>
          <w:rFonts w:cs="Arial" w:ascii="Arial" w:hAnsi="Arial"/>
          <w:spacing w:val="-3"/>
          <w:w w:val="150"/>
          <w:sz w:val="20"/>
          <w:szCs w:val="20"/>
        </w:rPr>
        <w:t xml:space="preserve"> </w:t>
      </w:r>
      <w:r>
        <w:rPr>
          <w:rFonts w:cs="Arial" w:ascii="Arial" w:hAnsi="Arial"/>
          <w:w w:val="150"/>
          <w:sz w:val="20"/>
          <w:szCs w:val="20"/>
        </w:rPr>
        <w:t>the</w:t>
      </w:r>
      <w:r>
        <w:rPr>
          <w:rFonts w:cs="Arial" w:ascii="Arial" w:hAnsi="Arial"/>
          <w:spacing w:val="8"/>
          <w:w w:val="150"/>
          <w:sz w:val="20"/>
          <w:szCs w:val="20"/>
        </w:rPr>
        <w:t xml:space="preserve"> </w:t>
      </w:r>
      <w:r>
        <w:rPr>
          <w:rFonts w:cs="Arial" w:ascii="Arial" w:hAnsi="Arial"/>
          <w:w w:val="150"/>
          <w:sz w:val="20"/>
          <w:szCs w:val="20"/>
        </w:rPr>
        <w:t>Policy</w:t>
      </w:r>
      <w:r>
        <w:rPr>
          <w:rFonts w:cs="Arial" w:ascii="Arial" w:hAnsi="Arial"/>
          <w:spacing w:val="-13"/>
          <w:w w:val="150"/>
          <w:sz w:val="20"/>
          <w:szCs w:val="20"/>
        </w:rPr>
        <w:t xml:space="preserve"> </w:t>
      </w:r>
      <w:r>
        <w:rPr>
          <w:rFonts w:cs="Arial" w:ascii="Arial" w:hAnsi="Arial"/>
          <w:w w:val="150"/>
          <w:sz w:val="20"/>
          <w:szCs w:val="20"/>
        </w:rPr>
        <w:t>Year,</w:t>
      </w:r>
      <w:r>
        <w:rPr>
          <w:rFonts w:cs="Arial" w:ascii="Arial" w:hAnsi="Arial"/>
          <w:spacing w:val="12"/>
          <w:w w:val="150"/>
          <w:sz w:val="20"/>
          <w:szCs w:val="20"/>
        </w:rPr>
        <w:t xml:space="preserve"> </w:t>
      </w:r>
      <w:r>
        <w:rPr>
          <w:rFonts w:cs="Arial" w:ascii="Arial" w:hAnsi="Arial"/>
          <w:w w:val="150"/>
          <w:sz w:val="20"/>
          <w:szCs w:val="20"/>
        </w:rPr>
        <w:t>Bascule</w:t>
      </w:r>
      <w:r>
        <w:rPr>
          <w:rFonts w:cs="Arial" w:ascii="Arial" w:hAnsi="Arial"/>
          <w:spacing w:val="-5"/>
          <w:w w:val="150"/>
          <w:sz w:val="20"/>
          <w:szCs w:val="20"/>
        </w:rPr>
        <w:t xml:space="preserve"> </w:t>
      </w:r>
      <w:r>
        <w:rPr>
          <w:rFonts w:cs="Arial" w:ascii="Arial" w:hAnsi="Arial"/>
          <w:w w:val="150"/>
          <w:sz w:val="20"/>
          <w:szCs w:val="20"/>
        </w:rPr>
        <w:t>will</w:t>
      </w:r>
      <w:r>
        <w:rPr>
          <w:rFonts w:cs="Arial" w:ascii="Arial" w:hAnsi="Arial"/>
          <w:spacing w:val="-7"/>
          <w:w w:val="150"/>
          <w:sz w:val="20"/>
          <w:szCs w:val="20"/>
        </w:rPr>
        <w:t xml:space="preserve"> </w:t>
      </w:r>
      <w:r>
        <w:rPr>
          <w:rFonts w:cs="Arial" w:ascii="Arial" w:hAnsi="Arial"/>
          <w:w w:val="150"/>
          <w:sz w:val="20"/>
          <w:szCs w:val="20"/>
        </w:rPr>
        <w:t>pay</w:t>
      </w:r>
      <w:r>
        <w:rPr>
          <w:rFonts w:cs="Arial" w:ascii="Arial" w:hAnsi="Arial"/>
          <w:spacing w:val="-5"/>
          <w:w w:val="150"/>
          <w:sz w:val="20"/>
          <w:szCs w:val="20"/>
        </w:rPr>
        <w:t xml:space="preserve"> </w:t>
      </w:r>
      <w:r>
        <w:rPr>
          <w:rFonts w:cs="Arial" w:ascii="Arial" w:hAnsi="Arial"/>
          <w:w w:val="150"/>
          <w:sz w:val="20"/>
          <w:szCs w:val="20"/>
        </w:rPr>
        <w:t>Agent</w:t>
      </w:r>
      <w:r>
        <w:rPr>
          <w:rFonts w:cs="Arial" w:ascii="Arial" w:hAnsi="Arial"/>
          <w:spacing w:val="-2"/>
          <w:w w:val="150"/>
          <w:sz w:val="20"/>
          <w:szCs w:val="20"/>
        </w:rPr>
        <w:t xml:space="preserve"> </w:t>
      </w:r>
      <w:r>
        <w:rPr>
          <w:rFonts w:cs="Arial" w:ascii="Arial" w:hAnsi="Arial"/>
          <w:w w:val="150"/>
          <w:sz w:val="20"/>
          <w:szCs w:val="20"/>
        </w:rPr>
        <w:t>Profit</w:t>
      </w:r>
      <w:r>
        <w:rPr>
          <w:rFonts w:cs="Arial" w:ascii="Arial" w:hAnsi="Arial"/>
          <w:spacing w:val="-16"/>
          <w:w w:val="150"/>
          <w:sz w:val="20"/>
          <w:szCs w:val="20"/>
        </w:rPr>
        <w:t xml:space="preserve"> </w:t>
      </w:r>
      <w:r>
        <w:rPr>
          <w:rFonts w:cs="Arial" w:ascii="Arial" w:hAnsi="Arial"/>
          <w:w w:val="150"/>
          <w:sz w:val="20"/>
          <w:szCs w:val="20"/>
        </w:rPr>
        <w:t>Sharing</w:t>
      </w:r>
      <w:r>
        <w:rPr>
          <w:rFonts w:cs="Arial" w:ascii="Arial" w:hAnsi="Arial"/>
          <w:spacing w:val="-7"/>
          <w:w w:val="150"/>
          <w:sz w:val="20"/>
          <w:szCs w:val="20"/>
        </w:rPr>
        <w:t xml:space="preserve"> </w:t>
      </w:r>
      <w:r>
        <w:rPr>
          <w:rFonts w:cs="Arial" w:ascii="Arial" w:hAnsi="Arial"/>
          <w:w w:val="150"/>
          <w:sz w:val="20"/>
          <w:szCs w:val="20"/>
        </w:rPr>
        <w:t>at</w:t>
      </w:r>
      <w:r>
        <w:rPr>
          <w:rFonts w:cs="Arial" w:ascii="Arial" w:hAnsi="Arial"/>
          <w:spacing w:val="-9"/>
          <w:w w:val="150"/>
          <w:sz w:val="20"/>
          <w:szCs w:val="20"/>
        </w:rPr>
        <w:t xml:space="preserve"> </w:t>
      </w:r>
      <w:r>
        <w:rPr>
          <w:rFonts w:cs="Arial" w:ascii="Arial" w:hAnsi="Arial"/>
          <w:w w:val="150"/>
          <w:sz w:val="20"/>
          <w:szCs w:val="20"/>
        </w:rPr>
        <w:t>the</w:t>
      </w:r>
      <w:r>
        <w:rPr>
          <w:rFonts w:cs="Arial" w:ascii="Arial" w:hAnsi="Arial"/>
          <w:spacing w:val="-2"/>
          <w:w w:val="150"/>
          <w:sz w:val="20"/>
          <w:szCs w:val="20"/>
        </w:rPr>
        <w:t xml:space="preserve"> </w:t>
      </w:r>
      <w:r>
        <w:rPr>
          <w:rFonts w:cs="Arial" w:ascii="Arial" w:hAnsi="Arial"/>
          <w:w w:val="150"/>
          <w:sz w:val="20"/>
          <w:szCs w:val="20"/>
        </w:rPr>
        <w:t>end</w:t>
      </w:r>
      <w:r>
        <w:rPr>
          <w:rFonts w:cs="Arial" w:ascii="Arial" w:hAnsi="Arial"/>
          <w:spacing w:val="-4"/>
          <w:w w:val="150"/>
          <w:sz w:val="20"/>
          <w:szCs w:val="20"/>
        </w:rPr>
        <w:t xml:space="preserve"> </w:t>
      </w:r>
      <w:r>
        <w:rPr>
          <w:rFonts w:cs="Arial" w:ascii="Arial" w:hAnsi="Arial"/>
          <w:w w:val="150"/>
          <w:sz w:val="20"/>
          <w:szCs w:val="20"/>
        </w:rPr>
        <w:t xml:space="preserve">of the first quarter </w:t>
      </w:r>
      <w:r>
        <w:rPr>
          <w:rFonts w:cs="Arial" w:ascii="Arial" w:hAnsi="Arial"/>
          <w:spacing w:val="-9"/>
          <w:w w:val="180"/>
          <w:sz w:val="20"/>
          <w:szCs w:val="20"/>
        </w:rPr>
        <w:t xml:space="preserve">in </w:t>
      </w:r>
      <w:r>
        <w:rPr>
          <w:rFonts w:cs="Arial" w:ascii="Arial" w:hAnsi="Arial"/>
          <w:w w:val="150"/>
          <w:sz w:val="20"/>
          <w:szCs w:val="20"/>
        </w:rPr>
        <w:t>which all claims are</w:t>
      </w:r>
      <w:r>
        <w:rPr>
          <w:rFonts w:cs="Arial" w:ascii="Arial" w:hAnsi="Arial"/>
          <w:spacing w:val="-52"/>
          <w:w w:val="150"/>
          <w:sz w:val="20"/>
          <w:szCs w:val="20"/>
        </w:rPr>
        <w:t xml:space="preserve"> </w:t>
      </w:r>
      <w:r>
        <w:rPr>
          <w:rFonts w:cs="Arial" w:ascii="Arial" w:hAnsi="Arial"/>
          <w:w w:val="150"/>
          <w:sz w:val="20"/>
          <w:szCs w:val="20"/>
        </w:rPr>
        <w:t>closed.</w:t>
      </w:r>
    </w:p>
    <w:p>
      <w:pPr>
        <w:pStyle w:val="ListParagraph"/>
        <w:numPr>
          <w:ilvl w:val="0"/>
          <w:numId w:val="2"/>
        </w:numPr>
        <w:tabs>
          <w:tab w:val="clear" w:pos="720"/>
          <w:tab w:val="left" w:pos="1649" w:leader="none"/>
        </w:tabs>
        <w:ind w:left="-360" w:right="-180" w:hanging="509"/>
        <w:rPr>
          <w:rFonts w:ascii="Arial" w:hAnsi="Arial" w:eastAsia="Arial" w:cs="Arial"/>
          <w:sz w:val="20"/>
          <w:szCs w:val="20"/>
        </w:rPr>
      </w:pPr>
      <w:r>
        <w:rPr>
          <w:rFonts w:cs="Arial" w:ascii="Arial" w:hAnsi="Arial"/>
          <w:w w:val="150"/>
          <w:sz w:val="20"/>
          <w:szCs w:val="20"/>
        </w:rPr>
        <w:t>Profit Sharing is offered by Bascule on the condition that Agent undertakes to make all such disclosures as</w:t>
      </w:r>
      <w:r>
        <w:rPr>
          <w:rFonts w:cs="Arial" w:ascii="Arial" w:hAnsi="Arial"/>
          <w:spacing w:val="-8"/>
          <w:w w:val="150"/>
          <w:sz w:val="20"/>
          <w:szCs w:val="20"/>
        </w:rPr>
        <w:t xml:space="preserve"> </w:t>
      </w:r>
      <w:r>
        <w:rPr>
          <w:rFonts w:cs="Arial" w:ascii="Arial" w:hAnsi="Arial"/>
          <w:w w:val="150"/>
          <w:sz w:val="20"/>
          <w:szCs w:val="20"/>
        </w:rPr>
        <w:t>may</w:t>
      </w:r>
      <w:r>
        <w:rPr>
          <w:rFonts w:cs="Arial" w:ascii="Arial" w:hAnsi="Arial"/>
          <w:spacing w:val="-6"/>
          <w:w w:val="150"/>
          <w:sz w:val="20"/>
          <w:szCs w:val="20"/>
        </w:rPr>
        <w:t xml:space="preserve"> </w:t>
      </w:r>
      <w:r>
        <w:rPr>
          <w:rFonts w:cs="Arial" w:ascii="Arial" w:hAnsi="Arial"/>
          <w:w w:val="150"/>
          <w:sz w:val="20"/>
          <w:szCs w:val="20"/>
        </w:rPr>
        <w:t>be</w:t>
      </w:r>
      <w:r>
        <w:rPr>
          <w:rFonts w:cs="Arial" w:ascii="Arial" w:hAnsi="Arial"/>
          <w:spacing w:val="-7"/>
          <w:w w:val="150"/>
          <w:sz w:val="20"/>
          <w:szCs w:val="20"/>
        </w:rPr>
        <w:t xml:space="preserve"> </w:t>
      </w:r>
      <w:r>
        <w:rPr>
          <w:rFonts w:cs="Arial" w:ascii="Arial" w:hAnsi="Arial"/>
          <w:w w:val="150"/>
          <w:sz w:val="20"/>
          <w:szCs w:val="20"/>
        </w:rPr>
        <w:t>required</w:t>
      </w:r>
      <w:r>
        <w:rPr>
          <w:rFonts w:cs="Arial" w:ascii="Arial" w:hAnsi="Arial"/>
          <w:spacing w:val="-14"/>
          <w:w w:val="150"/>
          <w:sz w:val="20"/>
          <w:szCs w:val="20"/>
        </w:rPr>
        <w:t xml:space="preserve"> </w:t>
      </w:r>
      <w:r>
        <w:rPr>
          <w:rFonts w:cs="Arial" w:ascii="Arial" w:hAnsi="Arial"/>
          <w:w w:val="150"/>
          <w:sz w:val="20"/>
          <w:szCs w:val="20"/>
        </w:rPr>
        <w:t>by</w:t>
      </w:r>
      <w:r>
        <w:rPr>
          <w:rFonts w:cs="Arial" w:ascii="Arial" w:hAnsi="Arial"/>
          <w:spacing w:val="2"/>
          <w:w w:val="150"/>
          <w:sz w:val="20"/>
          <w:szCs w:val="20"/>
        </w:rPr>
        <w:t xml:space="preserve"> </w:t>
      </w:r>
      <w:r>
        <w:rPr>
          <w:rFonts w:cs="Arial" w:ascii="Arial" w:hAnsi="Arial"/>
          <w:w w:val="150"/>
          <w:sz w:val="20"/>
          <w:szCs w:val="20"/>
        </w:rPr>
        <w:t>law</w:t>
      </w:r>
      <w:r>
        <w:rPr>
          <w:rFonts w:cs="Arial" w:ascii="Arial" w:hAnsi="Arial"/>
          <w:spacing w:val="-16"/>
          <w:w w:val="150"/>
          <w:sz w:val="20"/>
          <w:szCs w:val="20"/>
        </w:rPr>
        <w:t xml:space="preserve"> </w:t>
      </w:r>
      <w:r>
        <w:rPr>
          <w:rFonts w:cs="Arial" w:ascii="Arial" w:hAnsi="Arial"/>
          <w:w w:val="150"/>
          <w:sz w:val="20"/>
          <w:szCs w:val="20"/>
        </w:rPr>
        <w:t>concerning</w:t>
      </w:r>
      <w:r>
        <w:rPr>
          <w:rFonts w:cs="Arial" w:ascii="Arial" w:hAnsi="Arial"/>
          <w:spacing w:val="17"/>
          <w:w w:val="150"/>
          <w:sz w:val="20"/>
          <w:szCs w:val="20"/>
        </w:rPr>
        <w:t xml:space="preserve"> </w:t>
      </w:r>
      <w:r>
        <w:rPr>
          <w:rFonts w:cs="Arial" w:ascii="Arial" w:hAnsi="Arial"/>
          <w:w w:val="150"/>
          <w:sz w:val="20"/>
          <w:szCs w:val="20"/>
        </w:rPr>
        <w:t>its</w:t>
      </w:r>
      <w:r>
        <w:rPr>
          <w:rFonts w:cs="Arial" w:ascii="Arial" w:hAnsi="Arial"/>
          <w:spacing w:val="-16"/>
          <w:w w:val="150"/>
          <w:sz w:val="20"/>
          <w:szCs w:val="20"/>
        </w:rPr>
        <w:t xml:space="preserve"> </w:t>
      </w:r>
      <w:r>
        <w:rPr>
          <w:rFonts w:cs="Arial" w:ascii="Arial" w:hAnsi="Arial"/>
          <w:w w:val="150"/>
          <w:sz w:val="20"/>
          <w:szCs w:val="20"/>
        </w:rPr>
        <w:t>role</w:t>
      </w:r>
      <w:r>
        <w:rPr>
          <w:rFonts w:cs="Arial" w:ascii="Arial" w:hAnsi="Arial"/>
          <w:spacing w:val="-16"/>
          <w:w w:val="150"/>
          <w:sz w:val="20"/>
          <w:szCs w:val="20"/>
        </w:rPr>
        <w:t xml:space="preserve"> </w:t>
      </w:r>
      <w:r>
        <w:rPr>
          <w:rFonts w:cs="Arial" w:ascii="Arial" w:hAnsi="Arial"/>
          <w:spacing w:val="-9"/>
          <w:w w:val="180"/>
          <w:sz w:val="20"/>
          <w:szCs w:val="20"/>
        </w:rPr>
        <w:t>in</w:t>
      </w:r>
      <w:r>
        <w:rPr>
          <w:rFonts w:cs="Arial" w:ascii="Arial" w:hAnsi="Arial"/>
          <w:spacing w:val="-42"/>
          <w:w w:val="180"/>
          <w:sz w:val="20"/>
          <w:szCs w:val="20"/>
        </w:rPr>
        <w:t xml:space="preserve"> </w:t>
      </w:r>
      <w:r>
        <w:rPr>
          <w:rFonts w:cs="Arial" w:ascii="Arial" w:hAnsi="Arial"/>
          <w:w w:val="150"/>
          <w:sz w:val="20"/>
          <w:szCs w:val="20"/>
        </w:rPr>
        <w:t>the</w:t>
      </w:r>
      <w:r>
        <w:rPr>
          <w:rFonts w:cs="Arial" w:ascii="Arial" w:hAnsi="Arial"/>
          <w:spacing w:val="-3"/>
          <w:w w:val="150"/>
          <w:sz w:val="20"/>
          <w:szCs w:val="20"/>
        </w:rPr>
        <w:t xml:space="preserve"> </w:t>
      </w:r>
      <w:r>
        <w:rPr>
          <w:rFonts w:cs="Arial" w:ascii="Arial" w:hAnsi="Arial"/>
          <w:w w:val="150"/>
          <w:sz w:val="20"/>
          <w:szCs w:val="20"/>
        </w:rPr>
        <w:t>current</w:t>
      </w:r>
      <w:r>
        <w:rPr>
          <w:rFonts w:cs="Arial" w:ascii="Arial" w:hAnsi="Arial"/>
          <w:spacing w:val="4"/>
          <w:w w:val="150"/>
          <w:sz w:val="20"/>
          <w:szCs w:val="20"/>
        </w:rPr>
        <w:t xml:space="preserve"> </w:t>
      </w:r>
      <w:r>
        <w:rPr>
          <w:rFonts w:cs="Arial" w:ascii="Arial" w:hAnsi="Arial"/>
          <w:w w:val="150"/>
          <w:sz w:val="20"/>
          <w:szCs w:val="20"/>
        </w:rPr>
        <w:t>arrangements</w:t>
      </w:r>
      <w:r>
        <w:rPr>
          <w:rFonts w:cs="Arial" w:ascii="Arial" w:hAnsi="Arial"/>
          <w:spacing w:val="4"/>
          <w:w w:val="150"/>
          <w:sz w:val="20"/>
          <w:szCs w:val="20"/>
        </w:rPr>
        <w:t xml:space="preserve"> </w:t>
      </w:r>
      <w:r>
        <w:rPr>
          <w:rFonts w:cs="Arial" w:ascii="Arial" w:hAnsi="Arial"/>
          <w:w w:val="150"/>
          <w:sz w:val="20"/>
          <w:szCs w:val="20"/>
        </w:rPr>
        <w:t>and</w:t>
      </w:r>
      <w:r>
        <w:rPr>
          <w:rFonts w:cs="Arial" w:ascii="Arial" w:hAnsi="Arial"/>
          <w:spacing w:val="-4"/>
          <w:w w:val="150"/>
          <w:sz w:val="20"/>
          <w:szCs w:val="20"/>
        </w:rPr>
        <w:t xml:space="preserve"> </w:t>
      </w:r>
      <w:r>
        <w:rPr>
          <w:rFonts w:cs="Arial" w:ascii="Arial" w:hAnsi="Arial"/>
          <w:w w:val="150"/>
          <w:sz w:val="20"/>
          <w:szCs w:val="20"/>
        </w:rPr>
        <w:t>any</w:t>
      </w:r>
      <w:r>
        <w:rPr>
          <w:rFonts w:cs="Arial" w:ascii="Arial" w:hAnsi="Arial"/>
          <w:spacing w:val="2"/>
          <w:w w:val="150"/>
          <w:sz w:val="20"/>
          <w:szCs w:val="20"/>
        </w:rPr>
        <w:t xml:space="preserve"> </w:t>
      </w:r>
      <w:r>
        <w:rPr>
          <w:rFonts w:cs="Arial" w:ascii="Arial" w:hAnsi="Arial"/>
          <w:w w:val="150"/>
          <w:sz w:val="20"/>
          <w:szCs w:val="20"/>
        </w:rPr>
        <w:t xml:space="preserve">Profit Sharing that may be payable </w:t>
      </w:r>
      <w:r>
        <w:rPr>
          <w:rFonts w:cs="Arial" w:ascii="Arial" w:hAnsi="Arial"/>
          <w:spacing w:val="-10"/>
          <w:w w:val="150"/>
          <w:sz w:val="20"/>
          <w:szCs w:val="20"/>
        </w:rPr>
        <w:t xml:space="preserve">by  </w:t>
      </w:r>
      <w:r>
        <w:rPr>
          <w:rFonts w:cs="Arial" w:ascii="Arial" w:hAnsi="Arial"/>
          <w:w w:val="150"/>
          <w:sz w:val="20"/>
          <w:szCs w:val="20"/>
        </w:rPr>
        <w:t>Bascule</w:t>
      </w:r>
      <w:r>
        <w:rPr>
          <w:rFonts w:cs="Arial" w:ascii="Arial" w:hAnsi="Arial"/>
          <w:spacing w:val="-14"/>
          <w:w w:val="150"/>
          <w:sz w:val="20"/>
          <w:szCs w:val="20"/>
        </w:rPr>
        <w:t xml:space="preserve"> </w:t>
      </w:r>
      <w:r>
        <w:rPr>
          <w:rFonts w:cs="Arial" w:ascii="Arial" w:hAnsi="Arial"/>
          <w:w w:val="150"/>
          <w:sz w:val="20"/>
          <w:szCs w:val="20"/>
        </w:rPr>
        <w:t>hereunder.</w:t>
      </w:r>
    </w:p>
    <w:p>
      <w:pPr>
        <w:pStyle w:val="ListParagraph"/>
        <w:numPr>
          <w:ilvl w:val="0"/>
          <w:numId w:val="2"/>
        </w:numPr>
        <w:tabs>
          <w:tab w:val="clear" w:pos="720"/>
          <w:tab w:val="left" w:pos="1628" w:leader="none"/>
        </w:tabs>
        <w:ind w:left="-360" w:right="-180" w:hanging="499"/>
        <w:rPr>
          <w:rFonts w:ascii="Arial" w:hAnsi="Arial" w:eastAsia="Arial" w:cs="Arial"/>
          <w:sz w:val="20"/>
          <w:szCs w:val="20"/>
        </w:rPr>
      </w:pPr>
      <w:r>
        <w:rPr>
          <w:rFonts w:cs="Arial" w:ascii="Arial" w:hAnsi="Arial"/>
          <w:w w:val="150"/>
          <w:sz w:val="20"/>
          <w:szCs w:val="20"/>
        </w:rPr>
        <w:t>This Profit Sharing Agreement will terminate at the end of the Policy Year. However, if Agent terminates the Agent Agreement to which this Profit Sharing Agreement is appended at any time during the Policy Year, this Profit Sharing Agreement will terminate back to the inception date and</w:t>
      </w:r>
      <w:r>
        <w:rPr>
          <w:rFonts w:cs="Arial" w:ascii="Arial" w:hAnsi="Arial"/>
          <w:spacing w:val="-41"/>
          <w:w w:val="150"/>
          <w:sz w:val="20"/>
          <w:szCs w:val="20"/>
        </w:rPr>
        <w:t xml:space="preserve"> </w:t>
      </w:r>
      <w:r>
        <w:rPr>
          <w:rFonts w:cs="Arial" w:ascii="Arial" w:hAnsi="Arial"/>
          <w:w w:val="150"/>
          <w:sz w:val="20"/>
          <w:szCs w:val="20"/>
        </w:rPr>
        <w:t>no Profit Sharing will be paid to</w:t>
      </w:r>
      <w:r>
        <w:rPr>
          <w:rFonts w:cs="Arial" w:ascii="Arial" w:hAnsi="Arial"/>
          <w:spacing w:val="-46"/>
          <w:w w:val="150"/>
          <w:sz w:val="20"/>
          <w:szCs w:val="20"/>
        </w:rPr>
        <w:t xml:space="preserve"> </w:t>
      </w:r>
      <w:r>
        <w:rPr>
          <w:rFonts w:cs="Arial" w:ascii="Arial" w:hAnsi="Arial"/>
          <w:w w:val="150"/>
          <w:sz w:val="20"/>
          <w:szCs w:val="20"/>
        </w:rPr>
        <w:t>Agent.</w:t>
      </w:r>
    </w:p>
    <w:p>
      <w:pPr>
        <w:pStyle w:val="ListParagraph"/>
        <w:numPr>
          <w:ilvl w:val="0"/>
          <w:numId w:val="2"/>
        </w:numPr>
        <w:tabs>
          <w:tab w:val="clear" w:pos="720"/>
          <w:tab w:val="left" w:pos="1649" w:leader="none"/>
        </w:tabs>
        <w:ind w:left="-360" w:right="-180" w:hanging="499"/>
        <w:rPr>
          <w:rFonts w:ascii="Arial" w:hAnsi="Arial" w:eastAsia="Arial" w:cs="Arial"/>
          <w:sz w:val="20"/>
          <w:szCs w:val="20"/>
        </w:rPr>
      </w:pPr>
      <w:r>
        <w:rPr>
          <w:rFonts w:cs="Arial" w:ascii="Arial" w:hAnsi="Arial"/>
          <w:spacing w:val="-11"/>
          <w:w w:val="150"/>
          <w:sz w:val="20"/>
          <w:szCs w:val="20"/>
        </w:rPr>
        <w:t xml:space="preserve">If </w:t>
      </w:r>
      <w:r>
        <w:rPr>
          <w:rFonts w:cs="Arial" w:ascii="Arial" w:hAnsi="Arial"/>
          <w:w w:val="150"/>
          <w:sz w:val="20"/>
          <w:szCs w:val="20"/>
        </w:rPr>
        <w:t>a Profit Sharing Agreement exists for the prior year and the calculation of the Net Underwriting Profit from</w:t>
      </w:r>
      <w:r>
        <w:rPr>
          <w:rFonts w:cs="Arial" w:ascii="Arial" w:hAnsi="Arial"/>
          <w:spacing w:val="5"/>
          <w:w w:val="150"/>
          <w:sz w:val="20"/>
          <w:szCs w:val="20"/>
        </w:rPr>
        <w:t xml:space="preserve"> </w:t>
      </w:r>
      <w:r>
        <w:rPr>
          <w:rFonts w:cs="Arial" w:ascii="Arial" w:hAnsi="Arial"/>
          <w:w w:val="150"/>
          <w:sz w:val="20"/>
          <w:szCs w:val="20"/>
        </w:rPr>
        <w:t>that</w:t>
      </w:r>
      <w:r>
        <w:rPr>
          <w:rFonts w:cs="Arial" w:ascii="Arial" w:hAnsi="Arial"/>
          <w:spacing w:val="-11"/>
          <w:w w:val="150"/>
          <w:sz w:val="20"/>
          <w:szCs w:val="20"/>
        </w:rPr>
        <w:t xml:space="preserve"> </w:t>
      </w:r>
      <w:r>
        <w:rPr>
          <w:rFonts w:cs="Arial" w:ascii="Arial" w:hAnsi="Arial"/>
          <w:w w:val="150"/>
          <w:sz w:val="20"/>
          <w:szCs w:val="20"/>
        </w:rPr>
        <w:t>Agreement</w:t>
      </w:r>
      <w:r>
        <w:rPr>
          <w:rFonts w:cs="Arial" w:ascii="Arial" w:hAnsi="Arial"/>
          <w:spacing w:val="19"/>
          <w:w w:val="150"/>
          <w:sz w:val="20"/>
          <w:szCs w:val="20"/>
        </w:rPr>
        <w:t xml:space="preserve"> </w:t>
      </w:r>
      <w:r>
        <w:rPr>
          <w:rFonts w:cs="Arial" w:ascii="Arial" w:hAnsi="Arial"/>
          <w:w w:val="150"/>
          <w:sz w:val="20"/>
          <w:szCs w:val="20"/>
        </w:rPr>
        <w:t>produces</w:t>
      </w:r>
      <w:r>
        <w:rPr>
          <w:rFonts w:cs="Arial" w:ascii="Arial" w:hAnsi="Arial"/>
          <w:spacing w:val="-14"/>
          <w:w w:val="150"/>
          <w:sz w:val="20"/>
          <w:szCs w:val="20"/>
        </w:rPr>
        <w:t xml:space="preserve"> </w:t>
      </w:r>
      <w:r>
        <w:rPr>
          <w:rFonts w:cs="Arial" w:ascii="Arial" w:hAnsi="Arial"/>
          <w:w w:val="150"/>
          <w:sz w:val="20"/>
          <w:szCs w:val="20"/>
        </w:rPr>
        <w:t>a</w:t>
      </w:r>
      <w:r>
        <w:rPr>
          <w:rFonts w:cs="Arial" w:ascii="Arial" w:hAnsi="Arial"/>
          <w:spacing w:val="-3"/>
          <w:w w:val="150"/>
          <w:sz w:val="20"/>
          <w:szCs w:val="20"/>
        </w:rPr>
        <w:t xml:space="preserve"> </w:t>
      </w:r>
      <w:r>
        <w:rPr>
          <w:rFonts w:cs="Arial" w:ascii="Arial" w:hAnsi="Arial"/>
          <w:w w:val="150"/>
          <w:sz w:val="20"/>
          <w:szCs w:val="20"/>
        </w:rPr>
        <w:t>Deficit</w:t>
      </w:r>
      <w:r>
        <w:rPr>
          <w:rFonts w:cs="Arial" w:ascii="Arial" w:hAnsi="Arial"/>
          <w:spacing w:val="2"/>
          <w:w w:val="150"/>
          <w:sz w:val="20"/>
          <w:szCs w:val="20"/>
        </w:rPr>
        <w:t xml:space="preserve"> </w:t>
      </w:r>
      <w:r>
        <w:rPr>
          <w:rFonts w:cs="Arial" w:ascii="Arial" w:hAnsi="Arial"/>
          <w:w w:val="150"/>
          <w:sz w:val="20"/>
          <w:szCs w:val="20"/>
        </w:rPr>
        <w:t>Balance,</w:t>
      </w:r>
      <w:r>
        <w:rPr>
          <w:rFonts w:cs="Arial" w:ascii="Arial" w:hAnsi="Arial"/>
          <w:spacing w:val="-21"/>
          <w:w w:val="150"/>
          <w:sz w:val="20"/>
          <w:szCs w:val="20"/>
        </w:rPr>
        <w:t xml:space="preserve"> </w:t>
      </w:r>
      <w:r>
        <w:rPr>
          <w:rFonts w:cs="Arial" w:ascii="Arial" w:hAnsi="Arial"/>
          <w:w w:val="150"/>
          <w:sz w:val="20"/>
          <w:szCs w:val="20"/>
        </w:rPr>
        <w:t>then</w:t>
      </w:r>
      <w:r>
        <w:rPr>
          <w:rFonts w:cs="Arial" w:ascii="Arial" w:hAnsi="Arial"/>
          <w:spacing w:val="-6"/>
          <w:w w:val="150"/>
          <w:sz w:val="20"/>
          <w:szCs w:val="20"/>
        </w:rPr>
        <w:t xml:space="preserve"> </w:t>
      </w:r>
      <w:r>
        <w:rPr>
          <w:rFonts w:cs="Arial" w:ascii="Arial" w:hAnsi="Arial"/>
          <w:w w:val="150"/>
          <w:sz w:val="20"/>
          <w:szCs w:val="20"/>
        </w:rPr>
        <w:t>the</w:t>
      </w:r>
      <w:r>
        <w:rPr>
          <w:rFonts w:cs="Arial" w:ascii="Arial" w:hAnsi="Arial"/>
          <w:spacing w:val="7"/>
          <w:w w:val="150"/>
          <w:sz w:val="20"/>
          <w:szCs w:val="20"/>
        </w:rPr>
        <w:t xml:space="preserve"> </w:t>
      </w:r>
      <w:r>
        <w:rPr>
          <w:rFonts w:cs="Arial" w:ascii="Arial" w:hAnsi="Arial"/>
          <w:w w:val="150"/>
          <w:sz w:val="20"/>
          <w:szCs w:val="20"/>
        </w:rPr>
        <w:t>Deficit</w:t>
      </w:r>
      <w:r>
        <w:rPr>
          <w:rFonts w:cs="Arial" w:ascii="Arial" w:hAnsi="Arial"/>
          <w:spacing w:val="-3"/>
          <w:w w:val="150"/>
          <w:sz w:val="20"/>
          <w:szCs w:val="20"/>
        </w:rPr>
        <w:t xml:space="preserve"> </w:t>
      </w:r>
      <w:r>
        <w:rPr>
          <w:rFonts w:cs="Arial" w:ascii="Arial" w:hAnsi="Arial"/>
          <w:w w:val="150"/>
          <w:sz w:val="20"/>
          <w:szCs w:val="20"/>
        </w:rPr>
        <w:t>Balance</w:t>
      </w:r>
      <w:r>
        <w:rPr>
          <w:rFonts w:cs="Arial" w:ascii="Arial" w:hAnsi="Arial"/>
          <w:spacing w:val="-18"/>
          <w:w w:val="150"/>
          <w:sz w:val="20"/>
          <w:szCs w:val="20"/>
        </w:rPr>
        <w:t xml:space="preserve"> </w:t>
      </w:r>
      <w:r>
        <w:rPr>
          <w:rFonts w:cs="Arial" w:ascii="Arial" w:hAnsi="Arial"/>
          <w:w w:val="150"/>
          <w:sz w:val="20"/>
          <w:szCs w:val="20"/>
        </w:rPr>
        <w:t>will</w:t>
      </w:r>
      <w:r>
        <w:rPr>
          <w:rFonts w:cs="Arial" w:ascii="Arial" w:hAnsi="Arial"/>
          <w:spacing w:val="14"/>
          <w:w w:val="150"/>
          <w:sz w:val="20"/>
          <w:szCs w:val="20"/>
        </w:rPr>
        <w:t xml:space="preserve"> </w:t>
      </w:r>
      <w:r>
        <w:rPr>
          <w:rFonts w:cs="Arial" w:ascii="Arial" w:hAnsi="Arial"/>
          <w:w w:val="150"/>
          <w:sz w:val="20"/>
          <w:szCs w:val="20"/>
        </w:rPr>
        <w:t>be</w:t>
      </w:r>
      <w:r>
        <w:rPr>
          <w:rFonts w:cs="Arial" w:ascii="Arial" w:hAnsi="Arial"/>
          <w:spacing w:val="-15"/>
          <w:w w:val="150"/>
          <w:sz w:val="20"/>
          <w:szCs w:val="20"/>
        </w:rPr>
        <w:t xml:space="preserve"> </w:t>
      </w:r>
      <w:r>
        <w:rPr>
          <w:rFonts w:cs="Arial" w:ascii="Arial" w:hAnsi="Arial"/>
          <w:w w:val="150"/>
          <w:sz w:val="20"/>
          <w:szCs w:val="20"/>
        </w:rPr>
        <w:t>added</w:t>
      </w:r>
      <w:r>
        <w:rPr>
          <w:rFonts w:cs="Arial" w:ascii="Arial" w:hAnsi="Arial"/>
          <w:spacing w:val="-8"/>
          <w:w w:val="150"/>
          <w:sz w:val="20"/>
          <w:szCs w:val="20"/>
        </w:rPr>
        <w:t xml:space="preserve"> </w:t>
      </w:r>
      <w:r>
        <w:rPr>
          <w:rFonts w:cs="Arial" w:ascii="Arial" w:hAnsi="Arial"/>
          <w:w w:val="150"/>
          <w:sz w:val="20"/>
          <w:szCs w:val="20"/>
        </w:rPr>
        <w:t>to</w:t>
      </w:r>
      <w:r>
        <w:rPr>
          <w:rFonts w:cs="Arial" w:ascii="Arial" w:hAnsi="Arial"/>
          <w:spacing w:val="-12"/>
          <w:w w:val="150"/>
          <w:sz w:val="20"/>
          <w:szCs w:val="20"/>
        </w:rPr>
        <w:t xml:space="preserve"> </w:t>
      </w:r>
      <w:r>
        <w:rPr>
          <w:rFonts w:cs="Arial" w:ascii="Arial" w:hAnsi="Arial"/>
          <w:w w:val="150"/>
          <w:sz w:val="20"/>
          <w:szCs w:val="20"/>
        </w:rPr>
        <w:t>the</w:t>
      </w:r>
      <w:r>
        <w:rPr>
          <w:rFonts w:cs="Arial" w:ascii="Arial" w:hAnsi="Arial"/>
          <w:spacing w:val="7"/>
          <w:w w:val="150"/>
          <w:sz w:val="20"/>
          <w:szCs w:val="20"/>
        </w:rPr>
        <w:t xml:space="preserve"> </w:t>
      </w:r>
      <w:r>
        <w:rPr>
          <w:rFonts w:cs="Arial" w:ascii="Arial" w:hAnsi="Arial"/>
          <w:w w:val="150"/>
          <w:sz w:val="20"/>
          <w:szCs w:val="20"/>
        </w:rPr>
        <w:t>Policy</w:t>
      </w:r>
      <w:r>
        <w:rPr>
          <w:rFonts w:cs="Arial" w:ascii="Arial" w:hAnsi="Arial"/>
          <w:spacing w:val="-22"/>
          <w:w w:val="150"/>
          <w:sz w:val="20"/>
          <w:szCs w:val="20"/>
        </w:rPr>
        <w:t xml:space="preserve"> </w:t>
      </w:r>
      <w:r>
        <w:rPr>
          <w:rFonts w:cs="Arial" w:ascii="Arial" w:hAnsi="Arial"/>
          <w:w w:val="150"/>
          <w:sz w:val="20"/>
          <w:szCs w:val="20"/>
        </w:rPr>
        <w:t>Year Losses and Fees for the purpose of calculating the Policy Year Net Underwriting Profit. Any such Deficit Balance shall only be carried forward from two prior years.</w:t>
      </w:r>
    </w:p>
    <w:p>
      <w:pPr>
        <w:pStyle w:val="Normal"/>
        <w:tabs>
          <w:tab w:val="clear" w:pos="720"/>
          <w:tab w:val="left" w:pos="1649" w:leader="none"/>
        </w:tabs>
        <w:ind w:left="-360" w:right="-180" w:hanging="0"/>
        <w:rPr>
          <w:rFonts w:eastAsia="Arial"/>
          <w:sz w:val="18"/>
          <w:szCs w:val="18"/>
        </w:rPr>
      </w:pPr>
      <w:r>
        <w:rPr>
          <w:rFonts w:eastAsia="Arial"/>
          <w:sz w:val="18"/>
          <w:szCs w:val="18"/>
        </w:rPr>
      </w:r>
    </w:p>
    <w:p>
      <w:pPr>
        <w:pStyle w:val="Normal"/>
        <w:ind w:left="-360" w:right="-180" w:hanging="0"/>
        <w:rPr>
          <w:b/>
          <w:b/>
          <w:w w:val="145"/>
        </w:rPr>
      </w:pPr>
      <w:r>
        <w:rPr>
          <w:b/>
          <w:w w:val="145"/>
        </w:rPr>
      </w:r>
    </w:p>
    <w:p>
      <w:pPr>
        <w:pStyle w:val="Normal"/>
        <w:ind w:left="-360" w:right="-180" w:hanging="0"/>
        <w:rPr>
          <w:sz w:val="23"/>
          <w:szCs w:val="23"/>
        </w:rPr>
      </w:pPr>
      <w:r>
        <w:rPr/>
      </w:r>
    </w:p>
    <w:sectPr>
      <w:headerReference w:type="default" r:id="rId10"/>
      <w:footerReference w:type="default" r:id="rId11"/>
      <w:type w:val="nextPage"/>
      <w:pgSz w:w="12240" w:h="15840"/>
      <w:pgMar w:left="1440" w:right="1440" w:header="720" w:top="777" w:footer="720" w:bottom="99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roman"/>
    <w:pitch w:val="variable"/>
  </w:font>
  <w:font w:name="TimesNewRoman">
    <w:charset w:val="01"/>
    <w:family w:val="roman"/>
    <w:pitch w:val="variable"/>
  </w:font>
  <w:font w:name="Symbol">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270" w:leader="none"/>
      </w:tabs>
      <w:rPr>
        <w:rStyle w:val="Pagenumber"/>
        <w:sz w:val="16"/>
      </w:rPr>
    </w:pPr>
    <w:r>
      <w:rPr>
        <w:sz w:val="16"/>
      </w:rPr>
    </w:r>
  </w:p>
  <w:p>
    <w:pPr>
      <w:pStyle w:val="Footer"/>
      <w:tabs>
        <w:tab w:val="clear" w:pos="8640"/>
        <w:tab w:val="center" w:pos="4320" w:leader="none"/>
        <w:tab w:val="right" w:pos="9270" w:leader="none"/>
      </w:tabs>
      <w:rPr>
        <w:sz w:val="16"/>
      </w:rPr>
    </w:pPr>
    <w:r>
      <w:rPr>
        <w:rStyle w:val="Pagenumber"/>
        <w:sz w:val="16"/>
      </w:rPr>
      <w:tab/>
      <w:t xml:space="preserve">Page </w:t>
    </w:r>
    <w:r>
      <w:rPr>
        <w:rStyle w:val="Pagenumber"/>
        <w:sz w:val="16"/>
      </w:rPr>
      <w:fldChar w:fldCharType="begin"/>
    </w:r>
    <w:r>
      <w:rPr>
        <w:rStyle w:val="Pagenumber"/>
        <w:sz w:val="16"/>
      </w:rPr>
      <w:instrText> PAGE </w:instrText>
    </w:r>
    <w:r>
      <w:rPr>
        <w:rStyle w:val="Pagenumber"/>
        <w:sz w:val="16"/>
      </w:rPr>
      <w:fldChar w:fldCharType="separate"/>
    </w:r>
    <w:r>
      <w:rPr>
        <w:rStyle w:val="Pagenumber"/>
        <w:sz w:val="16"/>
      </w:rPr>
      <w:t>1</w:t>
    </w:r>
    <w:r>
      <w:rPr>
        <w:rStyle w:val="Pagenumber"/>
        <w:sz w:val="16"/>
      </w:rPr>
      <w:fldChar w:fldCharType="end"/>
    </w:r>
  </w:p>
  <w:p>
    <w:pPr>
      <w:pStyle w:val="Footer"/>
      <w:jc w:val="right"/>
      <w:rPr/>
    </w:pPr>
    <w:r>
      <w:rPr/>
      <w:t> </w:t>
    </w:r>
  </w:p>
  <w:p>
    <w:pPr>
      <w:pStyle w:val="Footer"/>
      <w:rPr>
        <w:sz w:val="16"/>
        <w:szCs w:val="16"/>
      </w:rPr>
    </w:pPr>
    <w:r>
      <w:rPr/>
      <w:softHyphen/>
    </w:r>
  </w:p>
  <w:p>
    <w:pPr>
      <w:pStyle w:val="Normal"/>
      <w:rPr/>
    </w:pPr>
    <w:r>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270" w:leader="none"/>
      </w:tabs>
      <w:rPr>
        <w:rStyle w:val="Pagenumber"/>
        <w:sz w:val="16"/>
      </w:rPr>
    </w:pPr>
    <w:r>
      <w:rPr>
        <w:sz w:val="16"/>
      </w:rPr>
    </w:r>
  </w:p>
  <w:p>
    <w:pPr>
      <w:pStyle w:val="Footer"/>
      <w:tabs>
        <w:tab w:val="clear" w:pos="8640"/>
        <w:tab w:val="center" w:pos="4320" w:leader="none"/>
        <w:tab w:val="right" w:pos="9270" w:leader="none"/>
      </w:tabs>
      <w:rPr>
        <w:sz w:val="16"/>
      </w:rPr>
    </w:pPr>
    <w:r>
      <w:rPr>
        <w:rStyle w:val="Pagenumber"/>
        <w:sz w:val="16"/>
      </w:rPr>
      <w:tab/>
      <w:t xml:space="preserve">Page </w:t>
    </w:r>
    <w:r>
      <w:rPr>
        <w:rStyle w:val="Pagenumber"/>
        <w:sz w:val="16"/>
      </w:rPr>
      <w:fldChar w:fldCharType="begin"/>
    </w:r>
    <w:r>
      <w:rPr>
        <w:rStyle w:val="Pagenumber"/>
        <w:sz w:val="16"/>
      </w:rPr>
      <w:instrText> PAGE </w:instrText>
    </w:r>
    <w:r>
      <w:rPr>
        <w:rStyle w:val="Pagenumber"/>
        <w:sz w:val="16"/>
      </w:rPr>
      <w:fldChar w:fldCharType="separate"/>
    </w:r>
    <w:r>
      <w:rPr>
        <w:rStyle w:val="Pagenumber"/>
        <w:sz w:val="16"/>
      </w:rPr>
      <w:t>6</w:t>
    </w:r>
    <w:r>
      <w:rPr>
        <w:rStyle w:val="Pagenumber"/>
        <w:sz w:val="16"/>
      </w:rPr>
      <w:fldChar w:fldCharType="end"/>
    </w:r>
  </w:p>
  <w:p>
    <w:pPr>
      <w:pStyle w:val="Footer"/>
      <w:jc w:val="right"/>
      <w:rPr/>
    </w:pPr>
    <w:r>
      <w:rPr/>
      <w:t> </w:t>
    </w:r>
  </w:p>
  <w:p>
    <w:pPr>
      <w:pStyle w:val="Footer"/>
      <w:rPr>
        <w:sz w:val="16"/>
        <w:szCs w:val="16"/>
      </w:rPr>
    </w:pPr>
    <w:r>
      <w:rPr/>
      <w:softHyphen/>
    </w:r>
  </w:p>
  <w:p>
    <w:pPr>
      <w:pStyle w:val="Normal"/>
      <w:rPr/>
    </w:pPr>
    <w:r>
      <w:rPr/>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16"/>
        <w:szCs w:val="16"/>
      </w:rPr>
    </w:pPr>
    <w:r>
      <w:rPr/>
      <w:softHyphen/>
    </w:r>
    <w:r>
      <w:rPr>
        <w:sz w:val="16"/>
        <w:szCs w:val="16"/>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40"/>
      <w:rPr/>
    </w:pPr>
    <w:r>
      <w:rPr/>
    </w:r>
  </w:p>
  <w:p>
    <w:pPr>
      <w:pStyle w:val="Normal"/>
      <w:tabs>
        <w:tab w:val="clear" w:pos="720"/>
        <w:tab w:val="center" w:pos="4680" w:leader="none"/>
      </w:tabs>
      <w:rPr>
        <w:sz w:val="24"/>
      </w:rPr>
    </w:pPr>
    <w:r>
      <w:rPr>
        <w:sz w:val="24"/>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40"/>
      <w:rPr/>
    </w:pPr>
    <w:r>
      <w:rPr/>
    </w:r>
  </w:p>
  <w:p>
    <w:pPr>
      <w:pStyle w:val="Normal"/>
      <w:tabs>
        <w:tab w:val="clear" w:pos="720"/>
        <w:tab w:val="center" w:pos="4680" w:leader="none"/>
      </w:tabs>
      <w:rPr>
        <w:sz w:val="24"/>
      </w:rPr>
    </w:pPr>
    <w:r>
      <w:rPr>
        <w:sz w:val="24"/>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rPr>
        <w:rFonts w:ascii="Times New Roman" w:hAnsi="Times New Roman" w:cs="Times New Roman"/>
        <w:b/>
        <w:b/>
        <w:bCs/>
        <w:sz w:val="22"/>
        <w:szCs w:val="24"/>
      </w:rPr>
    </w:pPr>
    <w:r>
      <w:rPr>
        <w:rFonts w:cs="Times New Roman" w:ascii="Times New Roman" w:hAnsi="Times New Roman"/>
        <w:b/>
        <w:bCs/>
        <w:sz w:val="22"/>
        <w:szCs w:val="24"/>
      </w:rPr>
    </w:r>
  </w:p>
  <w:p>
    <w:pPr>
      <w:pStyle w:val="Normal"/>
      <w:widowControl/>
      <w:spacing w:lineRule="exact" w:line="321" w:before="105" w:after="0"/>
      <w:jc w:val="center"/>
      <w:rPr>
        <w:b/>
        <w:b/>
        <w:bCs/>
        <w:sz w:val="29"/>
        <w:szCs w:val="29"/>
      </w:rPr>
    </w:pPr>
    <w:r>
      <w:rPr>
        <w:b/>
        <w:bCs/>
        <w:sz w:val="29"/>
        <w:szCs w:val="29"/>
      </w:rPr>
      <w:t>INSURANCE AGENCY AGREEMENT</w:t>
    </w:r>
  </w:p>
  <w:p>
    <w:pPr>
      <w:pStyle w:val="Header"/>
      <w:rPr/>
    </w:pPr>
    <w:r>
      <w:rPr/>
    </w:r>
  </w:p>
  <w:p>
    <w:pPr>
      <w:pStyle w:val="Normal"/>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rPr>
        <w:rFonts w:ascii="Times New Roman" w:hAnsi="Times New Roman" w:cs="Times New Roman"/>
        <w:b/>
        <w:b/>
        <w:bCs/>
        <w:sz w:val="22"/>
        <w:szCs w:val="24"/>
      </w:rPr>
    </w:pPr>
    <w:r>
      <w:rPr>
        <w:rFonts w:cs="Times New Roman" w:ascii="Times New Roman" w:hAnsi="Times New Roman"/>
        <w:b/>
        <w:bCs/>
        <w:sz w:val="22"/>
        <w:szCs w:val="24"/>
      </w:rPr>
    </w:r>
  </w:p>
  <w:p>
    <w:pPr>
      <w:pStyle w:val="Normal"/>
      <w:widowControl/>
      <w:spacing w:lineRule="exact" w:line="321" w:before="105" w:after="0"/>
      <w:jc w:val="center"/>
      <w:rPr>
        <w:b/>
        <w:b/>
        <w:bCs/>
        <w:sz w:val="29"/>
        <w:szCs w:val="29"/>
      </w:rPr>
    </w:pPr>
    <w:r>
      <w:rPr>
        <w:b/>
        <w:bCs/>
        <w:sz w:val="29"/>
        <w:szCs w:val="29"/>
      </w:rPr>
      <w:t>INSURANCE AGENCY AGREEMENT</w:t>
    </w:r>
  </w:p>
  <w:p>
    <w:pPr>
      <w:pStyle w:val="Header"/>
      <w:rPr/>
    </w:pPr>
    <w:r>
      <w:rPr/>
    </w:r>
  </w:p>
  <w:p>
    <w:pPr>
      <w:pStyle w:val="Normal"/>
      <w:rPr/>
    </w:pPr>
    <w:r>
      <w:rPr/>
    </w:r>
  </w:p>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1648" w:hanging="520"/>
      </w:pPr>
      <w:rPr>
        <w:rFonts w:ascii="Arial" w:hAnsi="Arial" w:cs="Arial" w:hint="default"/>
      </w:rPr>
    </w:lvl>
    <w:lvl w:ilvl="1">
      <w:start w:val="1"/>
      <w:numFmt w:val="bullet"/>
      <w:lvlText w:val=""/>
      <w:lvlJc w:val="left"/>
      <w:pPr>
        <w:tabs>
          <w:tab w:val="num" w:pos="0"/>
        </w:tabs>
        <w:ind w:left="2926" w:hanging="520"/>
      </w:pPr>
      <w:rPr>
        <w:rFonts w:ascii="Symbol" w:hAnsi="Symbol" w:cs="Symbol" w:hint="default"/>
      </w:rPr>
    </w:lvl>
    <w:lvl w:ilvl="2">
      <w:start w:val="1"/>
      <w:numFmt w:val="bullet"/>
      <w:lvlText w:val=""/>
      <w:lvlJc w:val="left"/>
      <w:pPr>
        <w:tabs>
          <w:tab w:val="num" w:pos="0"/>
        </w:tabs>
        <w:ind w:left="4212" w:hanging="520"/>
      </w:pPr>
      <w:rPr>
        <w:rFonts w:ascii="Symbol" w:hAnsi="Symbol" w:cs="Symbol" w:hint="default"/>
      </w:rPr>
    </w:lvl>
    <w:lvl w:ilvl="3">
      <w:start w:val="1"/>
      <w:numFmt w:val="bullet"/>
      <w:lvlText w:val=""/>
      <w:lvlJc w:val="left"/>
      <w:pPr>
        <w:tabs>
          <w:tab w:val="num" w:pos="0"/>
        </w:tabs>
        <w:ind w:left="5498" w:hanging="520"/>
      </w:pPr>
      <w:rPr>
        <w:rFonts w:ascii="Symbol" w:hAnsi="Symbol" w:cs="Symbol" w:hint="default"/>
      </w:rPr>
    </w:lvl>
    <w:lvl w:ilvl="4">
      <w:start w:val="1"/>
      <w:numFmt w:val="bullet"/>
      <w:lvlText w:val=""/>
      <w:lvlJc w:val="left"/>
      <w:pPr>
        <w:tabs>
          <w:tab w:val="num" w:pos="0"/>
        </w:tabs>
        <w:ind w:left="6784" w:hanging="520"/>
      </w:pPr>
      <w:rPr>
        <w:rFonts w:ascii="Symbol" w:hAnsi="Symbol" w:cs="Symbol" w:hint="default"/>
      </w:rPr>
    </w:lvl>
    <w:lvl w:ilvl="5">
      <w:start w:val="1"/>
      <w:numFmt w:val="bullet"/>
      <w:lvlText w:val=""/>
      <w:lvlJc w:val="left"/>
      <w:pPr>
        <w:tabs>
          <w:tab w:val="num" w:pos="0"/>
        </w:tabs>
        <w:ind w:left="8070" w:hanging="520"/>
      </w:pPr>
      <w:rPr>
        <w:rFonts w:ascii="Symbol" w:hAnsi="Symbol" w:cs="Symbol" w:hint="default"/>
      </w:rPr>
    </w:lvl>
    <w:lvl w:ilvl="6">
      <w:start w:val="1"/>
      <w:numFmt w:val="bullet"/>
      <w:lvlText w:val=""/>
      <w:lvlJc w:val="left"/>
      <w:pPr>
        <w:tabs>
          <w:tab w:val="num" w:pos="0"/>
        </w:tabs>
        <w:ind w:left="9356" w:hanging="520"/>
      </w:pPr>
      <w:rPr>
        <w:rFonts w:ascii="Symbol" w:hAnsi="Symbol" w:cs="Symbol" w:hint="default"/>
      </w:rPr>
    </w:lvl>
    <w:lvl w:ilvl="7">
      <w:start w:val="1"/>
      <w:numFmt w:val="bullet"/>
      <w:lvlText w:val=""/>
      <w:lvlJc w:val="left"/>
      <w:pPr>
        <w:tabs>
          <w:tab w:val="num" w:pos="0"/>
        </w:tabs>
        <w:ind w:left="10642" w:hanging="520"/>
      </w:pPr>
      <w:rPr>
        <w:rFonts w:ascii="Symbol" w:hAnsi="Symbol" w:cs="Symbol" w:hint="default"/>
      </w:rPr>
    </w:lvl>
    <w:lvl w:ilvl="8">
      <w:start w:val="1"/>
      <w:numFmt w:val="bullet"/>
      <w:lvlText w:val=""/>
      <w:lvlJc w:val="left"/>
      <w:pPr>
        <w:tabs>
          <w:tab w:val="num" w:pos="0"/>
        </w:tabs>
        <w:ind w:left="11928" w:hanging="520"/>
      </w:pPr>
      <w:rPr>
        <w:rFonts w:ascii="Symbol" w:hAnsi="Symbol" w:cs="Symbol" w:hint="default"/>
      </w:rPr>
    </w:lvl>
  </w:abstractNum>
  <w:abstractNum w:abstractNumId="3">
    <w:lvl w:ilvl="0">
      <w:start w:val="1"/>
      <w:numFmt w:val="lowerRoman"/>
      <w:lvlText w:val="%1."/>
      <w:lvlJc w:val="right"/>
      <w:pPr>
        <w:tabs>
          <w:tab w:val="num" w:pos="0"/>
        </w:tabs>
        <w:ind w:left="2160" w:hanging="360"/>
      </w:pPr>
    </w:lvl>
    <w:lvl w:ilvl="1">
      <w:start w:val="22"/>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
    <w:lvl w:ilvl="0">
      <w:start w:val="1"/>
      <w:numFmt w:val="decimal"/>
      <w:lvlText w:val="%1)"/>
      <w:lvlJc w:val="left"/>
      <w:pPr>
        <w:tabs>
          <w:tab w:val="num" w:pos="0"/>
        </w:tabs>
        <w:ind w:left="0" w:hanging="360"/>
      </w:p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5">
    <w:lvl w:ilvl="0">
      <w:start w:val="1"/>
      <w:numFmt w:val="upperLetter"/>
      <w:lvlText w:val="%1."/>
      <w:lvlJc w:val="left"/>
      <w:pPr>
        <w:tabs>
          <w:tab w:val="num" w:pos="0"/>
        </w:tabs>
        <w:ind w:left="1360" w:hanging="360"/>
      </w:pPr>
      <w:rPr>
        <w:u w:val="thick"/>
        <w:w w:val="150"/>
      </w:rPr>
    </w:lvl>
    <w:lvl w:ilvl="1">
      <w:start w:val="1"/>
      <w:numFmt w:val="lowerLetter"/>
      <w:lvlText w:val="%2."/>
      <w:lvlJc w:val="left"/>
      <w:pPr>
        <w:tabs>
          <w:tab w:val="num" w:pos="0"/>
        </w:tabs>
        <w:ind w:left="2080" w:hanging="360"/>
      </w:pPr>
    </w:lvl>
    <w:lvl w:ilvl="2">
      <w:start w:val="1"/>
      <w:numFmt w:val="lowerRoman"/>
      <w:lvlText w:val="%3."/>
      <w:lvlJc w:val="right"/>
      <w:pPr>
        <w:tabs>
          <w:tab w:val="num" w:pos="0"/>
        </w:tabs>
        <w:ind w:left="2800" w:hanging="180"/>
      </w:pPr>
    </w:lvl>
    <w:lvl w:ilvl="3">
      <w:start w:val="1"/>
      <w:numFmt w:val="decimal"/>
      <w:lvlText w:val="%4."/>
      <w:lvlJc w:val="left"/>
      <w:pPr>
        <w:tabs>
          <w:tab w:val="num" w:pos="0"/>
        </w:tabs>
        <w:ind w:left="3520" w:hanging="360"/>
      </w:pPr>
    </w:lvl>
    <w:lvl w:ilvl="4">
      <w:start w:val="1"/>
      <w:numFmt w:val="lowerLetter"/>
      <w:lvlText w:val="%5."/>
      <w:lvlJc w:val="left"/>
      <w:pPr>
        <w:tabs>
          <w:tab w:val="num" w:pos="0"/>
        </w:tabs>
        <w:ind w:left="4240" w:hanging="360"/>
      </w:pPr>
    </w:lvl>
    <w:lvl w:ilvl="5">
      <w:start w:val="1"/>
      <w:numFmt w:val="lowerRoman"/>
      <w:lvlText w:val="%6."/>
      <w:lvlJc w:val="right"/>
      <w:pPr>
        <w:tabs>
          <w:tab w:val="num" w:pos="0"/>
        </w:tabs>
        <w:ind w:left="4960" w:hanging="180"/>
      </w:pPr>
    </w:lvl>
    <w:lvl w:ilvl="6">
      <w:start w:val="1"/>
      <w:numFmt w:val="decimal"/>
      <w:lvlText w:val="%7."/>
      <w:lvlJc w:val="left"/>
      <w:pPr>
        <w:tabs>
          <w:tab w:val="num" w:pos="0"/>
        </w:tabs>
        <w:ind w:left="5680" w:hanging="360"/>
      </w:pPr>
    </w:lvl>
    <w:lvl w:ilvl="7">
      <w:start w:val="1"/>
      <w:numFmt w:val="lowerLetter"/>
      <w:lvlText w:val="%8."/>
      <w:lvlJc w:val="left"/>
      <w:pPr>
        <w:tabs>
          <w:tab w:val="num" w:pos="0"/>
        </w:tabs>
        <w:ind w:left="6400" w:hanging="360"/>
      </w:pPr>
    </w:lvl>
    <w:lvl w:ilvl="8">
      <w:start w:val="1"/>
      <w:numFmt w:val="lowerRoman"/>
      <w:lvlText w:val="%9."/>
      <w:lvlJc w:val="right"/>
      <w:pPr>
        <w:tabs>
          <w:tab w:val="num" w:pos="0"/>
        </w:tabs>
        <w:ind w:left="7120" w:hanging="180"/>
      </w:pPr>
    </w:lvl>
  </w:abstractNum>
  <w:abstractNum w:abstractNumId="6">
    <w:lvl w:ilvl="0">
      <w:start w:val="1"/>
      <w:numFmt w:val="decimal"/>
      <w:lvlText w:val="%1."/>
      <w:lvlJc w:val="left"/>
      <w:pPr>
        <w:tabs>
          <w:tab w:val="num" w:pos="0"/>
        </w:tabs>
        <w:ind w:left="1350" w:hanging="360"/>
      </w:pPr>
    </w:lvl>
    <w:lvl w:ilvl="1">
      <w:start w:val="1"/>
      <w:numFmt w:val="lowerLetter"/>
      <w:lvlText w:val="%2."/>
      <w:lvlJc w:val="left"/>
      <w:pPr>
        <w:tabs>
          <w:tab w:val="num" w:pos="0"/>
        </w:tabs>
        <w:ind w:left="2070" w:hanging="360"/>
      </w:pPr>
    </w:lvl>
    <w:lvl w:ilvl="2">
      <w:start w:val="1"/>
      <w:numFmt w:val="lowerRoman"/>
      <w:lvlText w:val="%3."/>
      <w:lvlJc w:val="right"/>
      <w:pPr>
        <w:tabs>
          <w:tab w:val="num" w:pos="0"/>
        </w:tabs>
        <w:ind w:left="2790" w:hanging="180"/>
      </w:pPr>
    </w:lvl>
    <w:lvl w:ilvl="3">
      <w:start w:val="1"/>
      <w:numFmt w:val="decimal"/>
      <w:lvlText w:val="%4."/>
      <w:lvlJc w:val="left"/>
      <w:pPr>
        <w:tabs>
          <w:tab w:val="num" w:pos="0"/>
        </w:tabs>
        <w:ind w:left="3510" w:hanging="360"/>
      </w:pPr>
    </w:lvl>
    <w:lvl w:ilvl="4">
      <w:start w:val="1"/>
      <w:numFmt w:val="lowerLetter"/>
      <w:lvlText w:val="%5."/>
      <w:lvlJc w:val="left"/>
      <w:pPr>
        <w:tabs>
          <w:tab w:val="num" w:pos="0"/>
        </w:tabs>
        <w:ind w:left="4230" w:hanging="360"/>
      </w:pPr>
    </w:lvl>
    <w:lvl w:ilvl="5">
      <w:start w:val="1"/>
      <w:numFmt w:val="lowerRoman"/>
      <w:lvlText w:val="%6."/>
      <w:lvlJc w:val="right"/>
      <w:pPr>
        <w:tabs>
          <w:tab w:val="num" w:pos="0"/>
        </w:tabs>
        <w:ind w:left="4950" w:hanging="180"/>
      </w:pPr>
    </w:lvl>
    <w:lvl w:ilvl="6">
      <w:start w:val="1"/>
      <w:numFmt w:val="decimal"/>
      <w:lvlText w:val="%7."/>
      <w:lvlJc w:val="left"/>
      <w:pPr>
        <w:tabs>
          <w:tab w:val="num" w:pos="0"/>
        </w:tabs>
        <w:ind w:left="5670" w:hanging="360"/>
      </w:pPr>
    </w:lvl>
    <w:lvl w:ilvl="7">
      <w:start w:val="1"/>
      <w:numFmt w:val="lowerLetter"/>
      <w:lvlText w:val="%8."/>
      <w:lvlJc w:val="left"/>
      <w:pPr>
        <w:tabs>
          <w:tab w:val="num" w:pos="0"/>
        </w:tabs>
        <w:ind w:left="6390" w:hanging="360"/>
      </w:pPr>
    </w:lvl>
    <w:lvl w:ilvl="8">
      <w:start w:val="1"/>
      <w:numFmt w:val="lowerRoman"/>
      <w:lvlText w:val="%9."/>
      <w:lvlJc w:val="right"/>
      <w:pPr>
        <w:tabs>
          <w:tab w:val="num" w:pos="0"/>
        </w:tabs>
        <w:ind w:left="711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false"/>
      <w:suppressAutoHyphens w:val="true"/>
      <w:bidi w:val="0"/>
      <w:spacing w:before="0" w:after="0"/>
      <w:jc w:val="left"/>
    </w:pPr>
    <w:rPr>
      <w:rFonts w:ascii="Arial" w:hAnsi="Arial" w:eastAsia="Times New Roman" w:cs="Arial"/>
      <w:color w:val="auto"/>
      <w:kern w:val="0"/>
      <w:sz w:val="20"/>
      <w:szCs w:val="20"/>
      <w:lang w:val="en-US" w:eastAsia="en-US" w:bidi="ar-SA"/>
    </w:rPr>
  </w:style>
  <w:style w:type="paragraph" w:styleId="Heading1">
    <w:name w:val="Heading 1"/>
    <w:basedOn w:val="Normal"/>
    <w:next w:val="Normal"/>
    <w:qFormat/>
    <w:pPr>
      <w:keepNext w:val="true"/>
      <w:widowControl/>
      <w:tabs>
        <w:tab w:val="clear" w:pos="720"/>
        <w:tab w:val="left" w:pos="9360" w:leader="none"/>
      </w:tabs>
      <w:spacing w:before="0" w:after="200"/>
      <w:jc w:val="both"/>
      <w:outlineLvl w:val="0"/>
    </w:pPr>
    <w:rPr>
      <w:b/>
      <w:bCs/>
      <w:sz w:val="26"/>
      <w:szCs w:val="26"/>
      <w:u w:val="single"/>
    </w:rPr>
  </w:style>
  <w:style w:type="paragraph" w:styleId="Heading2">
    <w:name w:val="Heading 2"/>
    <w:basedOn w:val="Normal"/>
    <w:next w:val="Normal"/>
    <w:qFormat/>
    <w:pPr>
      <w:keepNext w:val="true"/>
      <w:widowControl/>
      <w:spacing w:lineRule="exact" w:line="240"/>
      <w:outlineLvl w:val="1"/>
    </w:pPr>
    <w:rPr>
      <w:sz w:val="24"/>
      <w:szCs w:val="24"/>
    </w:rPr>
  </w:style>
  <w:style w:type="paragraph" w:styleId="Heading3">
    <w:name w:val="Heading 3"/>
    <w:basedOn w:val="Normal"/>
    <w:next w:val="Normal"/>
    <w:qFormat/>
    <w:pPr>
      <w:keepNext w:val="true"/>
      <w:widowControl/>
      <w:spacing w:lineRule="exact" w:line="302"/>
      <w:outlineLvl w:val="2"/>
    </w:pPr>
    <w:rPr>
      <w:sz w:val="26"/>
      <w:szCs w:val="26"/>
    </w:rPr>
  </w:style>
  <w:style w:type="paragraph" w:styleId="Heading4">
    <w:name w:val="Heading 4"/>
    <w:basedOn w:val="Normal"/>
    <w:next w:val="Normal"/>
    <w:qFormat/>
    <w:pPr>
      <w:keepNext w:val="true"/>
      <w:widowControl/>
      <w:spacing w:lineRule="exact" w:line="259"/>
      <w:outlineLvl w:val="3"/>
    </w:pPr>
    <w:rPr>
      <w:b/>
      <w:bCs/>
      <w:sz w:val="22"/>
      <w:szCs w:val="22"/>
    </w:rPr>
  </w:style>
  <w:style w:type="paragraph" w:styleId="Heading5">
    <w:name w:val="Heading 5"/>
    <w:basedOn w:val="Normal"/>
    <w:next w:val="Normal"/>
    <w:qFormat/>
    <w:pPr>
      <w:keepNext w:val="true"/>
      <w:widowControl/>
      <w:spacing w:before="0" w:after="120"/>
      <w:outlineLvl w:val="4"/>
    </w:pPr>
    <w:rPr>
      <w:b/>
      <w:bCs/>
      <w:sz w:val="24"/>
      <w:szCs w:val="24"/>
    </w:rPr>
  </w:style>
  <w:style w:type="paragraph" w:styleId="Heading6">
    <w:name w:val="Heading 6"/>
    <w:basedOn w:val="Normal"/>
    <w:next w:val="Normal"/>
    <w:qFormat/>
    <w:pPr>
      <w:keepNext w:val="true"/>
      <w:jc w:val="center"/>
      <w:outlineLvl w:val="5"/>
    </w:pPr>
    <w:rPr>
      <w:b/>
      <w:bCs/>
      <w:sz w:val="24"/>
      <w:szCs w:val="24"/>
      <w:u w:val="single"/>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Annotationreference">
    <w:name w:val="annotation reference"/>
    <w:basedOn w:val="DefaultParagraphFont"/>
    <w:semiHidden/>
    <w:qFormat/>
    <w:rPr>
      <w:sz w:val="16"/>
      <w:szCs w:val="16"/>
    </w:rPr>
  </w:style>
  <w:style w:type="character" w:styleId="InternetLink">
    <w:name w:val="Hyperlink"/>
    <w:basedOn w:val="DefaultParagraphFont"/>
    <w:rsid w:val="002641ef"/>
    <w:rPr>
      <w:color w:val="0563C1" w:themeColor="hyperlink"/>
      <w:u w:val="single"/>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widowControl/>
      <w:spacing w:before="0" w:after="240"/>
    </w:pPr>
    <w:rPr>
      <w:sz w:val="23"/>
      <w:szCs w:val="23"/>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extBodyIndent">
    <w:name w:val="Body Text Indent"/>
    <w:basedOn w:val="Normal"/>
    <w:pPr>
      <w:widowControl/>
      <w:spacing w:before="0" w:after="240"/>
      <w:jc w:val="both"/>
    </w:pPr>
    <w:rPr>
      <w:sz w:val="23"/>
      <w:szCs w:val="23"/>
    </w:rPr>
  </w:style>
  <w:style w:type="paragraph" w:styleId="BodyText3">
    <w:name w:val="Body Text 3"/>
    <w:basedOn w:val="Normal"/>
    <w:qFormat/>
    <w:pPr>
      <w:widowControl/>
      <w:spacing w:lineRule="exact" w:line="254"/>
    </w:pPr>
    <w:rPr>
      <w:sz w:val="18"/>
      <w:szCs w:val="18"/>
    </w:rPr>
  </w:style>
  <w:style w:type="paragraph" w:styleId="Caption1">
    <w:name w:val="caption"/>
    <w:basedOn w:val="Normal"/>
    <w:next w:val="Normal"/>
    <w:qFormat/>
    <w:pPr>
      <w:widowControl/>
      <w:spacing w:lineRule="exact" w:line="321" w:before="105" w:after="0"/>
      <w:jc w:val="center"/>
    </w:pPr>
    <w:rPr>
      <w:b/>
      <w:bCs/>
      <w:sz w:val="28"/>
      <w:szCs w:val="28"/>
    </w:rPr>
  </w:style>
  <w:style w:type="paragraph" w:styleId="BlockText">
    <w:name w:val="Block Text"/>
    <w:basedOn w:val="Normal"/>
    <w:qFormat/>
    <w:pPr>
      <w:widowControl/>
      <w:spacing w:before="0" w:after="240"/>
      <w:ind w:left="180" w:right="698" w:hanging="0"/>
      <w:jc w:val="both"/>
    </w:pPr>
    <w:rPr>
      <w:sz w:val="22"/>
      <w:szCs w:val="22"/>
    </w:rPr>
  </w:style>
  <w:style w:type="paragraph" w:styleId="BodyTextIndent2">
    <w:name w:val="Body Text Indent 2"/>
    <w:basedOn w:val="Normal"/>
    <w:qFormat/>
    <w:pPr>
      <w:widowControl/>
      <w:tabs>
        <w:tab w:val="clear" w:pos="720"/>
        <w:tab w:val="left" w:pos="6480" w:leader="none"/>
      </w:tabs>
      <w:spacing w:lineRule="exact" w:line="278"/>
      <w:ind w:left="450" w:hanging="450"/>
    </w:pPr>
    <w:rPr>
      <w:sz w:val="23"/>
      <w:szCs w:val="23"/>
    </w:rPr>
  </w:style>
  <w:style w:type="paragraph" w:styleId="Heading21" w:customStyle="1">
    <w:name w:val="heading2"/>
    <w:basedOn w:val="Normal"/>
    <w:qFormat/>
    <w:pPr>
      <w:widowControl/>
      <w:spacing w:lineRule="exact" w:line="259" w:before="0" w:after="120"/>
    </w:pPr>
    <w:rPr>
      <w:b/>
      <w:bCs/>
      <w:sz w:val="24"/>
      <w:szCs w:val="24"/>
    </w:rPr>
  </w:style>
  <w:style w:type="paragraph" w:styleId="Bodybold" w:customStyle="1">
    <w:name w:val="body bold"/>
    <w:basedOn w:val="Heading1"/>
    <w:qFormat/>
    <w:pPr/>
    <w:rPr>
      <w:sz w:val="23"/>
      <w:szCs w:val="23"/>
      <w:u w:val="none"/>
    </w:rPr>
  </w:style>
  <w:style w:type="paragraph" w:styleId="Title">
    <w:name w:val="Title"/>
    <w:basedOn w:val="Normal"/>
    <w:qFormat/>
    <w:pPr>
      <w:spacing w:before="240" w:after="60"/>
      <w:jc w:val="center"/>
      <w:outlineLvl w:val="0"/>
    </w:pPr>
    <w:rPr>
      <w:b/>
      <w:bCs/>
      <w:kern w:val="2"/>
      <w:sz w:val="32"/>
      <w:szCs w:val="32"/>
    </w:rPr>
  </w:style>
  <w:style w:type="paragraph" w:styleId="Schedule" w:customStyle="1">
    <w:name w:val="schedule"/>
    <w:basedOn w:val="Title"/>
    <w:qFormat/>
    <w:pPr>
      <w:spacing w:before="0" w:after="240"/>
    </w:pPr>
    <w:rPr/>
  </w:style>
  <w:style w:type="paragraph" w:styleId="Heading31" w:customStyle="1">
    <w:name w:val="heading3"/>
    <w:basedOn w:val="Heading1"/>
    <w:qFormat/>
    <w:pPr>
      <w:jc w:val="center"/>
    </w:pPr>
    <w:rPr/>
  </w:style>
  <w:style w:type="paragraph" w:styleId="BodyText2">
    <w:name w:val="Body Text 2"/>
    <w:basedOn w:val="Normal"/>
    <w:qFormat/>
    <w:pPr>
      <w:widowControl/>
      <w:spacing w:lineRule="exact" w:line="307"/>
      <w:ind w:right="608" w:hanging="0"/>
    </w:pPr>
    <w:rPr>
      <w:szCs w:val="23"/>
    </w:rPr>
  </w:style>
  <w:style w:type="paragraph" w:styleId="BodyTextIndent3">
    <w:name w:val="Body Text Indent 3"/>
    <w:basedOn w:val="Normal"/>
    <w:qFormat/>
    <w:pPr>
      <w:widowControl/>
      <w:spacing w:before="0" w:after="240"/>
      <w:ind w:left="1440" w:hanging="0"/>
      <w:jc w:val="both"/>
    </w:pPr>
    <w:rPr>
      <w:szCs w:val="23"/>
    </w:rPr>
  </w:style>
  <w:style w:type="paragraph" w:styleId="BalloonText">
    <w:name w:val="Balloon Text"/>
    <w:basedOn w:val="Normal"/>
    <w:semiHidden/>
    <w:qFormat/>
    <w:pPr/>
    <w:rPr>
      <w:rFonts w:ascii="Tahoma" w:hAnsi="Tahoma" w:cs="Tahoma"/>
      <w:sz w:val="16"/>
      <w:szCs w:val="16"/>
    </w:rPr>
  </w:style>
  <w:style w:type="paragraph" w:styleId="Annotationtext">
    <w:name w:val="annotation text"/>
    <w:basedOn w:val="Normal"/>
    <w:semiHidden/>
    <w:qFormat/>
    <w:pPr/>
    <w:rPr/>
  </w:style>
  <w:style w:type="paragraph" w:styleId="Annotationsubject">
    <w:name w:val="annotation subject"/>
    <w:basedOn w:val="Annotationtext"/>
    <w:next w:val="Annotationtext"/>
    <w:semiHidden/>
    <w:qFormat/>
    <w:pPr/>
    <w:rPr>
      <w:b/>
      <w:bCs/>
    </w:rPr>
  </w:style>
  <w:style w:type="paragraph" w:styleId="ListParagraph">
    <w:name w:val="List Paragraph"/>
    <w:basedOn w:val="Normal"/>
    <w:uiPriority w:val="1"/>
    <w:qFormat/>
    <w:rsid w:val="0063594c"/>
    <w:pPr/>
    <w:rPr>
      <w:rFonts w:ascii="Calibri" w:hAnsi="Calibri" w:eastAsia="Calibri" w:cs="" w:asciiTheme="minorHAnsi" w:cstheme="minorBidi" w:eastAsiaTheme="minorHAnsi" w:hAnsiTheme="minorHAnsi"/>
      <w:sz w:val="22"/>
      <w:szCs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28741AF294D3042BB9C56B2B6FC8621" ma:contentTypeVersion="15" ma:contentTypeDescription="Create a new document." ma:contentTypeScope="" ma:versionID="ffacc3ba164dc7595ff2cb8125da85c5">
  <xsd:schema xmlns:xsd="http://www.w3.org/2001/XMLSchema" xmlns:xs="http://www.w3.org/2001/XMLSchema" xmlns:p="http://schemas.microsoft.com/office/2006/metadata/properties" xmlns:ns2="d9776949-5e32-4f2e-9276-98297780da1a" xmlns:ns3="a47110d5-729c-4d95-b879-bf573772e4fd" targetNamespace="http://schemas.microsoft.com/office/2006/metadata/properties" ma:root="true" ma:fieldsID="7e3a2f1a2848dbc7ff44f11a85d3392d" ns2:_="" ns3:_="">
    <xsd:import namespace="d9776949-5e32-4f2e-9276-98297780da1a"/>
    <xsd:import namespace="a47110d5-729c-4d95-b879-bf573772e4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776949-5e32-4f2e-9276-98297780da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4e6dfb7-2346-4ea6-80ab-9092c6266a0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7110d5-729c-4d95-b879-bf573772e4f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820c250-6b81-4c18-922f-70f62fe78360}" ma:internalName="TaxCatchAll" ma:showField="CatchAllData" ma:web="a47110d5-729c-4d95-b879-bf573772e4f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9776949-5e32-4f2e-9276-98297780da1a">
      <Terms xmlns="http://schemas.microsoft.com/office/infopath/2007/PartnerControls"/>
    </lcf76f155ced4ddcb4097134ff3c332f>
    <TaxCatchAll xmlns="a47110d5-729c-4d95-b879-bf573772e4f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3C88B5-8D61-4220-BC01-04D916B2CC31}">
  <ds:schemaRefs>
    <ds:schemaRef ds:uri="http://schemas.openxmlformats.org/officeDocument/2006/bibliography"/>
  </ds:schemaRefs>
</ds:datastoreItem>
</file>

<file path=customXml/itemProps2.xml><?xml version="1.0" encoding="utf-8"?>
<ds:datastoreItem xmlns:ds="http://schemas.openxmlformats.org/officeDocument/2006/customXml" ds:itemID="{5D5C58E3-482C-4089-ACA6-89A742225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776949-5e32-4f2e-9276-98297780da1a"/>
    <ds:schemaRef ds:uri="a47110d5-729c-4d95-b879-bf573772e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C19FB3-26B9-4B20-846B-EABFE3289CD8}">
  <ds:schemaRefs>
    <ds:schemaRef ds:uri="http://schemas.microsoft.com/office/2006/metadata/properties"/>
    <ds:schemaRef ds:uri="http://schemas.microsoft.com/office/infopath/2007/PartnerControls"/>
    <ds:schemaRef ds:uri="d9776949-5e32-4f2e-9276-98297780da1a"/>
    <ds:schemaRef ds:uri="a47110d5-729c-4d95-b879-bf573772e4fd"/>
  </ds:schemaRefs>
</ds:datastoreItem>
</file>

<file path=customXml/itemProps4.xml><?xml version="1.0" encoding="utf-8"?>
<ds:datastoreItem xmlns:ds="http://schemas.openxmlformats.org/officeDocument/2006/customXml" ds:itemID="{D97187D6-0681-4C4B-BD35-9421253BFB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TotalTime>
  <Application>LibreOffice/6.4.7.2$Linux_X86_64 LibreOffice_project/40$Build-2</Application>
  <Pages>18</Pages>
  <Words>4549</Words>
  <Characters>23635</Characters>
  <CharactersWithSpaces>28094</CharactersWithSpaces>
  <Paragraphs>482</Paragraphs>
  <Company>Wilson, Elser, Moskowitz, Edelman &amp; Dicker LLP.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2022-10-10T16:18:00Z</dcterms:created>
  <dc:creator>WPTEMP1</dc:creator>
  <dc:description/>
  <dc:language>en-IN</dc:language>
  <cp:lastModifiedBy/>
  <cp:lastPrinted>2010-10-04T14:37:00Z</cp:lastPrinted>
  <dcterms:modified xsi:type="dcterms:W3CDTF">2022-10-20T11:35:56Z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Wilson, Elser, Moskowitz, Edelman &amp; Dicker LLP.</vt:lpwstr>
  </property>
  <property fmtid="{D5CDD505-2E9C-101B-9397-08002B2CF9AE}" pid="4" name="ComplianceAssetId">
    <vt:lpwstr/>
  </property>
  <property fmtid="{D5CDD505-2E9C-101B-9397-08002B2CF9AE}" pid="5" name="ContentTypeId">
    <vt:lpwstr>0x010100E28741AF294D3042BB9C56B2B6FC8621</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Order">
    <vt:i4>76000</vt:i4>
  </property>
  <property fmtid="{D5CDD505-2E9C-101B-9397-08002B2CF9AE}" pid="10" name="ScaleCrop">
    <vt:bool>0</vt:bool>
  </property>
  <property fmtid="{D5CDD505-2E9C-101B-9397-08002B2CF9AE}" pid="11" name="ShareDoc">
    <vt:bool>0</vt:bool>
  </property>
</Properties>
</file>